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1" w:lineRule="atLeast"/>
        <w:jc w:val="center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</w:rPr>
        <w:t>9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—20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课题研究实施计划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一、课题基本情况  </w:t>
      </w:r>
      <w:r>
        <w:rPr>
          <w:rFonts w:ascii="Tahoma" w:hAnsi="Tahoma" w:cs="Tahoma"/>
          <w:b/>
          <w:bCs/>
          <w:color w:val="333333"/>
          <w:kern w:val="0"/>
          <w:sz w:val="28"/>
          <w:szCs w:val="28"/>
        </w:rPr>
        <w:t>               </w:t>
      </w:r>
    </w:p>
    <w:p>
      <w:pPr>
        <w:widowControl/>
        <w:spacing w:line="351" w:lineRule="atLeast"/>
        <w:rPr>
          <w:rFonts w:hint="eastAsia"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1.课题名称：</w:t>
      </w:r>
      <w:r>
        <w:rPr>
          <w:rFonts w:hint="eastAsia" w:ascii="Tahoma" w:hAnsi="Tahoma" w:eastAsia="宋体" w:cs="Tahoma"/>
          <w:color w:val="333333"/>
          <w:kern w:val="0"/>
          <w:szCs w:val="21"/>
          <w:lang w:val="en-US" w:eastAsia="zh-CN"/>
        </w:rPr>
        <w:t>呼应核心素养的小学英语单元学习进阶研究</w:t>
      </w:r>
    </w:p>
    <w:p>
      <w:pPr>
        <w:widowControl/>
        <w:spacing w:line="351" w:lineRule="atLeast"/>
        <w:jc w:val="left"/>
        <w:rPr>
          <w:rFonts w:hint="eastAsia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2.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课题负责人：</w:t>
      </w:r>
      <w:r>
        <w:rPr>
          <w:rFonts w:hint="eastAsia" w:ascii="Tahoma" w:hAnsi="Tahoma" w:eastAsia="宋体" w:cs="Tahoma"/>
          <w:color w:val="333333"/>
          <w:kern w:val="0"/>
          <w:szCs w:val="21"/>
          <w:lang w:val="en-US" w:eastAsia="zh-CN"/>
        </w:rPr>
        <w:t>许 吇 戚云子</w:t>
      </w:r>
    </w:p>
    <w:p>
      <w:pPr>
        <w:widowControl/>
        <w:spacing w:line="351" w:lineRule="atLeast"/>
        <w:jc w:val="left"/>
        <w:rPr>
          <w:rFonts w:ascii="Tahoma" w:hAnsi="Tahoma" w:cs="Tahoma"/>
          <w:b/>
          <w:bCs/>
          <w:color w:val="333333"/>
          <w:kern w:val="0"/>
          <w:szCs w:val="21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3.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</w:t>
      </w:r>
      <w:r>
        <w:rPr>
          <w:rFonts w:hint="eastAsia" w:ascii="Tahoma" w:hAnsi="Tahoma" w:cs="Tahoma"/>
          <w:b/>
          <w:bCs/>
          <w:color w:val="333333"/>
          <w:kern w:val="0"/>
          <w:szCs w:val="21"/>
        </w:rPr>
        <w:t>核心组成员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：</w:t>
      </w:r>
    </w:p>
    <w:p>
      <w:pPr>
        <w:widowControl/>
        <w:spacing w:line="351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Tahoma" w:hAnsi="Tahoma" w:cs="Tahoma"/>
          <w:color w:val="333333"/>
          <w:kern w:val="0"/>
          <w:szCs w:val="21"/>
        </w:rPr>
        <w:t>张晓栋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贺  迎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张  婷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丁  悦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蒋  来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黄  蓓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贺潇颖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金雯翔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</w:rPr>
        <w:t>杭燕楠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二、课题目标</w:t>
      </w:r>
    </w:p>
    <w:tbl>
      <w:tblPr>
        <w:tblStyle w:val="4"/>
        <w:tblW w:w="8742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课题研究总目标：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立足核心素养，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充分挖掘阅读资源，借助阅读材料补充提高核心素养，</w:t>
            </w:r>
            <w:r>
              <w:rPr>
                <w:rFonts w:hint="eastAsia"/>
                <w:sz w:val="21"/>
                <w:szCs w:val="21"/>
              </w:rPr>
              <w:t>构建基于目标——评价——任务的单元整体教学框架，形成指向核心素养的学习进阶模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/>
                <w:sz w:val="21"/>
                <w:szCs w:val="21"/>
              </w:rPr>
              <w:t>，为教师单元整体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z w:val="21"/>
                <w:szCs w:val="21"/>
              </w:rPr>
              <w:t>教学设计建模，为小学英语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z w:val="21"/>
                <w:szCs w:val="21"/>
              </w:rPr>
              <w:t>教学中核心素养落地提供参考。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构建语言能力、文化意识、思维品质和学习能力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等细目，</w:t>
            </w:r>
            <w:r>
              <w:rPr>
                <w:rFonts w:hint="eastAsia"/>
                <w:sz w:val="21"/>
                <w:szCs w:val="21"/>
              </w:rPr>
              <w:t>为制定呼应核心素养单元教学总目标和分课时目标和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学习进阶策略</w:t>
            </w:r>
            <w:r>
              <w:rPr>
                <w:rFonts w:hint="eastAsia"/>
                <w:sz w:val="21"/>
                <w:szCs w:val="21"/>
              </w:rPr>
              <w:t>提供参照。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学生在阅读中实现语言能力、思维能力、学习能力以及文化品格的培养与提升。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本学期阶段研究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内容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关于“核心素养”和“学习进阶”的文献研究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小学生英语核心素养现状调查与归因研究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核心素养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细目的构建研究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呼应核心素养的单元学习进阶模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研究</w:t>
            </w: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三、本学期课题组研究任务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分工</w:t>
      </w:r>
    </w:p>
    <w:tbl>
      <w:tblPr>
        <w:tblStyle w:val="4"/>
        <w:tblW w:w="88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850"/>
        <w:gridCol w:w="851"/>
        <w:gridCol w:w="1701"/>
        <w:gridCol w:w="1984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1.关于“核心素养”和“学习进阶”的文献研究</w:t>
            </w:r>
          </w:p>
          <w:p>
            <w:pPr>
              <w:widowControl/>
              <w:spacing w:line="24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—20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许  吇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通过高质量的文献，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形成文献综述，</w:t>
            </w:r>
          </w:p>
          <w:p>
            <w:pPr>
              <w:widowControl/>
              <w:spacing w:line="240" w:lineRule="auto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组员共同学习。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通过沙龙等形式交流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组员共同学习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关于“核心素养”和“学习进阶”的文献研究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沙龙交流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小学生英语核心素养现状调查与归因研究</w:t>
            </w:r>
          </w:p>
          <w:p>
            <w:pPr>
              <w:widowControl/>
              <w:spacing w:line="24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22.9</w:t>
            </w:r>
          </w:p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—20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22.10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张晓栋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教师端和学生端的调查，摸清我校学生核心素养现状。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小学生英语核心素养现状调查与归因研究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调查问卷</w:t>
            </w:r>
          </w:p>
          <w:p>
            <w:pPr>
              <w:widowControl/>
              <w:spacing w:line="240" w:lineRule="auto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访   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核心素养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细目的构建研究</w:t>
            </w:r>
          </w:p>
          <w:p>
            <w:pPr>
              <w:widowControl/>
              <w:spacing w:line="24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22.10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—20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22.11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戚云子</w:t>
            </w:r>
          </w:p>
          <w:p>
            <w:pPr>
              <w:widowControl/>
              <w:spacing w:line="240" w:lineRule="auto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许  吇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以六年级上册为例，制定核心素养细目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制定核心素养细目（六年级上册）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研    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呼应核心素养的单元学习进阶模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研究</w:t>
            </w:r>
          </w:p>
          <w:p>
            <w:pPr>
              <w:widowControl/>
              <w:spacing w:line="24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2022.11-2023.1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全组</w:t>
            </w:r>
          </w:p>
          <w:p>
            <w:pPr>
              <w:widowControl/>
              <w:spacing w:line="240" w:lineRule="auto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通过文献研究、课堂实践、反复论证单元学习进阶模式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呼应核心素养的单元学习进阶模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研究</w:t>
            </w:r>
          </w:p>
          <w:p>
            <w:pPr>
              <w:widowControl/>
              <w:spacing w:line="240" w:lineRule="auto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课堂实践</w:t>
            </w: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numPr>
          <w:ilvl w:val="0"/>
          <w:numId w:val="2"/>
        </w:numPr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课题组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论文撰写计划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888"/>
        <w:gridCol w:w="258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  来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核心素养导向下的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大单元整体设计与分课实施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中小学教学研究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  来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英语单元教学的课时观照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小学教育教学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  婷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基于主题意义探究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小学英语单元整体教学途径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校园英语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</w:t>
            </w:r>
          </w:p>
        </w:tc>
      </w:tr>
    </w:tbl>
    <w:p>
      <w:pPr>
        <w:widowControl/>
        <w:numPr>
          <w:numId w:val="0"/>
        </w:numPr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D9D9B"/>
    <w:multiLevelType w:val="singleLevel"/>
    <w:tmpl w:val="0F6D9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1B3F13"/>
    <w:multiLevelType w:val="singleLevel"/>
    <w:tmpl w:val="5E1B3F1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zMxMDM2NGUxN2IwNGI5MGE1MjY4YjE3YmMyMWQifQ=="/>
  </w:docVars>
  <w:rsids>
    <w:rsidRoot w:val="00B06913"/>
    <w:rsid w:val="00000B79"/>
    <w:rsid w:val="00003B19"/>
    <w:rsid w:val="00006256"/>
    <w:rsid w:val="00006A95"/>
    <w:rsid w:val="00007E35"/>
    <w:rsid w:val="0001194B"/>
    <w:rsid w:val="00011CE2"/>
    <w:rsid w:val="000215C2"/>
    <w:rsid w:val="00021BD1"/>
    <w:rsid w:val="00021F71"/>
    <w:rsid w:val="000319E4"/>
    <w:rsid w:val="00036CE5"/>
    <w:rsid w:val="0004343D"/>
    <w:rsid w:val="0005736A"/>
    <w:rsid w:val="0006164C"/>
    <w:rsid w:val="000619A7"/>
    <w:rsid w:val="00065850"/>
    <w:rsid w:val="00065E8D"/>
    <w:rsid w:val="00070BC8"/>
    <w:rsid w:val="000719FC"/>
    <w:rsid w:val="00073389"/>
    <w:rsid w:val="00075A90"/>
    <w:rsid w:val="00081686"/>
    <w:rsid w:val="00083E88"/>
    <w:rsid w:val="000870B9"/>
    <w:rsid w:val="00087AC0"/>
    <w:rsid w:val="000946A9"/>
    <w:rsid w:val="000A0DA6"/>
    <w:rsid w:val="000A3692"/>
    <w:rsid w:val="000C51E5"/>
    <w:rsid w:val="000C5EAA"/>
    <w:rsid w:val="000D1597"/>
    <w:rsid w:val="001019BC"/>
    <w:rsid w:val="00114369"/>
    <w:rsid w:val="00117591"/>
    <w:rsid w:val="001175E4"/>
    <w:rsid w:val="00120835"/>
    <w:rsid w:val="00127481"/>
    <w:rsid w:val="00127CD0"/>
    <w:rsid w:val="00131776"/>
    <w:rsid w:val="00146EF5"/>
    <w:rsid w:val="00153E00"/>
    <w:rsid w:val="001563FD"/>
    <w:rsid w:val="00171E51"/>
    <w:rsid w:val="001854C1"/>
    <w:rsid w:val="00190BA1"/>
    <w:rsid w:val="0019275C"/>
    <w:rsid w:val="001A5584"/>
    <w:rsid w:val="001C6BE6"/>
    <w:rsid w:val="001C7B01"/>
    <w:rsid w:val="001E463B"/>
    <w:rsid w:val="001E5622"/>
    <w:rsid w:val="001E7597"/>
    <w:rsid w:val="001F51EC"/>
    <w:rsid w:val="001F5A4E"/>
    <w:rsid w:val="0020126D"/>
    <w:rsid w:val="002105C8"/>
    <w:rsid w:val="00211028"/>
    <w:rsid w:val="00221F74"/>
    <w:rsid w:val="00223D1D"/>
    <w:rsid w:val="0023491C"/>
    <w:rsid w:val="00243337"/>
    <w:rsid w:val="00260C4F"/>
    <w:rsid w:val="00261BDD"/>
    <w:rsid w:val="00261D59"/>
    <w:rsid w:val="002655C1"/>
    <w:rsid w:val="0026608F"/>
    <w:rsid w:val="00276A32"/>
    <w:rsid w:val="00285FD7"/>
    <w:rsid w:val="002930A1"/>
    <w:rsid w:val="00294797"/>
    <w:rsid w:val="00295D01"/>
    <w:rsid w:val="002A23EF"/>
    <w:rsid w:val="002A7FC5"/>
    <w:rsid w:val="002D2272"/>
    <w:rsid w:val="002F2B38"/>
    <w:rsid w:val="002F5AB9"/>
    <w:rsid w:val="002F5BD0"/>
    <w:rsid w:val="00305EC7"/>
    <w:rsid w:val="00312C58"/>
    <w:rsid w:val="00313050"/>
    <w:rsid w:val="00314809"/>
    <w:rsid w:val="003206AA"/>
    <w:rsid w:val="00324CD8"/>
    <w:rsid w:val="00340242"/>
    <w:rsid w:val="00342F32"/>
    <w:rsid w:val="0035421F"/>
    <w:rsid w:val="00355DB6"/>
    <w:rsid w:val="003567C0"/>
    <w:rsid w:val="00370BB5"/>
    <w:rsid w:val="0037242F"/>
    <w:rsid w:val="0038662A"/>
    <w:rsid w:val="0039222F"/>
    <w:rsid w:val="0039519E"/>
    <w:rsid w:val="003A7403"/>
    <w:rsid w:val="003C0C30"/>
    <w:rsid w:val="003C2A8B"/>
    <w:rsid w:val="003C34BD"/>
    <w:rsid w:val="003D6974"/>
    <w:rsid w:val="003E00DC"/>
    <w:rsid w:val="003E3F0E"/>
    <w:rsid w:val="0041750B"/>
    <w:rsid w:val="004175CA"/>
    <w:rsid w:val="00420457"/>
    <w:rsid w:val="00430022"/>
    <w:rsid w:val="0043332A"/>
    <w:rsid w:val="00461E2A"/>
    <w:rsid w:val="00463ECE"/>
    <w:rsid w:val="004740F1"/>
    <w:rsid w:val="00476B35"/>
    <w:rsid w:val="00477ED1"/>
    <w:rsid w:val="00483E76"/>
    <w:rsid w:val="00484260"/>
    <w:rsid w:val="00484355"/>
    <w:rsid w:val="00486335"/>
    <w:rsid w:val="0048773C"/>
    <w:rsid w:val="00490152"/>
    <w:rsid w:val="00491C0A"/>
    <w:rsid w:val="00492B02"/>
    <w:rsid w:val="004A6425"/>
    <w:rsid w:val="004B142F"/>
    <w:rsid w:val="004C0CE2"/>
    <w:rsid w:val="004C2CB1"/>
    <w:rsid w:val="004C7A2A"/>
    <w:rsid w:val="004D077B"/>
    <w:rsid w:val="004D3E07"/>
    <w:rsid w:val="004D5677"/>
    <w:rsid w:val="004F01B0"/>
    <w:rsid w:val="00500691"/>
    <w:rsid w:val="00500C93"/>
    <w:rsid w:val="00502264"/>
    <w:rsid w:val="00504B84"/>
    <w:rsid w:val="00510152"/>
    <w:rsid w:val="00515F34"/>
    <w:rsid w:val="0051678D"/>
    <w:rsid w:val="00516DBD"/>
    <w:rsid w:val="00521464"/>
    <w:rsid w:val="00526421"/>
    <w:rsid w:val="005271A0"/>
    <w:rsid w:val="00535705"/>
    <w:rsid w:val="00537868"/>
    <w:rsid w:val="005418B0"/>
    <w:rsid w:val="005516CA"/>
    <w:rsid w:val="00552A7E"/>
    <w:rsid w:val="00552DBD"/>
    <w:rsid w:val="00560C6D"/>
    <w:rsid w:val="00560DE8"/>
    <w:rsid w:val="0056208D"/>
    <w:rsid w:val="0056423D"/>
    <w:rsid w:val="005914AB"/>
    <w:rsid w:val="005A101C"/>
    <w:rsid w:val="005A4B30"/>
    <w:rsid w:val="005A6F10"/>
    <w:rsid w:val="005B20A9"/>
    <w:rsid w:val="005B59B7"/>
    <w:rsid w:val="005C2432"/>
    <w:rsid w:val="005C3F52"/>
    <w:rsid w:val="005C7A22"/>
    <w:rsid w:val="005D10F2"/>
    <w:rsid w:val="005D5446"/>
    <w:rsid w:val="00614676"/>
    <w:rsid w:val="00624D43"/>
    <w:rsid w:val="00625512"/>
    <w:rsid w:val="006463C2"/>
    <w:rsid w:val="0065655A"/>
    <w:rsid w:val="006760FD"/>
    <w:rsid w:val="00693E85"/>
    <w:rsid w:val="006967A9"/>
    <w:rsid w:val="006A07C1"/>
    <w:rsid w:val="006C0C31"/>
    <w:rsid w:val="006C0F64"/>
    <w:rsid w:val="006C283A"/>
    <w:rsid w:val="006D1E63"/>
    <w:rsid w:val="006D2E2D"/>
    <w:rsid w:val="006F5C0B"/>
    <w:rsid w:val="00702E9C"/>
    <w:rsid w:val="0070461A"/>
    <w:rsid w:val="007064F2"/>
    <w:rsid w:val="00714B6C"/>
    <w:rsid w:val="00714EBA"/>
    <w:rsid w:val="00721141"/>
    <w:rsid w:val="0072271B"/>
    <w:rsid w:val="0072751A"/>
    <w:rsid w:val="00734E31"/>
    <w:rsid w:val="0073525D"/>
    <w:rsid w:val="0075034E"/>
    <w:rsid w:val="00752BDC"/>
    <w:rsid w:val="0075412A"/>
    <w:rsid w:val="00754163"/>
    <w:rsid w:val="007618CE"/>
    <w:rsid w:val="0077346C"/>
    <w:rsid w:val="00786522"/>
    <w:rsid w:val="00787440"/>
    <w:rsid w:val="00787C92"/>
    <w:rsid w:val="007A38B4"/>
    <w:rsid w:val="007A7283"/>
    <w:rsid w:val="007C4C61"/>
    <w:rsid w:val="008017FE"/>
    <w:rsid w:val="0080289C"/>
    <w:rsid w:val="00827341"/>
    <w:rsid w:val="00827C22"/>
    <w:rsid w:val="008310A3"/>
    <w:rsid w:val="0083239F"/>
    <w:rsid w:val="0084252D"/>
    <w:rsid w:val="00845BCA"/>
    <w:rsid w:val="008472E8"/>
    <w:rsid w:val="008533F9"/>
    <w:rsid w:val="0086323C"/>
    <w:rsid w:val="008658FD"/>
    <w:rsid w:val="00880067"/>
    <w:rsid w:val="00884D29"/>
    <w:rsid w:val="00890B16"/>
    <w:rsid w:val="008A2D9D"/>
    <w:rsid w:val="008A66DB"/>
    <w:rsid w:val="008B6455"/>
    <w:rsid w:val="008C52FD"/>
    <w:rsid w:val="008C6777"/>
    <w:rsid w:val="008E553D"/>
    <w:rsid w:val="008E5DB6"/>
    <w:rsid w:val="008F6336"/>
    <w:rsid w:val="00904CDD"/>
    <w:rsid w:val="009100B2"/>
    <w:rsid w:val="00910B94"/>
    <w:rsid w:val="00917B32"/>
    <w:rsid w:val="00920828"/>
    <w:rsid w:val="0093112D"/>
    <w:rsid w:val="00935068"/>
    <w:rsid w:val="00943553"/>
    <w:rsid w:val="00947372"/>
    <w:rsid w:val="00954043"/>
    <w:rsid w:val="00955E7E"/>
    <w:rsid w:val="00956FF1"/>
    <w:rsid w:val="00973E0B"/>
    <w:rsid w:val="0097715C"/>
    <w:rsid w:val="00991122"/>
    <w:rsid w:val="00991CE4"/>
    <w:rsid w:val="009B04F4"/>
    <w:rsid w:val="009B1394"/>
    <w:rsid w:val="009C11EF"/>
    <w:rsid w:val="009C4F47"/>
    <w:rsid w:val="009D2A8B"/>
    <w:rsid w:val="009E1225"/>
    <w:rsid w:val="009E528B"/>
    <w:rsid w:val="00A14A29"/>
    <w:rsid w:val="00A21706"/>
    <w:rsid w:val="00A2333D"/>
    <w:rsid w:val="00A4171D"/>
    <w:rsid w:val="00A453A2"/>
    <w:rsid w:val="00A45F9D"/>
    <w:rsid w:val="00A52BA8"/>
    <w:rsid w:val="00A53F93"/>
    <w:rsid w:val="00A556C8"/>
    <w:rsid w:val="00A611F6"/>
    <w:rsid w:val="00A6411E"/>
    <w:rsid w:val="00A70AD2"/>
    <w:rsid w:val="00A725AF"/>
    <w:rsid w:val="00A92B3C"/>
    <w:rsid w:val="00A96833"/>
    <w:rsid w:val="00AB3746"/>
    <w:rsid w:val="00AB5FB3"/>
    <w:rsid w:val="00AB7F68"/>
    <w:rsid w:val="00AD256F"/>
    <w:rsid w:val="00AD37CC"/>
    <w:rsid w:val="00AD5397"/>
    <w:rsid w:val="00AE59A8"/>
    <w:rsid w:val="00B02FF7"/>
    <w:rsid w:val="00B06913"/>
    <w:rsid w:val="00B23663"/>
    <w:rsid w:val="00B25B92"/>
    <w:rsid w:val="00B3372B"/>
    <w:rsid w:val="00B44541"/>
    <w:rsid w:val="00B452D0"/>
    <w:rsid w:val="00B64632"/>
    <w:rsid w:val="00B67D57"/>
    <w:rsid w:val="00B70214"/>
    <w:rsid w:val="00B9293A"/>
    <w:rsid w:val="00BA7D23"/>
    <w:rsid w:val="00BA7F12"/>
    <w:rsid w:val="00BB216B"/>
    <w:rsid w:val="00BB29DB"/>
    <w:rsid w:val="00BC66BF"/>
    <w:rsid w:val="00BD43D2"/>
    <w:rsid w:val="00BE53A6"/>
    <w:rsid w:val="00BF1C68"/>
    <w:rsid w:val="00BF31B0"/>
    <w:rsid w:val="00BF3996"/>
    <w:rsid w:val="00BF4A69"/>
    <w:rsid w:val="00C06C74"/>
    <w:rsid w:val="00C2284C"/>
    <w:rsid w:val="00C24A2D"/>
    <w:rsid w:val="00C33845"/>
    <w:rsid w:val="00C340FF"/>
    <w:rsid w:val="00C40906"/>
    <w:rsid w:val="00C45487"/>
    <w:rsid w:val="00C566B7"/>
    <w:rsid w:val="00C578E6"/>
    <w:rsid w:val="00C60E1B"/>
    <w:rsid w:val="00C71CE4"/>
    <w:rsid w:val="00C81AB4"/>
    <w:rsid w:val="00C85BAA"/>
    <w:rsid w:val="00C85E7F"/>
    <w:rsid w:val="00C95A36"/>
    <w:rsid w:val="00C95C17"/>
    <w:rsid w:val="00C95FA0"/>
    <w:rsid w:val="00C97770"/>
    <w:rsid w:val="00CA5760"/>
    <w:rsid w:val="00CD2F81"/>
    <w:rsid w:val="00CD5D0A"/>
    <w:rsid w:val="00CD7A19"/>
    <w:rsid w:val="00CE7037"/>
    <w:rsid w:val="00CF4865"/>
    <w:rsid w:val="00CF4987"/>
    <w:rsid w:val="00CF515B"/>
    <w:rsid w:val="00D034B5"/>
    <w:rsid w:val="00D14A95"/>
    <w:rsid w:val="00D16569"/>
    <w:rsid w:val="00D16F44"/>
    <w:rsid w:val="00D23F90"/>
    <w:rsid w:val="00D24876"/>
    <w:rsid w:val="00D338D0"/>
    <w:rsid w:val="00D4628E"/>
    <w:rsid w:val="00D47438"/>
    <w:rsid w:val="00D56B91"/>
    <w:rsid w:val="00D5741A"/>
    <w:rsid w:val="00D668E8"/>
    <w:rsid w:val="00D66CAB"/>
    <w:rsid w:val="00D76CD6"/>
    <w:rsid w:val="00D8753C"/>
    <w:rsid w:val="00D95F42"/>
    <w:rsid w:val="00DA5736"/>
    <w:rsid w:val="00DB051F"/>
    <w:rsid w:val="00DB1091"/>
    <w:rsid w:val="00DB4E76"/>
    <w:rsid w:val="00DB5131"/>
    <w:rsid w:val="00DB725C"/>
    <w:rsid w:val="00DC1D0B"/>
    <w:rsid w:val="00DC5C2E"/>
    <w:rsid w:val="00DD53EE"/>
    <w:rsid w:val="00DD5614"/>
    <w:rsid w:val="00DD6E6B"/>
    <w:rsid w:val="00DE5FAB"/>
    <w:rsid w:val="00DF5B45"/>
    <w:rsid w:val="00DF732F"/>
    <w:rsid w:val="00DF7B6F"/>
    <w:rsid w:val="00E10B90"/>
    <w:rsid w:val="00E217C9"/>
    <w:rsid w:val="00E22407"/>
    <w:rsid w:val="00E307E9"/>
    <w:rsid w:val="00E308FB"/>
    <w:rsid w:val="00E35B44"/>
    <w:rsid w:val="00E36E9E"/>
    <w:rsid w:val="00E42FA6"/>
    <w:rsid w:val="00E533A0"/>
    <w:rsid w:val="00E625D5"/>
    <w:rsid w:val="00E77951"/>
    <w:rsid w:val="00E835B4"/>
    <w:rsid w:val="00E83F3C"/>
    <w:rsid w:val="00E85222"/>
    <w:rsid w:val="00E96E19"/>
    <w:rsid w:val="00EA3989"/>
    <w:rsid w:val="00EA79DD"/>
    <w:rsid w:val="00EB306A"/>
    <w:rsid w:val="00EB7E44"/>
    <w:rsid w:val="00EC2D93"/>
    <w:rsid w:val="00ED63CA"/>
    <w:rsid w:val="00EE51A5"/>
    <w:rsid w:val="00EE74D7"/>
    <w:rsid w:val="00EE7DB9"/>
    <w:rsid w:val="00EE7FEF"/>
    <w:rsid w:val="00F02B8E"/>
    <w:rsid w:val="00F1379D"/>
    <w:rsid w:val="00F15521"/>
    <w:rsid w:val="00F15FC7"/>
    <w:rsid w:val="00F21855"/>
    <w:rsid w:val="00F26177"/>
    <w:rsid w:val="00F34DBD"/>
    <w:rsid w:val="00F37481"/>
    <w:rsid w:val="00F41313"/>
    <w:rsid w:val="00F5179E"/>
    <w:rsid w:val="00F54E5E"/>
    <w:rsid w:val="00F62F40"/>
    <w:rsid w:val="00F71D83"/>
    <w:rsid w:val="00F74008"/>
    <w:rsid w:val="00F80C1F"/>
    <w:rsid w:val="00F81A6A"/>
    <w:rsid w:val="00F873B1"/>
    <w:rsid w:val="00F9118B"/>
    <w:rsid w:val="00FA0904"/>
    <w:rsid w:val="00FA1A4B"/>
    <w:rsid w:val="00FA1DB7"/>
    <w:rsid w:val="00FA468C"/>
    <w:rsid w:val="00FC03C4"/>
    <w:rsid w:val="00FC2B38"/>
    <w:rsid w:val="00FD07BF"/>
    <w:rsid w:val="00FD49E1"/>
    <w:rsid w:val="00FD77FF"/>
    <w:rsid w:val="00FE15A2"/>
    <w:rsid w:val="00FE3F6A"/>
    <w:rsid w:val="01D546EB"/>
    <w:rsid w:val="6CA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515</Words>
  <Characters>558</Characters>
  <Lines>4</Lines>
  <Paragraphs>1</Paragraphs>
  <TotalTime>3</TotalTime>
  <ScaleCrop>false</ScaleCrop>
  <LinksUpToDate>false</LinksUpToDate>
  <CharactersWithSpaces>579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2019-09-01T02:00:00Z</dcterms:created>
  <dc:creator>微软用户</dc:creator>
  <cp:lastModifiedBy>Administrator</cp:lastModifiedBy>
  <dcterms:modified xsi:type="dcterms:W3CDTF">2023-01-06T00:24:05Z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B1D64D448BDE4031820FD452DA95203F</vt:lpwstr>
  </property>
</Properties>
</file>