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 xml:space="preserve">12  </w:t>
      </w:r>
      <w:r>
        <w:rPr>
          <w:rFonts w:hint="eastAsia"/>
          <w:sz w:val="28"/>
          <w:szCs w:val="28"/>
        </w:rPr>
        <w:t>德育课题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305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顾晓春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《核心视域下班级文化建设的实践研究》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顾慧艳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shd w:val="clear" w:color="auto" w:fill="FFFFFF"/>
              </w:rPr>
              <w:t>主题班会的设计与实施在中学德育工作中的行动研究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总计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已通过中期评估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1E"/>
    <w:rsid w:val="00671093"/>
    <w:rsid w:val="00E13F49"/>
    <w:rsid w:val="00FC2D1E"/>
    <w:rsid w:val="3A536980"/>
    <w:rsid w:val="4DE0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3</TotalTime>
  <ScaleCrop>false</ScaleCrop>
  <LinksUpToDate>false</LinksUpToDate>
  <CharactersWithSpaces>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2022-01-09T09:14:00Z</dcterms:created>
  <dc:creator>一诺</dc:creator>
  <cp:lastModifiedBy>空海</cp:lastModifiedBy>
  <dcterms:modified xsi:type="dcterms:W3CDTF">2023-01-10T14:26:58Z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170ADC051C00446B9F0FBDBBE3CDA41F</vt:lpwstr>
  </property>
</Properties>
</file>