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1ADA0" w14:textId="77777777" w:rsidR="00C557C5" w:rsidRDefault="00A64618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2022</w:t>
      </w:r>
      <w:r>
        <w:rPr>
          <w:rFonts w:ascii="微软雅黑" w:eastAsia="微软雅黑" w:hAnsi="微软雅黑" w:hint="eastAsia"/>
          <w:b/>
          <w:sz w:val="32"/>
          <w:szCs w:val="32"/>
        </w:rPr>
        <w:t>年度常州市新北区名教师成长营年度考核评价表</w:t>
      </w:r>
    </w:p>
    <w:p w14:paraId="386E74EB" w14:textId="01169882" w:rsidR="00C557C5" w:rsidRDefault="009E6085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成长营名称：__</w:t>
      </w:r>
      <w:r w:rsidRPr="00CD6AF1">
        <w:rPr>
          <w:rFonts w:ascii="微软雅黑" w:eastAsia="微软雅黑" w:hAnsi="微软雅黑" w:hint="eastAsia"/>
          <w:b/>
          <w:szCs w:val="21"/>
          <w:u w:val="single"/>
        </w:rPr>
        <w:t>邵宏名师成长营</w:t>
      </w:r>
      <w:r>
        <w:rPr>
          <w:rFonts w:ascii="微软雅黑" w:eastAsia="微软雅黑" w:hAnsi="微软雅黑" w:hint="eastAsia"/>
          <w:b/>
          <w:szCs w:val="21"/>
        </w:rPr>
        <w:t>______                                                                       时间：_</w:t>
      </w:r>
      <w:r w:rsidRPr="00CD6AF1">
        <w:rPr>
          <w:rFonts w:ascii="微软雅黑" w:eastAsia="微软雅黑" w:hAnsi="微软雅黑"/>
          <w:b/>
          <w:szCs w:val="21"/>
          <w:u w:val="single"/>
        </w:rPr>
        <w:t>2022、</w:t>
      </w:r>
      <w:r w:rsidRPr="00CD6AF1">
        <w:rPr>
          <w:rFonts w:ascii="微软雅黑" w:eastAsia="微软雅黑" w:hAnsi="微软雅黑" w:hint="eastAsia"/>
          <w:b/>
          <w:szCs w:val="21"/>
          <w:u w:val="single"/>
        </w:rPr>
        <w:t>1</w:t>
      </w:r>
      <w:r w:rsidRPr="00CD6AF1">
        <w:rPr>
          <w:rFonts w:ascii="微软雅黑" w:eastAsia="微软雅黑" w:hAnsi="微软雅黑"/>
          <w:b/>
          <w:szCs w:val="21"/>
          <w:u w:val="single"/>
        </w:rPr>
        <w:t>2、</w:t>
      </w:r>
      <w:r w:rsidRPr="00CD6AF1">
        <w:rPr>
          <w:rFonts w:ascii="微软雅黑" w:eastAsia="微软雅黑" w:hAnsi="微软雅黑" w:hint="eastAsia"/>
          <w:b/>
          <w:szCs w:val="21"/>
          <w:u w:val="single"/>
        </w:rPr>
        <w:t>3</w:t>
      </w:r>
      <w:r>
        <w:rPr>
          <w:rFonts w:ascii="微软雅黑" w:eastAsia="微软雅黑" w:hAnsi="微软雅黑"/>
          <w:b/>
          <w:szCs w:val="21"/>
          <w:u w:val="single"/>
        </w:rPr>
        <w:t>1</w:t>
      </w:r>
      <w:bookmarkStart w:id="0" w:name="_GoBack"/>
      <w:bookmarkEnd w:id="0"/>
      <w:r>
        <w:rPr>
          <w:rFonts w:ascii="微软雅黑" w:eastAsia="微软雅黑" w:hAnsi="微软雅黑" w:hint="eastAsia"/>
          <w:b/>
          <w:szCs w:val="21"/>
        </w:rPr>
        <w:t>_</w:t>
      </w:r>
      <w:r w:rsidR="00A64618">
        <w:rPr>
          <w:rFonts w:ascii="微软雅黑" w:eastAsia="微软雅黑" w:hAnsi="微软雅黑" w:hint="eastAsia"/>
          <w:b/>
          <w:szCs w:val="21"/>
        </w:rPr>
        <w:t>_</w:t>
      </w:r>
    </w:p>
    <w:tbl>
      <w:tblPr>
        <w:tblStyle w:val="a3"/>
        <w:tblW w:w="13986" w:type="dxa"/>
        <w:tblLayout w:type="fixed"/>
        <w:tblLook w:val="04A0" w:firstRow="1" w:lastRow="0" w:firstColumn="1" w:lastColumn="0" w:noHBand="0" w:noVBand="1"/>
      </w:tblPr>
      <w:tblGrid>
        <w:gridCol w:w="1174"/>
        <w:gridCol w:w="4332"/>
        <w:gridCol w:w="1008"/>
        <w:gridCol w:w="1799"/>
        <w:gridCol w:w="3438"/>
        <w:gridCol w:w="1063"/>
        <w:gridCol w:w="1172"/>
      </w:tblGrid>
      <w:tr w:rsidR="00C557C5" w14:paraId="0A7B495E" w14:textId="77777777">
        <w:trPr>
          <w:trHeight w:val="303"/>
        </w:trPr>
        <w:tc>
          <w:tcPr>
            <w:tcW w:w="1174" w:type="dxa"/>
            <w:vAlign w:val="center"/>
          </w:tcPr>
          <w:p w14:paraId="00883225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评价指标</w:t>
            </w:r>
          </w:p>
        </w:tc>
        <w:tc>
          <w:tcPr>
            <w:tcW w:w="4332" w:type="dxa"/>
            <w:vAlign w:val="center"/>
          </w:tcPr>
          <w:p w14:paraId="03F85B0F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评价内容</w:t>
            </w:r>
          </w:p>
        </w:tc>
        <w:tc>
          <w:tcPr>
            <w:tcW w:w="1008" w:type="dxa"/>
            <w:vAlign w:val="center"/>
          </w:tcPr>
          <w:p w14:paraId="69CA08F8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分值</w:t>
            </w:r>
          </w:p>
        </w:tc>
        <w:tc>
          <w:tcPr>
            <w:tcW w:w="1799" w:type="dxa"/>
            <w:vAlign w:val="center"/>
          </w:tcPr>
          <w:p w14:paraId="06C6F21D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评价方式</w:t>
            </w:r>
          </w:p>
        </w:tc>
        <w:tc>
          <w:tcPr>
            <w:tcW w:w="3438" w:type="dxa"/>
            <w:vAlign w:val="center"/>
          </w:tcPr>
          <w:p w14:paraId="1942F8DC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自评概述</w:t>
            </w:r>
          </w:p>
        </w:tc>
        <w:tc>
          <w:tcPr>
            <w:tcW w:w="1063" w:type="dxa"/>
            <w:vAlign w:val="center"/>
          </w:tcPr>
          <w:p w14:paraId="3951DDD9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自评得分</w:t>
            </w:r>
          </w:p>
        </w:tc>
        <w:tc>
          <w:tcPr>
            <w:tcW w:w="1172" w:type="dxa"/>
            <w:vAlign w:val="center"/>
          </w:tcPr>
          <w:p w14:paraId="14B8A414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考核得分</w:t>
            </w:r>
          </w:p>
        </w:tc>
      </w:tr>
      <w:tr w:rsidR="00C557C5" w14:paraId="4C07A417" w14:textId="77777777">
        <w:trPr>
          <w:trHeight w:val="596"/>
        </w:trPr>
        <w:tc>
          <w:tcPr>
            <w:tcW w:w="1174" w:type="dxa"/>
            <w:vMerge w:val="restart"/>
            <w:vAlign w:val="center"/>
          </w:tcPr>
          <w:p w14:paraId="36BA542B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A1</w:t>
            </w:r>
          </w:p>
          <w:p w14:paraId="253BD83B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基础性指标</w:t>
            </w:r>
          </w:p>
        </w:tc>
        <w:tc>
          <w:tcPr>
            <w:tcW w:w="4332" w:type="dxa"/>
            <w:vAlign w:val="center"/>
          </w:tcPr>
          <w:p w14:paraId="03E30469" w14:textId="77777777" w:rsidR="00C557C5" w:rsidRDefault="00A6461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</w:t>
            </w:r>
            <w:r>
              <w:rPr>
                <w:rFonts w:ascii="仿宋" w:eastAsia="仿宋" w:hAnsi="仿宋" w:cs="仿宋" w:hint="eastAsia"/>
                <w:szCs w:val="21"/>
              </w:rPr>
              <w:t>成长营建设规范。工作实施方案、活动开展过程性资料、阶段总结等完整。</w:t>
            </w:r>
          </w:p>
        </w:tc>
        <w:tc>
          <w:tcPr>
            <w:tcW w:w="1008" w:type="dxa"/>
            <w:vAlign w:val="center"/>
          </w:tcPr>
          <w:p w14:paraId="372CF3BB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799" w:type="dxa"/>
            <w:vAlign w:val="center"/>
          </w:tcPr>
          <w:p w14:paraId="528F20A1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57E39635" w14:textId="0D984BBF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本成长营工作有方案、活动有过错材料，学员、成长营有阶段总结。</w:t>
            </w:r>
          </w:p>
        </w:tc>
        <w:tc>
          <w:tcPr>
            <w:tcW w:w="1063" w:type="dxa"/>
            <w:vAlign w:val="center"/>
          </w:tcPr>
          <w:p w14:paraId="5106414D" w14:textId="2EEF3EB2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1172" w:type="dxa"/>
            <w:vAlign w:val="center"/>
          </w:tcPr>
          <w:p w14:paraId="7803FCD6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557C5" w14:paraId="7C0C91F6" w14:textId="77777777">
        <w:trPr>
          <w:trHeight w:val="890"/>
        </w:trPr>
        <w:tc>
          <w:tcPr>
            <w:tcW w:w="1174" w:type="dxa"/>
            <w:vMerge/>
            <w:vAlign w:val="center"/>
          </w:tcPr>
          <w:p w14:paraId="5C2ED40E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0B8A04CA" w14:textId="77777777" w:rsidR="00C557C5" w:rsidRDefault="00A6461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B2</w:t>
            </w:r>
            <w:r>
              <w:rPr>
                <w:rFonts w:ascii="仿宋" w:eastAsia="仿宋" w:hAnsi="仿宋" w:cs="仿宋" w:hint="eastAsia"/>
                <w:szCs w:val="21"/>
              </w:rPr>
              <w:t>内部管理完善。成员考勤记录完整、档案信息齐全规范，领衔人及助理工作职责明确，经费使用严格执行财务制度。</w:t>
            </w:r>
          </w:p>
        </w:tc>
        <w:tc>
          <w:tcPr>
            <w:tcW w:w="1008" w:type="dxa"/>
            <w:vAlign w:val="center"/>
          </w:tcPr>
          <w:p w14:paraId="48E67BD8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799" w:type="dxa"/>
            <w:vAlign w:val="center"/>
          </w:tcPr>
          <w:p w14:paraId="4D29EBBA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5C452BBD" w14:textId="4E9BD22C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本成长营每次活动有签到、三年有总汇总，领衔人、助理、成员工作职责明确，经费使用严格执行财务制度，有学校会计、校长把关。</w:t>
            </w:r>
          </w:p>
        </w:tc>
        <w:tc>
          <w:tcPr>
            <w:tcW w:w="1063" w:type="dxa"/>
            <w:vAlign w:val="center"/>
          </w:tcPr>
          <w:p w14:paraId="64ABE473" w14:textId="695A801C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1172" w:type="dxa"/>
            <w:vAlign w:val="center"/>
          </w:tcPr>
          <w:p w14:paraId="3167F41C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557C5" w14:paraId="0623C98A" w14:textId="77777777">
        <w:trPr>
          <w:trHeight w:val="596"/>
        </w:trPr>
        <w:tc>
          <w:tcPr>
            <w:tcW w:w="1174" w:type="dxa"/>
            <w:vMerge/>
            <w:vAlign w:val="center"/>
          </w:tcPr>
          <w:p w14:paraId="094888A0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3EAE1826" w14:textId="77777777" w:rsidR="00C557C5" w:rsidRDefault="00A6461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B3</w:t>
            </w:r>
            <w:r>
              <w:rPr>
                <w:rFonts w:ascii="仿宋" w:eastAsia="仿宋" w:hAnsi="仿宋" w:cs="仿宋" w:hint="eastAsia"/>
                <w:szCs w:val="21"/>
              </w:rPr>
              <w:t>成长营活动有序。每年集中研修活动不少于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天（</w:t>
            </w:r>
            <w:r>
              <w:rPr>
                <w:rFonts w:ascii="仿宋" w:eastAsia="仿宋" w:hAnsi="仿宋" w:cs="仿宋" w:hint="eastAsia"/>
                <w:szCs w:val="21"/>
              </w:rPr>
              <w:t>80</w:t>
            </w:r>
            <w:r>
              <w:rPr>
                <w:rFonts w:ascii="仿宋" w:eastAsia="仿宋" w:hAnsi="仿宋" w:cs="仿宋" w:hint="eastAsia"/>
                <w:szCs w:val="21"/>
              </w:rPr>
              <w:t>学时），活动内容丰富，活动方式多元。</w:t>
            </w:r>
          </w:p>
        </w:tc>
        <w:tc>
          <w:tcPr>
            <w:tcW w:w="1008" w:type="dxa"/>
            <w:vAlign w:val="center"/>
          </w:tcPr>
          <w:p w14:paraId="37E14239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1799" w:type="dxa"/>
            <w:vAlign w:val="center"/>
          </w:tcPr>
          <w:p w14:paraId="57B64512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06849E81" w14:textId="4F30270B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有区签名和活动记录。</w:t>
            </w:r>
          </w:p>
        </w:tc>
        <w:tc>
          <w:tcPr>
            <w:tcW w:w="1063" w:type="dxa"/>
            <w:vAlign w:val="center"/>
          </w:tcPr>
          <w:p w14:paraId="28C181F9" w14:textId="03F09A19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1172" w:type="dxa"/>
            <w:vAlign w:val="center"/>
          </w:tcPr>
          <w:p w14:paraId="22A3EF65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557C5" w14:paraId="5F780CE9" w14:textId="77777777">
        <w:trPr>
          <w:trHeight w:val="635"/>
        </w:trPr>
        <w:tc>
          <w:tcPr>
            <w:tcW w:w="1174" w:type="dxa"/>
            <w:vMerge/>
            <w:vAlign w:val="center"/>
          </w:tcPr>
          <w:p w14:paraId="25F7706D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20A0CF67" w14:textId="77777777" w:rsidR="00C557C5" w:rsidRDefault="00A6461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B4</w:t>
            </w:r>
            <w:r>
              <w:rPr>
                <w:rFonts w:ascii="仿宋" w:eastAsia="仿宋" w:hAnsi="仿宋" w:cs="仿宋" w:hint="eastAsia"/>
                <w:szCs w:val="21"/>
              </w:rPr>
              <w:t>领衔人示范辐射到位。领衔人面向全体学员上示范课或作讲座一年不少于</w:t>
            </w: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次。</w:t>
            </w:r>
          </w:p>
        </w:tc>
        <w:tc>
          <w:tcPr>
            <w:tcW w:w="1008" w:type="dxa"/>
            <w:vAlign w:val="center"/>
          </w:tcPr>
          <w:p w14:paraId="54417909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799" w:type="dxa"/>
            <w:vAlign w:val="center"/>
          </w:tcPr>
          <w:p w14:paraId="6ECD2735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4F660D65" w14:textId="2C7487D6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结合具体教学设计，本学年基本上做到每次活动带做1个讲座。</w:t>
            </w:r>
          </w:p>
        </w:tc>
        <w:tc>
          <w:tcPr>
            <w:tcW w:w="1063" w:type="dxa"/>
            <w:vAlign w:val="center"/>
          </w:tcPr>
          <w:p w14:paraId="191CC053" w14:textId="4D37A709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1172" w:type="dxa"/>
            <w:vAlign w:val="center"/>
          </w:tcPr>
          <w:p w14:paraId="7F0AE174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557C5" w14:paraId="426B956E" w14:textId="77777777">
        <w:trPr>
          <w:trHeight w:val="553"/>
        </w:trPr>
        <w:tc>
          <w:tcPr>
            <w:tcW w:w="1174" w:type="dxa"/>
            <w:vMerge/>
            <w:vAlign w:val="center"/>
          </w:tcPr>
          <w:p w14:paraId="1B942488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1D4A3FBD" w14:textId="77777777" w:rsidR="00C557C5" w:rsidRDefault="00A6461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B5</w:t>
            </w:r>
            <w:r>
              <w:rPr>
                <w:rFonts w:ascii="仿宋" w:eastAsia="仿宋" w:hAnsi="仿宋" w:cs="仿宋" w:hint="eastAsia"/>
                <w:szCs w:val="21"/>
              </w:rPr>
              <w:t>项目研究有效。按计划推进项目建设，有阶段性项目研究成果。</w:t>
            </w:r>
          </w:p>
        </w:tc>
        <w:tc>
          <w:tcPr>
            <w:tcW w:w="1008" w:type="dxa"/>
            <w:vAlign w:val="center"/>
          </w:tcPr>
          <w:p w14:paraId="447BF054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799" w:type="dxa"/>
            <w:vAlign w:val="center"/>
          </w:tcPr>
          <w:p w14:paraId="61BFA8F8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10C225DC" w14:textId="2A4D3909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本成长营在教学设计、系列实验设计、创新实验制作、论文研究、课题研究等5大方面成效丰富。</w:t>
            </w:r>
          </w:p>
        </w:tc>
        <w:tc>
          <w:tcPr>
            <w:tcW w:w="1063" w:type="dxa"/>
            <w:vAlign w:val="center"/>
          </w:tcPr>
          <w:p w14:paraId="033334C1" w14:textId="4A689884" w:rsidR="00C557C5" w:rsidRDefault="0091214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1172" w:type="dxa"/>
            <w:vAlign w:val="center"/>
          </w:tcPr>
          <w:p w14:paraId="5E7B7CB2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557C5" w14:paraId="0ED03037" w14:textId="77777777">
        <w:trPr>
          <w:trHeight w:val="596"/>
        </w:trPr>
        <w:tc>
          <w:tcPr>
            <w:tcW w:w="1174" w:type="dxa"/>
            <w:vAlign w:val="center"/>
          </w:tcPr>
          <w:p w14:paraId="3450627F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A2</w:t>
            </w:r>
          </w:p>
          <w:p w14:paraId="0ADF6B32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测评性指标</w:t>
            </w:r>
          </w:p>
        </w:tc>
        <w:tc>
          <w:tcPr>
            <w:tcW w:w="4332" w:type="dxa"/>
            <w:vAlign w:val="center"/>
          </w:tcPr>
          <w:p w14:paraId="38201476" w14:textId="77777777" w:rsidR="00C557C5" w:rsidRDefault="00A6461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B6</w:t>
            </w:r>
            <w:r>
              <w:rPr>
                <w:rFonts w:ascii="仿宋" w:eastAsia="仿宋" w:hAnsi="仿宋" w:cs="仿宋" w:hint="eastAsia"/>
                <w:szCs w:val="21"/>
              </w:rPr>
              <w:t>年度汇报展示。每年</w:t>
            </w:r>
            <w:r>
              <w:rPr>
                <w:rFonts w:ascii="仿宋" w:eastAsia="仿宋" w:hAnsi="仿宋" w:cs="仿宋" w:hint="eastAsia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szCs w:val="21"/>
              </w:rPr>
              <w:t>月底各成长营现场汇报展示一年的活动与成果，由专家评委和大众评委现场测评打分，专家评委占</w:t>
            </w:r>
            <w:r>
              <w:rPr>
                <w:rFonts w:ascii="仿宋" w:eastAsia="仿宋" w:hAnsi="仿宋" w:cs="仿宋" w:hint="eastAsia"/>
                <w:szCs w:val="21"/>
              </w:rPr>
              <w:t>60%</w:t>
            </w:r>
            <w:r>
              <w:rPr>
                <w:rFonts w:ascii="仿宋" w:eastAsia="仿宋" w:hAnsi="仿宋" w:cs="仿宋" w:hint="eastAsia"/>
                <w:szCs w:val="21"/>
              </w:rPr>
              <w:t>，大众评委占</w:t>
            </w:r>
            <w:r>
              <w:rPr>
                <w:rFonts w:ascii="仿宋" w:eastAsia="仿宋" w:hAnsi="仿宋" w:cs="仿宋" w:hint="eastAsia"/>
                <w:szCs w:val="21"/>
              </w:rPr>
              <w:t>40%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1008" w:type="dxa"/>
            <w:vAlign w:val="center"/>
          </w:tcPr>
          <w:p w14:paraId="41BDCEA8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</w:t>
            </w:r>
          </w:p>
        </w:tc>
        <w:tc>
          <w:tcPr>
            <w:tcW w:w="1799" w:type="dxa"/>
            <w:vAlign w:val="center"/>
          </w:tcPr>
          <w:p w14:paraId="29ADCA11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现场展示考评，汇报展示的形式由各成长营自定。</w:t>
            </w:r>
          </w:p>
        </w:tc>
        <w:tc>
          <w:tcPr>
            <w:tcW w:w="3438" w:type="dxa"/>
            <w:vAlign w:val="center"/>
          </w:tcPr>
          <w:p w14:paraId="0B2DA926" w14:textId="77777777" w:rsidR="00C557C5" w:rsidRDefault="00A646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———————————————</w:t>
            </w:r>
          </w:p>
        </w:tc>
        <w:tc>
          <w:tcPr>
            <w:tcW w:w="1063" w:type="dxa"/>
            <w:vAlign w:val="center"/>
          </w:tcPr>
          <w:p w14:paraId="71BEC868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3F1B2110" w14:textId="77777777" w:rsidR="00C557C5" w:rsidRDefault="00C557C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1B565AAC" w14:textId="77777777">
        <w:trPr>
          <w:trHeight w:val="303"/>
        </w:trPr>
        <w:tc>
          <w:tcPr>
            <w:tcW w:w="1174" w:type="dxa"/>
            <w:vMerge w:val="restart"/>
            <w:vAlign w:val="center"/>
          </w:tcPr>
          <w:p w14:paraId="63D679CE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A3</w:t>
            </w:r>
          </w:p>
          <w:p w14:paraId="360BCD25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发展性指标</w:t>
            </w:r>
          </w:p>
        </w:tc>
        <w:tc>
          <w:tcPr>
            <w:tcW w:w="4332" w:type="dxa"/>
            <w:vAlign w:val="center"/>
          </w:tcPr>
          <w:p w14:paraId="7DC9E133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B7综合荣誉：省级8分，市级5分，区级3，校级1分。</w:t>
            </w:r>
          </w:p>
        </w:tc>
        <w:tc>
          <w:tcPr>
            <w:tcW w:w="1008" w:type="dxa"/>
            <w:vMerge w:val="restart"/>
            <w:vAlign w:val="center"/>
          </w:tcPr>
          <w:p w14:paraId="44D15CC9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按实际成果打分，不封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顶。</w:t>
            </w:r>
          </w:p>
        </w:tc>
        <w:tc>
          <w:tcPr>
            <w:tcW w:w="1799" w:type="dxa"/>
            <w:vMerge w:val="restart"/>
            <w:vAlign w:val="center"/>
          </w:tcPr>
          <w:p w14:paraId="2EE15D38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查阅网页（按12项分类汇总后上传于网页“成果展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示”栏目）</w:t>
            </w:r>
          </w:p>
        </w:tc>
        <w:tc>
          <w:tcPr>
            <w:tcW w:w="3438" w:type="dxa"/>
            <w:vAlign w:val="center"/>
          </w:tcPr>
          <w:p w14:paraId="16C1EACA" w14:textId="7135CD1C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李芳区政府嘉奖，王国强钱相如刘燕校级荣誉</w:t>
            </w:r>
          </w:p>
        </w:tc>
        <w:tc>
          <w:tcPr>
            <w:tcW w:w="1063" w:type="dxa"/>
            <w:vAlign w:val="center"/>
          </w:tcPr>
          <w:p w14:paraId="2858F8C3" w14:textId="380AB1E5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172" w:type="dxa"/>
            <w:vAlign w:val="center"/>
          </w:tcPr>
          <w:p w14:paraId="784C1F36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1DEB943B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5AE13C4B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0DD2F1D9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B8单项荣誉：省级3分，市级2分，区级1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分，校级0.5分。</w:t>
            </w:r>
          </w:p>
        </w:tc>
        <w:tc>
          <w:tcPr>
            <w:tcW w:w="1008" w:type="dxa"/>
            <w:vMerge/>
            <w:vAlign w:val="center"/>
          </w:tcPr>
          <w:p w14:paraId="7094DB2F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19A9939C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19909321" w14:textId="0D576873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崔庆国：</w:t>
            </w:r>
            <w:r w:rsidRPr="00F259FF">
              <w:rPr>
                <w:rFonts w:ascii="仿宋" w:eastAsia="仿宋" w:hAnsi="仿宋" w:cs="仿宋" w:hint="eastAsia"/>
                <w:szCs w:val="21"/>
              </w:rPr>
              <w:t>平安校园建设“先进个人”</w:t>
            </w:r>
          </w:p>
        </w:tc>
        <w:tc>
          <w:tcPr>
            <w:tcW w:w="1063" w:type="dxa"/>
            <w:vAlign w:val="center"/>
          </w:tcPr>
          <w:p w14:paraId="5A690917" w14:textId="6D4EB77A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72" w:type="dxa"/>
            <w:vAlign w:val="center"/>
          </w:tcPr>
          <w:p w14:paraId="0A8EA8BA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539D148D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71A258CC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7C35813E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B9论文发表：国家级核心期刊10分，省级及以上刊物3分，市级刊物2分。</w:t>
            </w:r>
          </w:p>
        </w:tc>
        <w:tc>
          <w:tcPr>
            <w:tcW w:w="1008" w:type="dxa"/>
            <w:vMerge/>
            <w:vAlign w:val="center"/>
          </w:tcPr>
          <w:p w14:paraId="2BAC2089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0568E8BC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24B53A48" w14:textId="7FE1A9E5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崔庆国、李芳、匡志海、钱相如各发表一篇省级期刊</w:t>
            </w:r>
          </w:p>
        </w:tc>
        <w:tc>
          <w:tcPr>
            <w:tcW w:w="1063" w:type="dxa"/>
            <w:vAlign w:val="center"/>
          </w:tcPr>
          <w:p w14:paraId="5789A8A8" w14:textId="0F3FA9A9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14:paraId="57182054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12941A56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4C2A3D7D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0B85BD34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B10论文获奖：省一等奖3分，省二等奖2分，省三等奖1分，市一等奖2分，市二等奖1分，市三等奖0.5分，区一等奖1分，区二等奖0.5分。</w:t>
            </w:r>
          </w:p>
        </w:tc>
        <w:tc>
          <w:tcPr>
            <w:tcW w:w="1008" w:type="dxa"/>
            <w:vMerge/>
            <w:vAlign w:val="center"/>
          </w:tcPr>
          <w:p w14:paraId="24B830BC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493262A8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2CFF9003" w14:textId="185C686D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李芳</w:t>
            </w:r>
            <w:r>
              <w:rPr>
                <w:rFonts w:ascii="仿宋" w:eastAsia="仿宋" w:hAnsi="仿宋" w:cs="仿宋" w:hint="eastAsia"/>
                <w:szCs w:val="21"/>
              </w:rPr>
              <w:t>2篇区级一等奖</w:t>
            </w:r>
          </w:p>
        </w:tc>
        <w:tc>
          <w:tcPr>
            <w:tcW w:w="1063" w:type="dxa"/>
            <w:vAlign w:val="center"/>
          </w:tcPr>
          <w:p w14:paraId="634499C8" w14:textId="2C1EE1A2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14:paraId="59CC6D90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15A3D812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56C313BB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14D8D982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B11课题研究：主持省级课题5分，主持市级课题3分，主持区级课题1分。区微型课题一等奖1分，二等奖0.5分。</w:t>
            </w:r>
          </w:p>
        </w:tc>
        <w:tc>
          <w:tcPr>
            <w:tcW w:w="1008" w:type="dxa"/>
            <w:vMerge/>
            <w:vAlign w:val="center"/>
          </w:tcPr>
          <w:p w14:paraId="5E1D0B45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1B463501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37C2DAFE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张晓琨、靳珊珊</w:t>
            </w:r>
          </w:p>
          <w:p w14:paraId="495825A1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赵刚、盛宏立</w:t>
            </w:r>
          </w:p>
          <w:p w14:paraId="6F6C2028" w14:textId="55A865C8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钱惠、王国强各主持一项区级课题</w:t>
            </w:r>
          </w:p>
        </w:tc>
        <w:tc>
          <w:tcPr>
            <w:tcW w:w="1063" w:type="dxa"/>
            <w:vAlign w:val="center"/>
          </w:tcPr>
          <w:p w14:paraId="221A9299" w14:textId="385590C2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72" w:type="dxa"/>
            <w:vAlign w:val="center"/>
          </w:tcPr>
          <w:p w14:paraId="7076B8FE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1738536E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49A4DE50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54F1909B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B12公开课：省级5分，市级2分，区级1分。</w:t>
            </w:r>
          </w:p>
        </w:tc>
        <w:tc>
          <w:tcPr>
            <w:tcW w:w="1008" w:type="dxa"/>
            <w:vMerge/>
            <w:vAlign w:val="center"/>
          </w:tcPr>
          <w:p w14:paraId="52457994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4E55F27D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52448970" w14:textId="459F39EB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崔庆国、庞涛、丁滨艳、张晓琨、王国强、匡志海各开设一节区级公开课</w:t>
            </w:r>
          </w:p>
        </w:tc>
        <w:tc>
          <w:tcPr>
            <w:tcW w:w="1063" w:type="dxa"/>
            <w:vAlign w:val="center"/>
          </w:tcPr>
          <w:p w14:paraId="2A597A56" w14:textId="087DC53D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172" w:type="dxa"/>
            <w:vAlign w:val="center"/>
          </w:tcPr>
          <w:p w14:paraId="45B6F741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6F5A94A3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66E55C21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080C4E89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B13讲座：省级5分，市级2分，区级1分。</w:t>
            </w:r>
          </w:p>
        </w:tc>
        <w:tc>
          <w:tcPr>
            <w:tcW w:w="1008" w:type="dxa"/>
            <w:vMerge/>
            <w:vAlign w:val="center"/>
          </w:tcPr>
          <w:p w14:paraId="5B2D8A80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7D273B32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6516E02D" w14:textId="5C0478F8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邵老师带领成员共开设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4次区级讲作</w:t>
            </w:r>
          </w:p>
        </w:tc>
        <w:tc>
          <w:tcPr>
            <w:tcW w:w="1063" w:type="dxa"/>
            <w:vAlign w:val="center"/>
          </w:tcPr>
          <w:p w14:paraId="39A317A8" w14:textId="32A1AAB2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14:paraId="40CF64CB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24EF6490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010529B4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3E1D94DD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B14评优课、基本功：省一等奖8分，省二等奖6分，市一等奖6分，市二等奖4分，市三等奖2分，区一等奖4分，区二等奖2分，区三等奖1分。</w:t>
            </w:r>
          </w:p>
        </w:tc>
        <w:tc>
          <w:tcPr>
            <w:tcW w:w="1008" w:type="dxa"/>
            <w:vMerge/>
            <w:vAlign w:val="center"/>
          </w:tcPr>
          <w:p w14:paraId="0FE4BE27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555F9145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7F1E3804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李芳区评优课一等奖</w:t>
            </w:r>
          </w:p>
          <w:p w14:paraId="4E54D942" w14:textId="4557EAFD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李芳市评优课二等奖</w:t>
            </w:r>
          </w:p>
        </w:tc>
        <w:tc>
          <w:tcPr>
            <w:tcW w:w="1063" w:type="dxa"/>
            <w:vAlign w:val="center"/>
          </w:tcPr>
          <w:p w14:paraId="281FA6F9" w14:textId="58DEB75D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172" w:type="dxa"/>
            <w:vAlign w:val="center"/>
          </w:tcPr>
          <w:p w14:paraId="61556ACF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0DFF6C37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0EF1A83B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67CF9096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B15教育教学单项比赛：省一等奖4分，省二等奖3分，省三等奖2分，市一等奖3分，市二等奖2分，市三等奖1分，区一等奖2分，区二等奖1分，区三等奖0.5分。</w:t>
            </w:r>
          </w:p>
        </w:tc>
        <w:tc>
          <w:tcPr>
            <w:tcW w:w="1008" w:type="dxa"/>
            <w:vMerge/>
            <w:vAlign w:val="center"/>
          </w:tcPr>
          <w:p w14:paraId="20EAAA54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65951834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23CE6BDE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410CE97B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2765F89D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5A3F1577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1AE730E8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Merge w:val="restart"/>
            <w:vAlign w:val="center"/>
          </w:tcPr>
          <w:p w14:paraId="324BED3A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B16专业称号、职称晋升：专业称号、职称在原有基础上有晋升每人次4分。</w:t>
            </w:r>
          </w:p>
        </w:tc>
        <w:tc>
          <w:tcPr>
            <w:tcW w:w="1008" w:type="dxa"/>
            <w:vMerge/>
            <w:vAlign w:val="center"/>
          </w:tcPr>
          <w:p w14:paraId="25D8A5B6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0359F037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2C613131" w14:textId="732D4140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王国强、靳珊珊、庞涛晋升专业称号</w:t>
            </w:r>
          </w:p>
        </w:tc>
        <w:tc>
          <w:tcPr>
            <w:tcW w:w="1063" w:type="dxa"/>
            <w:vAlign w:val="center"/>
          </w:tcPr>
          <w:p w14:paraId="27A8FC05" w14:textId="2A2D259E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14:paraId="18D90FC7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37CA42CF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41275DB5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Merge/>
            <w:vAlign w:val="center"/>
          </w:tcPr>
          <w:p w14:paraId="1E42BCAD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8" w:type="dxa"/>
            <w:vMerge/>
            <w:vAlign w:val="center"/>
          </w:tcPr>
          <w:p w14:paraId="014CFD1D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0196E0DC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143D088E" w14:textId="2108F17F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王国强职称晋升</w:t>
            </w:r>
          </w:p>
        </w:tc>
        <w:tc>
          <w:tcPr>
            <w:tcW w:w="1063" w:type="dxa"/>
            <w:vAlign w:val="center"/>
          </w:tcPr>
          <w:p w14:paraId="047DEA25" w14:textId="6F255978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14:paraId="6D8C3B42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E6085" w14:paraId="0B09AECF" w14:textId="77777777">
        <w:trPr>
          <w:trHeight w:val="326"/>
        </w:trPr>
        <w:tc>
          <w:tcPr>
            <w:tcW w:w="1174" w:type="dxa"/>
            <w:vMerge/>
            <w:vAlign w:val="center"/>
          </w:tcPr>
          <w:p w14:paraId="6571C9C0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5955C0B0" w14:textId="77777777" w:rsidR="009E6085" w:rsidRDefault="009E6085" w:rsidP="009E608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B17教学成果奖：省级一等奖10分，省级二等奖8分，省级三等奖6分，市一等奖8分，市二等奖6分，市三等奖4分，区一等奖6分，区二等奖4分，区三等奖2分。</w:t>
            </w:r>
          </w:p>
        </w:tc>
        <w:tc>
          <w:tcPr>
            <w:tcW w:w="1008" w:type="dxa"/>
            <w:vMerge/>
            <w:vAlign w:val="center"/>
          </w:tcPr>
          <w:p w14:paraId="49CDF608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7D645F6D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0EADE697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4073EA6C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39F51A96" w14:textId="77777777" w:rsidR="009E6085" w:rsidRDefault="009E6085" w:rsidP="009E60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0D83E52A" w14:textId="77777777" w:rsidR="00C557C5" w:rsidRDefault="00A6461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、发展性指标的成果含成长营领衔人和所有成员，按每人每次累加。</w:t>
      </w:r>
      <w:r>
        <w:rPr>
          <w:rFonts w:hint="eastAsia"/>
        </w:rPr>
        <w:t>2</w:t>
      </w:r>
      <w:r>
        <w:rPr>
          <w:rFonts w:hint="eastAsia"/>
        </w:rPr>
        <w:t>、论文获奖主要指教育行政主管部门、教研机构、教师发展机构、电教机构组织的论文评比活动，同一篇论文不累计，省教育学会组织的论文评比得分减半，杂志社等上述机构不予认可。</w:t>
      </w:r>
      <w:r>
        <w:rPr>
          <w:rFonts w:hint="eastAsia"/>
        </w:rPr>
        <w:t>3</w:t>
      </w:r>
      <w:r>
        <w:rPr>
          <w:rFonts w:hint="eastAsia"/>
        </w:rPr>
        <w:t>、课题研究主要指主持的规划课题、教研课题和电教课题，子课题和参与课题不予认可。</w:t>
      </w:r>
      <w:r>
        <w:rPr>
          <w:rFonts w:hint="eastAsia"/>
        </w:rPr>
        <w:t>4</w:t>
      </w:r>
      <w:r>
        <w:rPr>
          <w:rFonts w:hint="eastAsia"/>
        </w:rPr>
        <w:t>、上述未涉及的其他特殊成果具体商议决定。</w:t>
      </w:r>
      <w:r>
        <w:rPr>
          <w:rFonts w:hint="eastAsia"/>
        </w:rPr>
        <w:t>5</w:t>
      </w:r>
      <w:r>
        <w:rPr>
          <w:rFonts w:hint="eastAsia"/>
        </w:rPr>
        <w:t>、年度考核周期为当年度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sectPr w:rsidR="00C557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D8909" w14:textId="77777777" w:rsidR="00A64618" w:rsidRDefault="00A64618" w:rsidP="0091214E">
      <w:r>
        <w:separator/>
      </w:r>
    </w:p>
  </w:endnote>
  <w:endnote w:type="continuationSeparator" w:id="0">
    <w:p w14:paraId="63C9DABD" w14:textId="77777777" w:rsidR="00A64618" w:rsidRDefault="00A64618" w:rsidP="0091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5738" w14:textId="77777777" w:rsidR="00A64618" w:rsidRDefault="00A64618" w:rsidP="0091214E">
      <w:r>
        <w:separator/>
      </w:r>
    </w:p>
  </w:footnote>
  <w:footnote w:type="continuationSeparator" w:id="0">
    <w:p w14:paraId="0F6422BF" w14:textId="77777777" w:rsidR="00A64618" w:rsidRDefault="00A64618" w:rsidP="0091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kYzZmYTcwNDQ1MDgyY2RkNDkyYzc1ZjZjYTkwY2YifQ=="/>
  </w:docVars>
  <w:rsids>
    <w:rsidRoot w:val="0032035E"/>
    <w:rsid w:val="0032035E"/>
    <w:rsid w:val="00435587"/>
    <w:rsid w:val="006C4453"/>
    <w:rsid w:val="0091214E"/>
    <w:rsid w:val="009E6085"/>
    <w:rsid w:val="00A64618"/>
    <w:rsid w:val="00C2024E"/>
    <w:rsid w:val="00C557C5"/>
    <w:rsid w:val="04817424"/>
    <w:rsid w:val="0980261C"/>
    <w:rsid w:val="481F2506"/>
    <w:rsid w:val="5CB161AE"/>
    <w:rsid w:val="5D4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BAB0B"/>
  <w15:docId w15:val="{19E80192-B06B-45B1-B8C5-2D7FEA76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21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21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qxr</cp:lastModifiedBy>
  <cp:revision>5</cp:revision>
  <dcterms:created xsi:type="dcterms:W3CDTF">2020-01-13T01:18:00Z</dcterms:created>
  <dcterms:modified xsi:type="dcterms:W3CDTF">2022-12-31T12:18:00Z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CC64CF8FA95044FB854715AF1066C321</vt:lpwstr>
  </property>
</Properties>
</file>