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b/>
          <w:bCs/>
          <w:sz w:val="30"/>
          <w:szCs w:val="30"/>
        </w:rPr>
      </w:pPr>
      <w:r>
        <w:rPr>
          <w:rFonts w:hint="eastAsia" w:ascii="黑体" w:eastAsia="黑体"/>
          <w:b/>
          <w:bCs/>
          <w:sz w:val="30"/>
          <w:szCs w:val="30"/>
        </w:rPr>
        <w:t>《基于语文要素的单元整体教学》</w:t>
      </w:r>
    </w:p>
    <w:p>
      <w:pPr>
        <w:shd w:val="clear" w:color="auto" w:fill="FFFFFF"/>
        <w:jc w:val="center"/>
        <w:rPr>
          <w:rFonts w:ascii="黑体" w:eastAsia="黑体"/>
          <w:b/>
          <w:bCs/>
          <w:sz w:val="28"/>
          <w:szCs w:val="28"/>
        </w:rPr>
      </w:pPr>
      <w:r>
        <w:rPr>
          <w:rFonts w:hint="eastAsia" w:ascii="黑体" w:eastAsia="黑体"/>
          <w:b/>
          <w:bCs/>
          <w:sz w:val="28"/>
          <w:szCs w:val="28"/>
        </w:rPr>
        <w:t>研修项目</w:t>
      </w:r>
      <w:r>
        <w:rPr>
          <w:rFonts w:hint="eastAsia" w:eastAsia="黑体"/>
          <w:b/>
          <w:bCs/>
          <w:sz w:val="28"/>
          <w:szCs w:val="28"/>
        </w:rPr>
        <w:t>学习</w:t>
      </w:r>
      <w:r>
        <w:rPr>
          <w:rFonts w:hint="eastAsia" w:ascii="黑体" w:eastAsia="黑体"/>
          <w:b/>
          <w:bCs/>
          <w:sz w:val="28"/>
          <w:szCs w:val="28"/>
        </w:rPr>
        <w:t>心得</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880"/>
        <w:gridCol w:w="1440"/>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548" w:type="dxa"/>
            <w:vAlign w:val="center"/>
          </w:tcPr>
          <w:p>
            <w:pPr>
              <w:shd w:val="clear" w:color="auto" w:fill="FFFFFF"/>
              <w:jc w:val="center"/>
              <w:rPr>
                <w:sz w:val="24"/>
              </w:rPr>
            </w:pPr>
            <w:r>
              <w:rPr>
                <w:rFonts w:hint="eastAsia"/>
                <w:sz w:val="24"/>
              </w:rPr>
              <w:t>学习时间</w:t>
            </w:r>
          </w:p>
        </w:tc>
        <w:tc>
          <w:tcPr>
            <w:tcW w:w="2880" w:type="dxa"/>
            <w:vAlign w:val="center"/>
          </w:tcPr>
          <w:p>
            <w:pPr>
              <w:shd w:val="clear" w:color="auto" w:fill="FFFFFF"/>
              <w:jc w:val="center"/>
              <w:rPr>
                <w:rFonts w:hint="eastAsia" w:eastAsia="宋体"/>
                <w:sz w:val="24"/>
                <w:lang w:eastAsia="zh-CN"/>
              </w:rPr>
            </w:pPr>
            <w:r>
              <w:rPr>
                <w:rFonts w:hint="eastAsia"/>
                <w:sz w:val="24"/>
              </w:rPr>
              <w:t>2022.</w:t>
            </w:r>
            <w:r>
              <w:rPr>
                <w:rFonts w:hint="eastAsia"/>
                <w:sz w:val="24"/>
                <w:lang w:val="en-US" w:eastAsia="zh-CN"/>
              </w:rPr>
              <w:t>9</w:t>
            </w:r>
            <w:bookmarkStart w:id="0" w:name="_GoBack"/>
            <w:bookmarkEnd w:id="0"/>
          </w:p>
        </w:tc>
        <w:tc>
          <w:tcPr>
            <w:tcW w:w="1440" w:type="dxa"/>
            <w:vAlign w:val="center"/>
          </w:tcPr>
          <w:p>
            <w:pPr>
              <w:shd w:val="clear" w:color="auto" w:fill="FFFFFF"/>
              <w:jc w:val="center"/>
              <w:rPr>
                <w:sz w:val="24"/>
              </w:rPr>
            </w:pPr>
            <w:r>
              <w:rPr>
                <w:rFonts w:hint="eastAsia"/>
                <w:sz w:val="24"/>
              </w:rPr>
              <w:t>姓名</w:t>
            </w:r>
          </w:p>
        </w:tc>
        <w:tc>
          <w:tcPr>
            <w:tcW w:w="2654" w:type="dxa"/>
            <w:vAlign w:val="center"/>
          </w:tcPr>
          <w:p>
            <w:pPr>
              <w:shd w:val="clear" w:color="auto" w:fill="FFFFFF"/>
              <w:jc w:val="center"/>
              <w:rPr>
                <w:rFonts w:hint="eastAsia" w:eastAsia="宋体"/>
                <w:sz w:val="24"/>
                <w:lang w:eastAsia="zh-CN"/>
              </w:rPr>
            </w:pPr>
            <w:r>
              <w:rPr>
                <w:rFonts w:hint="eastAsia"/>
                <w:sz w:val="24"/>
                <w:lang w:val="en-US" w:eastAsia="zh-CN"/>
              </w:rPr>
              <w:t>田禾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vAlign w:val="center"/>
          </w:tcPr>
          <w:p>
            <w:pPr>
              <w:shd w:val="clear" w:color="auto" w:fill="FFFFFF"/>
              <w:jc w:val="center"/>
              <w:rPr>
                <w:sz w:val="28"/>
                <w:szCs w:val="28"/>
              </w:rPr>
            </w:pPr>
            <w:r>
              <w:rPr>
                <w:rFonts w:hint="eastAsia"/>
                <w:sz w:val="28"/>
                <w:szCs w:val="28"/>
              </w:rPr>
              <w:t>学习内容</w:t>
            </w:r>
          </w:p>
        </w:tc>
        <w:tc>
          <w:tcPr>
            <w:tcW w:w="6974" w:type="dxa"/>
            <w:gridSpan w:val="3"/>
            <w:vAlign w:val="center"/>
          </w:tcPr>
          <w:p>
            <w:pPr>
              <w:jc w:val="left"/>
              <w:rPr>
                <w:rFonts w:hint="default" w:eastAsia="宋体"/>
                <w:b/>
                <w:bCs/>
                <w:sz w:val="24"/>
                <w:lang w:val="en-US" w:eastAsia="zh-CN"/>
              </w:rPr>
            </w:pPr>
            <w:r>
              <w:rPr>
                <w:rFonts w:hint="eastAsia"/>
                <w:sz w:val="24"/>
                <w:szCs w:val="32"/>
                <w:lang w:val="en-US" w:eastAsia="zh-CN"/>
              </w:rPr>
              <w:t>杜威《我们如何思维》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548" w:type="dxa"/>
            <w:vAlign w:val="center"/>
          </w:tcPr>
          <w:p>
            <w:pPr>
              <w:shd w:val="clear" w:color="auto" w:fill="FFFFFF"/>
              <w:jc w:val="center"/>
              <w:rPr>
                <w:sz w:val="28"/>
                <w:szCs w:val="28"/>
              </w:rPr>
            </w:pPr>
            <w:r>
              <w:rPr>
                <w:rFonts w:hint="eastAsia"/>
                <w:sz w:val="28"/>
                <w:szCs w:val="28"/>
              </w:rPr>
              <w:t>学习心得</w:t>
            </w:r>
          </w:p>
        </w:tc>
        <w:tc>
          <w:tcPr>
            <w:tcW w:w="6974" w:type="dxa"/>
            <w:gridSpan w:val="3"/>
            <w:vAlign w:val="center"/>
          </w:tcPr>
          <w:p>
            <w:pPr>
              <w:ind w:firstLine="480" w:firstLineChars="200"/>
              <w:rPr>
                <w:sz w:val="24"/>
                <w:szCs w:val="32"/>
              </w:rPr>
            </w:pPr>
            <w:r>
              <w:rPr>
                <w:rFonts w:hint="eastAsia"/>
                <w:sz w:val="24"/>
                <w:szCs w:val="32"/>
                <w:lang w:val="en-US" w:eastAsia="zh-CN"/>
              </w:rPr>
              <w:t>我</w:t>
            </w:r>
            <w:r>
              <w:rPr>
                <w:rFonts w:hint="eastAsia"/>
                <w:sz w:val="24"/>
                <w:szCs w:val="32"/>
              </w:rPr>
              <w:t>认真阅读</w:t>
            </w:r>
            <w:r>
              <w:rPr>
                <w:rFonts w:hint="eastAsia"/>
                <w:sz w:val="24"/>
                <w:szCs w:val="32"/>
                <w:lang w:val="en-US" w:eastAsia="zh-CN"/>
              </w:rPr>
              <w:t>了</w:t>
            </w:r>
            <w:r>
              <w:rPr>
                <w:rFonts w:hint="eastAsia"/>
                <w:sz w:val="24"/>
                <w:szCs w:val="32"/>
              </w:rPr>
              <w:t>第一部分</w:t>
            </w:r>
            <w:r>
              <w:rPr>
                <w:rFonts w:hint="eastAsia"/>
                <w:sz w:val="24"/>
                <w:szCs w:val="32"/>
                <w:lang w:eastAsia="zh-CN"/>
              </w:rPr>
              <w:t>——</w:t>
            </w:r>
            <w:r>
              <w:rPr>
                <w:rFonts w:hint="eastAsia"/>
                <w:sz w:val="24"/>
                <w:szCs w:val="32"/>
              </w:rPr>
              <w:t>思维训练的问题，将新收获整理为以下几点：</w:t>
            </w:r>
          </w:p>
          <w:p>
            <w:pPr>
              <w:rPr>
                <w:rFonts w:hint="eastAsia"/>
                <w:b/>
                <w:bCs/>
                <w:sz w:val="24"/>
                <w:szCs w:val="32"/>
              </w:rPr>
            </w:pPr>
            <w:r>
              <w:rPr>
                <w:rFonts w:hint="eastAsia"/>
                <w:b/>
                <w:bCs/>
                <w:sz w:val="24"/>
                <w:szCs w:val="32"/>
              </w:rPr>
              <w:t>1. 思维如何有效发生？</w:t>
            </w:r>
          </w:p>
          <w:p>
            <w:pPr>
              <w:ind w:firstLine="480" w:firstLineChars="200"/>
              <w:rPr>
                <w:rFonts w:hint="eastAsia"/>
                <w:sz w:val="24"/>
                <w:szCs w:val="32"/>
              </w:rPr>
            </w:pPr>
            <w:r>
              <w:rPr>
                <w:rFonts w:hint="eastAsia"/>
                <w:sz w:val="24"/>
                <w:szCs w:val="32"/>
              </w:rPr>
              <w:t>思维的有效发生需要建立在思考这自发自主思考的基础上，结合自身已有的生活、学习</w:t>
            </w:r>
            <w:r>
              <w:rPr>
                <w:rFonts w:hint="eastAsia"/>
                <w:sz w:val="24"/>
                <w:szCs w:val="32"/>
                <w:lang w:val="en-US" w:eastAsia="zh-CN"/>
              </w:rPr>
              <w:t xml:space="preserve"> </w:t>
            </w:r>
            <w:r>
              <w:rPr>
                <w:rFonts w:hint="eastAsia"/>
                <w:sz w:val="24"/>
                <w:szCs w:val="32"/>
              </w:rPr>
              <w:t>经验对既定的信念（问题）产生探究的欲望。新版教材四年级开设问题阅读策略单元，旨在让学生产生问题学习的阅读模式，也就是带着问题去读书，这与思维密切相关——读书思维。要在读书的过程中留下痕迹需要有目的性的阅读，要在读书的过程中建构阅读思维模式。上下两册是呈现能力螺旋式上升的特点的，上册要求学生会提出问题（从哪些角度提出有价值的问题），下册则要求学生解决自己提出的问题。但是在实际的教学过程中，很容易产生僵化的提问模式，学生是否真正在建构阅读思维值得深思。因为大部分的问题具有“迎合”的倾向，怎样设计有效的教学活动需要进一步探讨。</w:t>
            </w:r>
          </w:p>
          <w:p>
            <w:pPr>
              <w:rPr>
                <w:rFonts w:hint="eastAsia"/>
                <w:b/>
                <w:bCs/>
                <w:sz w:val="24"/>
                <w:szCs w:val="32"/>
              </w:rPr>
            </w:pPr>
            <w:r>
              <w:rPr>
                <w:rFonts w:hint="eastAsia"/>
                <w:b/>
                <w:bCs/>
                <w:sz w:val="24"/>
                <w:szCs w:val="32"/>
              </w:rPr>
              <w:t>2. 怎样的思维具有教育意义？</w:t>
            </w:r>
          </w:p>
          <w:p>
            <w:pPr>
              <w:ind w:firstLine="480" w:firstLineChars="200"/>
              <w:rPr>
                <w:rFonts w:hint="eastAsia"/>
                <w:sz w:val="24"/>
                <w:szCs w:val="32"/>
              </w:rPr>
            </w:pPr>
            <w:r>
              <w:rPr>
                <w:rFonts w:hint="eastAsia"/>
                <w:sz w:val="24"/>
                <w:szCs w:val="32"/>
              </w:rPr>
              <w:t>需要具备这三种要素：一是有意义的。它不是漫无目的、天马行空、毫无定规的想象。二是遵循内在的逻辑联系且是合理。具备教育意义的思维是以问题为导向的，问题决定思维的目的，目的控制着思维的整个过程。思维依循问题提出、研究、解决的过程形成连贯的“项”。三是最终思考者通过思维获取信念并指导实践。这里需要避免的窠臼是思维并不指向获取某种知识，思维无正确错误的定性之分，但思维允许质疑，持续不断地质疑，产生新的信念，以此循环。</w:t>
            </w:r>
          </w:p>
          <w:p>
            <w:pPr>
              <w:rPr>
                <w:rFonts w:hint="eastAsia"/>
                <w:b/>
                <w:bCs/>
                <w:sz w:val="24"/>
                <w:szCs w:val="32"/>
              </w:rPr>
            </w:pPr>
            <w:r>
              <w:rPr>
                <w:rFonts w:hint="eastAsia"/>
                <w:b/>
                <w:bCs/>
                <w:sz w:val="24"/>
                <w:szCs w:val="32"/>
              </w:rPr>
              <w:t>3. 教师应当树立怎样的思维训练观？</w:t>
            </w:r>
          </w:p>
          <w:p>
            <w:pPr>
              <w:ind w:firstLine="480" w:firstLineChars="200"/>
              <w:rPr>
                <w:rFonts w:hint="eastAsia"/>
                <w:sz w:val="24"/>
                <w:szCs w:val="32"/>
              </w:rPr>
            </w:pPr>
            <w:r>
              <w:rPr>
                <w:rFonts w:hint="eastAsia"/>
                <w:sz w:val="24"/>
                <w:szCs w:val="32"/>
              </w:rPr>
              <w:t>首先，教师本身要有思维的习惯，具备成熟思维力。其次，教师不应轻易地对学习者下判断，因为每位学习者思维的的深度、广度、快慢都是不一样的，教授者首要任务是最大限度地保留学习者对成熟思维学习的兴趣。第三，教师应当关注每位学习者独特的思维发展区，激发下一阶段思维发展。思维活动训练的开展遵循的原色有三：一是最合适未成年人的智力发展；二是最有利于他们成年后承担社会责任做准备；三是能最大限度促成他们养成敏锐观察和连贯推理的习惯。（教育的真正问题是在于将自然的思维力转化为经受过检验的专业性思维力，将多多少少偶然出现的好奇心和零散的联想转化为时刻保持警觉的，小心谨慎和贯彻始终的探索。P68）</w:t>
            </w:r>
          </w:p>
          <w:p>
            <w:pPr>
              <w:rPr>
                <w:rFonts w:hint="eastAsia"/>
                <w:b/>
                <w:bCs/>
                <w:sz w:val="24"/>
                <w:szCs w:val="32"/>
              </w:rPr>
            </w:pPr>
            <w:r>
              <w:rPr>
                <w:rFonts w:hint="eastAsia"/>
                <w:b/>
                <w:bCs/>
                <w:sz w:val="24"/>
                <w:szCs w:val="32"/>
              </w:rPr>
              <w:t>4. 如何实现思维？</w:t>
            </w:r>
          </w:p>
          <w:p>
            <w:pPr>
              <w:ind w:firstLine="480" w:firstLineChars="200"/>
              <w:rPr>
                <w:rFonts w:ascii="FZShuSong-Z01" w:hAnsi="FZShuSong-Z01" w:eastAsiaTheme="minorEastAsia"/>
                <w:color w:val="000000"/>
                <w:spacing w:val="30"/>
                <w:kern w:val="0"/>
                <w:sz w:val="23"/>
                <w:szCs w:val="23"/>
              </w:rPr>
            </w:pPr>
            <w:r>
              <w:rPr>
                <w:rFonts w:hint="eastAsia"/>
                <w:sz w:val="24"/>
                <w:szCs w:val="32"/>
              </w:rPr>
              <w:t>一拥有一颗好奇心，这是问题产生的来源。在教学过程中，学应多于教。教授的内容来源于学生的问题，调动学生主动思考的热情。二赋予联想，联想的深浅、宽窄、快慢基于学习者的生活学习经验，教师可以拓宽某个领域的内容以此来促进联想，但不可揠苗助长，片面评判思维的好坏。三是敏锐的观察，学会观察是带有一定目的性的。四是连贯有序的逻辑，最终的思维需要指向实践运用，是可操作的。（基本线路为：积累材料——提出有效假设——连贯有序地验证——应用。）</w:t>
            </w:r>
          </w:p>
        </w:tc>
      </w:tr>
    </w:tbl>
    <w:p/>
    <w:p>
      <w:pPr>
        <w:rPr>
          <w:rFonts w:ascii="FZShuSong-Z01" w:hAnsi="FZShuSong-Z01" w:eastAsiaTheme="minorEastAsia"/>
          <w:color w:val="000000"/>
          <w:spacing w:val="30"/>
          <w:kern w:val="0"/>
          <w:sz w:val="23"/>
          <w:szCs w:val="2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auto"/>
    <w:pitch w:val="default"/>
    <w:sig w:usb0="00000000" w:usb1="00000000" w:usb2="00000000" w:usb3="00000000" w:csb0="00000001" w:csb1="00000000"/>
  </w:font>
  <w:font w:name="FZShuSong-Z01">
    <w:altName w:val="宋体"/>
    <w:panose1 w:val="00000000000000000000"/>
    <w:charset w:val="86"/>
    <w:family w:val="roman"/>
    <w:pitch w:val="default"/>
    <w:sig w:usb0="00000000" w:usb1="00000000" w:usb2="00000000" w:usb3="00000000" w:csb0="0016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zYWM5NDA1MjI4NzdhMzhkODA4ODdiOGI2YjU3ZjAifQ=="/>
  </w:docVars>
  <w:rsids>
    <w:rsidRoot w:val="1D484FE5"/>
    <w:rsid w:val="00014086"/>
    <w:rsid w:val="0016473C"/>
    <w:rsid w:val="00231A75"/>
    <w:rsid w:val="00677FDC"/>
    <w:rsid w:val="008865EC"/>
    <w:rsid w:val="008A642F"/>
    <w:rsid w:val="009909CC"/>
    <w:rsid w:val="00995A24"/>
    <w:rsid w:val="00F61400"/>
    <w:rsid w:val="1D484FE5"/>
    <w:rsid w:val="1EA27AE5"/>
    <w:rsid w:val="519B6306"/>
    <w:rsid w:val="5F531FCE"/>
    <w:rsid w:val="6E7DE2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Times" w:hAnsi="Times" w:eastAsiaTheme="minorEastAsia"/>
      <w:kern w:val="0"/>
      <w:sz w:val="20"/>
      <w:szCs w:val="20"/>
    </w:rPr>
  </w:style>
  <w:style w:type="character" w:styleId="5">
    <w:name w:val="Strong"/>
    <w:basedOn w:val="4"/>
    <w:qFormat/>
    <w:uiPriority w:val="22"/>
    <w:rPr>
      <w:b/>
      <w:bCs/>
    </w:rPr>
  </w:style>
  <w:style w:type="paragraph" w:styleId="6">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492</Words>
  <Characters>498</Characters>
  <Lines>24</Lines>
  <Paragraphs>6</Paragraphs>
  <TotalTime>20</TotalTime>
  <ScaleCrop>false</ScaleCrop>
  <LinksUpToDate>false</LinksUpToDate>
  <CharactersWithSpaces>498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2022-12-20T12:24:00Z</dcterms:created>
  <dc:creator>圆溜溜</dc:creator>
  <cp:lastModifiedBy>vic~</cp:lastModifiedBy>
  <dcterms:modified xsi:type="dcterms:W3CDTF">2022-12-26T02:16:12Z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41CAAEC6D6FD4014B67145316B94AA94</vt:lpwstr>
  </property>
</Properties>
</file>