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案例：玩车区的小故事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观察者：孙亚琴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观察时间：</w:t>
      </w:r>
      <w:r>
        <w:rPr>
          <w:rFonts w:hint="eastAsia"/>
          <w:lang w:val="en-US" w:eastAsia="zh-CN"/>
        </w:rPr>
        <w:t>2022.9.22上午9：00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观察对象：大</w:t>
      </w:r>
      <w:r>
        <w:rPr>
          <w:rFonts w:hint="eastAsia"/>
          <w:lang w:val="en-US" w:eastAsia="zh-CN"/>
        </w:rPr>
        <w:t>3班部分幼儿（10人）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观察目标：在集体中能注意听老师或其他人讲话。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观察内容：户外游戏时间，幼儿在玩车区的情况。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观察背景：玩车区刚成立一周，大3班的幼儿第一次在玩车区游戏，对于玩车有一定的经验。</w:t>
      </w:r>
      <w:bookmarkStart w:id="0" w:name="_GoBack"/>
      <w:bookmarkEnd w:id="0"/>
    </w:p>
    <w:tbl>
      <w:tblPr>
        <w:tblStyle w:val="3"/>
        <w:tblW w:w="14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35"/>
        <w:gridCol w:w="2265"/>
        <w:gridCol w:w="2985"/>
        <w:gridCol w:w="2565"/>
        <w:gridCol w:w="3105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2" w:hRule="atLeast"/>
        </w:trPr>
        <w:tc>
          <w:tcPr>
            <w:tcW w:w="1435" w:type="dxa"/>
            <w:vMerge w:val="restart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1" w:firstLineChars="10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幼儿姓名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行为</w:t>
            </w:r>
          </w:p>
        </w:tc>
        <w:tc>
          <w:tcPr>
            <w:tcW w:w="13125" w:type="dxa"/>
            <w:gridSpan w:val="5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教师口令（时间）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55" w:hRule="atLeast"/>
        </w:trPr>
        <w:tc>
          <w:tcPr>
            <w:tcW w:w="1435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0：04，老师的口令：先过来，车子放在那里！</w:t>
            </w:r>
          </w:p>
        </w:tc>
        <w:tc>
          <w:tcPr>
            <w:tcW w:w="2985" w:type="dxa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5：11，老师的口令：那边是人行道，这边是车行道，车子不过去。（重复两遍，单独对接）</w:t>
            </w:r>
          </w:p>
        </w:tc>
        <w:tc>
          <w:tcPr>
            <w:tcW w:w="2565" w:type="dxa"/>
          </w:tcPr>
          <w:p>
            <w:pP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7：58，老师的口令：那边是人行道，车子不过去！</w:t>
            </w:r>
          </w:p>
        </w:tc>
        <w:tc>
          <w:tcPr>
            <w:tcW w:w="3105" w:type="dxa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9：00，做操的提醒音乐响起，老师说：把车子放好，我们每人找个轮胎先坐下来。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9：58，老师问：你们喜不喜欢玩车？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8" w:hRule="atLeast"/>
        </w:trPr>
        <w:tc>
          <w:tcPr>
            <w:tcW w:w="1435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赵晓晨</w:t>
            </w:r>
          </w:p>
        </w:tc>
        <w:tc>
          <w:tcPr>
            <w:tcW w:w="22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跑向停车场，开始推动小车。</w:t>
            </w:r>
          </w:p>
        </w:tc>
        <w:tc>
          <w:tcPr>
            <w:tcW w:w="298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在轮胎围成的内圈中骑车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内圈骑车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1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跑向做操场地，老师单独提醒后，仍然跑远了。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5" w:hRule="atLeast"/>
        </w:trPr>
        <w:tc>
          <w:tcPr>
            <w:tcW w:w="1435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施诺宸</w:t>
            </w:r>
          </w:p>
        </w:tc>
        <w:tc>
          <w:tcPr>
            <w:tcW w:w="22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推动小车</w:t>
            </w:r>
          </w:p>
        </w:tc>
        <w:tc>
          <w:tcPr>
            <w:tcW w:w="298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在内圈骑车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搬走轮胎，从空隙中穿过，被轮胎绊倒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1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骑着小车在几个轮胎中间饶了一圈，随后找到一个轮胎坐下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跑来跑去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8" w:hRule="atLeast"/>
        </w:trPr>
        <w:tc>
          <w:tcPr>
            <w:tcW w:w="1435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陈方宇</w:t>
            </w:r>
          </w:p>
        </w:tc>
        <w:tc>
          <w:tcPr>
            <w:tcW w:w="22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跑向老师，提醒同伴：先回去。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298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在内圈骑车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先在“人行道”奔跑，后奔跑进“车行道”内圈</w:t>
            </w:r>
          </w:p>
        </w:tc>
        <w:tc>
          <w:tcPr>
            <w:tcW w:w="31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马上找到一个轮胎坐下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身体左右转动，和孙云朵交头接耳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3" w:hRule="atLeast"/>
        </w:trPr>
        <w:tc>
          <w:tcPr>
            <w:tcW w:w="1435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曹文轩</w:t>
            </w:r>
          </w:p>
        </w:tc>
        <w:tc>
          <w:tcPr>
            <w:tcW w:w="22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骑上小车绕到了外圈</w:t>
            </w:r>
          </w:p>
        </w:tc>
        <w:tc>
          <w:tcPr>
            <w:tcW w:w="298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在“人行道”奔跑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在圈外奔跑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1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马上找到一个轮胎坐下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站在轮胎中间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8" w:hRule="atLeast"/>
        </w:trPr>
        <w:tc>
          <w:tcPr>
            <w:tcW w:w="1435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孙云朵</w:t>
            </w:r>
          </w:p>
        </w:tc>
        <w:tc>
          <w:tcPr>
            <w:tcW w:w="22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看向老师，继续找车子</w:t>
            </w:r>
          </w:p>
        </w:tc>
        <w:tc>
          <w:tcPr>
            <w:tcW w:w="298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在内圈骑车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在外圈骑车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1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停好车子，找到一个轮胎坐下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走来走去，重新选择轮胎坐下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3" w:hRule="atLeast"/>
        </w:trPr>
        <w:tc>
          <w:tcPr>
            <w:tcW w:w="1435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张誉华</w:t>
            </w:r>
          </w:p>
        </w:tc>
        <w:tc>
          <w:tcPr>
            <w:tcW w:w="22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坐上小车往后倒车</w:t>
            </w:r>
          </w:p>
        </w:tc>
        <w:tc>
          <w:tcPr>
            <w:tcW w:w="298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在内圈骑车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在外圈骑车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1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马上找到一个轮胎坐下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坐在轮胎上，眼睛看向老师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3" w:hRule="atLeast"/>
        </w:trPr>
        <w:tc>
          <w:tcPr>
            <w:tcW w:w="1435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王好</w:t>
            </w:r>
          </w:p>
        </w:tc>
        <w:tc>
          <w:tcPr>
            <w:tcW w:w="22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坐到张心怡的后座上</w:t>
            </w:r>
          </w:p>
        </w:tc>
        <w:tc>
          <w:tcPr>
            <w:tcW w:w="298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在“人行道”奔跑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坐在张心怡后座：我们走人行道吧！</w:t>
            </w:r>
          </w:p>
        </w:tc>
        <w:tc>
          <w:tcPr>
            <w:tcW w:w="31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飞快地跑向做操场地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8" w:hRule="atLeast"/>
        </w:trPr>
        <w:tc>
          <w:tcPr>
            <w:tcW w:w="1435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张海辰</w:t>
            </w:r>
          </w:p>
        </w:tc>
        <w:tc>
          <w:tcPr>
            <w:tcW w:w="22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看看老师，走轮胎</w:t>
            </w:r>
          </w:p>
        </w:tc>
        <w:tc>
          <w:tcPr>
            <w:tcW w:w="298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在老师提醒下离开玩车区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</w:trPr>
        <w:tc>
          <w:tcPr>
            <w:tcW w:w="1435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张心怡</w:t>
            </w:r>
          </w:p>
        </w:tc>
        <w:tc>
          <w:tcPr>
            <w:tcW w:w="22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推动小车，坐上座椅</w:t>
            </w:r>
          </w:p>
        </w:tc>
        <w:tc>
          <w:tcPr>
            <w:tcW w:w="298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在外圈骑车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对王好说：车子不能走人行道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1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紧跟着赵晓晨和王好，飞快地跑向做操场地。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9" w:hRule="atLeast"/>
        </w:trPr>
        <w:tc>
          <w:tcPr>
            <w:tcW w:w="1435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丁佳琪</w:t>
            </w:r>
          </w:p>
        </w:tc>
        <w:tc>
          <w:tcPr>
            <w:tcW w:w="22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自顾自地走轮胎</w:t>
            </w:r>
          </w:p>
        </w:tc>
        <w:tc>
          <w:tcPr>
            <w:tcW w:w="29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在老师提醒下离开玩车区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备注：打</w:t>
      </w:r>
      <w:r>
        <w:rPr>
          <w:rFonts w:hint="default" w:ascii="Arial" w:hAnsi="Arial" w:cs="Arial"/>
          <w:vertAlign w:val="baseline"/>
          <w:lang w:val="en-US" w:eastAsia="zh-CN"/>
        </w:rPr>
        <w:t>√</w:t>
      </w:r>
      <w:r>
        <w:rPr>
          <w:rFonts w:hint="eastAsia" w:ascii="Arial" w:hAnsi="Arial" w:cs="Arial"/>
          <w:vertAlign w:val="baseline"/>
          <w:lang w:val="en-US" w:eastAsia="zh-CN"/>
        </w:rPr>
        <w:t xml:space="preserve"> 表示能按照老师的口令行动。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分析与跟进：</w:t>
      </w:r>
    </w:p>
    <w:p>
      <w:pPr>
        <w:ind w:firstLine="420"/>
        <w:rPr>
          <w:rFonts w:hint="eastAsia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vertAlign w:val="baseline"/>
          <w:lang w:val="en-US" w:eastAsia="zh-CN"/>
        </w:rPr>
        <w:t>依据《指南》语言、社会领域中的相关目标进行分析：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3555"/>
        <w:gridCol w:w="5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vAlign w:val="center"/>
          </w:tcPr>
          <w:p>
            <w:pPr>
              <w:autoSpaceDN w:val="0"/>
              <w:spacing w:line="360" w:lineRule="auto"/>
              <w:jc w:val="center"/>
              <w:textAlignment w:val="top"/>
              <w:rPr>
                <w:rFonts w:hint="eastAsia" w:ascii="宋体" w:hAnsi="宋体" w:eastAsiaTheme="minorEastAsia" w:cstheme="minorBidi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一级指标</w:t>
            </w:r>
          </w:p>
        </w:tc>
        <w:tc>
          <w:tcPr>
            <w:tcW w:w="3555" w:type="dxa"/>
            <w:vAlign w:val="center"/>
          </w:tcPr>
          <w:p>
            <w:pPr>
              <w:autoSpaceDN w:val="0"/>
              <w:spacing w:line="360" w:lineRule="auto"/>
              <w:jc w:val="center"/>
              <w:textAlignment w:val="top"/>
              <w:rPr>
                <w:rFonts w:hint="eastAsia" w:ascii="宋体" w:hAnsi="宋体" w:eastAsiaTheme="minorEastAsia" w:cstheme="minorBidi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二级指标</w:t>
            </w:r>
          </w:p>
        </w:tc>
        <w:tc>
          <w:tcPr>
            <w:tcW w:w="5265" w:type="dxa"/>
            <w:vAlign w:val="center"/>
          </w:tcPr>
          <w:p>
            <w:pPr>
              <w:autoSpaceDN w:val="0"/>
              <w:spacing w:line="360" w:lineRule="auto"/>
              <w:jc w:val="center"/>
              <w:textAlignment w:val="top"/>
              <w:rPr>
                <w:rFonts w:hint="eastAsia" w:ascii="宋体" w:hAnsi="宋体" w:eastAsiaTheme="minorEastAsia" w:cstheme="minorBidi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三级指标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倾听与表达</w:t>
            </w:r>
          </w:p>
        </w:tc>
        <w:tc>
          <w:tcPr>
            <w:tcW w:w="3555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认真听并能听懂常用语言</w:t>
            </w:r>
          </w:p>
        </w:tc>
        <w:tc>
          <w:tcPr>
            <w:tcW w:w="5265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在集体中能注意听老师或其他人讲话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</w:tcPr>
          <w:p>
            <w:pPr>
              <w:spacing w:line="360" w:lineRule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社会适应</w:t>
            </w:r>
          </w:p>
        </w:tc>
        <w:tc>
          <w:tcPr>
            <w:tcW w:w="3555" w:type="dxa"/>
          </w:tcPr>
          <w:p>
            <w:pPr>
              <w:spacing w:line="360" w:lineRule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喜欢并适应群体生活</w:t>
            </w:r>
          </w:p>
        </w:tc>
        <w:tc>
          <w:tcPr>
            <w:tcW w:w="5265" w:type="dxa"/>
          </w:tcPr>
          <w:p>
            <w:pPr>
              <w:spacing w:line="360" w:lineRule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理解规则的意义，能与同伴协商制定游戏和活动规则。</w:t>
            </w:r>
          </w:p>
        </w:tc>
      </w:tr>
    </w:tbl>
    <w:p>
      <w:pPr>
        <w:ind w:firstLine="420"/>
        <w:rPr>
          <w:rFonts w:hint="eastAsia"/>
          <w:b w:val="0"/>
          <w:bCs w:val="0"/>
          <w:sz w:val="21"/>
          <w:szCs w:val="21"/>
          <w:vertAlign w:val="baseline"/>
          <w:lang w:val="en-US" w:eastAsia="zh-CN"/>
        </w:rPr>
      </w:pPr>
    </w:p>
    <w:p>
      <w:pPr>
        <w:ind w:firstLine="420"/>
        <w:rPr>
          <w:rFonts w:hint="eastAsia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>本案例中，时长10分钟的视频中，老师共发出了5次面向集体的指令，其中有两次指令是同样内容的重复。第一次指令：先过来，把车子放在那里。只有一位幼儿按照指令行动。第二次指令：</w:t>
      </w:r>
      <w:r>
        <w:rPr>
          <w:rFonts w:hint="eastAsia"/>
          <w:sz w:val="21"/>
          <w:szCs w:val="21"/>
          <w:lang w:val="en-US" w:eastAsia="zh-CN"/>
        </w:rPr>
        <w:t>那边是人行道，这边是车行道，车子不过去。这一次的指令老师重复了两遍，而且还单独对接了个别幼儿。在老师的提醒下，剩余的8位幼儿都能按照指令将小车驶离“人行道”。但是由于部分幼儿再次回到了“人行道”，老师再次发出了第三次口令：那边是人行道，车子不过去！在老师的再次提醒下，大部分幼儿都能回到车行道，有一位幼儿说：我们去走人行道吧，遭到了同伴的拒绝。第四次口令是在游戏快要结束的情况下，老师发出的：</w:t>
      </w:r>
      <w:r>
        <w:rPr>
          <w:rFonts w:hint="eastAsia"/>
          <w:b w:val="0"/>
          <w:bCs w:val="0"/>
          <w:sz w:val="21"/>
          <w:szCs w:val="21"/>
          <w:vertAlign w:val="baseline"/>
          <w:lang w:val="en-US" w:eastAsia="zh-CN"/>
        </w:rPr>
        <w:t>把车子放好，我们每人找个轮胎先坐下来。8位幼儿中只有5位留了下来，其他三名幼儿在老师的单独提醒下仍然飞快地跑向了做操场地。第5次，老师试图和剩下的5位孩子进行分享交流，但是5名幼儿中只有一位能听从口令，安静地坐在轮胎上进行交流，其他4位，有的是交头接耳，互相交流，有的是跑来跑去……</w:t>
      </w:r>
    </w:p>
    <w:p>
      <w:pPr>
        <w:ind w:firstLine="420"/>
        <w:rPr>
          <w:rFonts w:hint="eastAsia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vertAlign w:val="baseline"/>
          <w:lang w:val="en-US" w:eastAsia="zh-CN"/>
        </w:rPr>
        <w:t>由此可见，案例中的10位幼儿对于“在集体中能注意听老师或其他人讲话”这一目标的达成度并不高，倾听习惯有待改善。在本案例中，玩车区的规则，老师事先没有和孩子说明，玩车区也没有任何显性的规则提示，而老师口头性的规则也并没有引起孩子们的注意。</w:t>
      </w:r>
    </w:p>
    <w:p>
      <w:pPr>
        <w:ind w:firstLine="420"/>
        <w:rPr>
          <w:rFonts w:hint="eastAsia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vertAlign w:val="baseline"/>
          <w:lang w:val="en-US" w:eastAsia="zh-CN"/>
        </w:rPr>
        <w:t>当然，本次观察中也有很多客观因素的干扰：首先，视频中的老师并不是当班老师，也不是幼儿熟悉的老师，幼儿缺乏归属感；其次，场地周围的干扰也比较大，农家小院的游戏正如火如荼地开展，而且，班级老师就在农家小院区进行教研，而旁边的美工区是新的区域，孩子们对于新奇的事物总是充满好奇；最后，孩子们的兴趣都集中在小车上，对老师的指令不感兴趣。当老师试图进行分享交流时，做操的音乐响起了，孩子们会习惯性地向做操的场地跑去。而且本次观察只是一次有限时间内的观察，并不具备典型意义，如想做出更加精确的判断，还需进行多次观察，进一步进行数据积累。</w:t>
      </w:r>
    </w:p>
    <w:p>
      <w:pPr>
        <w:ind w:firstLine="420"/>
        <w:rPr>
          <w:rFonts w:hint="eastAsia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vertAlign w:val="baseline"/>
          <w:lang w:val="en-US" w:eastAsia="zh-CN"/>
        </w:rPr>
        <w:t>综上所述，我觉得后期可从以下几方面进行改进：</w:t>
      </w:r>
    </w:p>
    <w:p>
      <w:pPr>
        <w:numPr>
          <w:ilvl w:val="0"/>
          <w:numId w:val="1"/>
        </w:numPr>
        <w:ind w:firstLine="420"/>
        <w:rPr>
          <w:rFonts w:hint="eastAsia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vertAlign w:val="baseline"/>
          <w:lang w:val="en-US" w:eastAsia="zh-CN"/>
        </w:rPr>
        <w:t>和孩子们一起商量讨论玩车区的规则，并在玩车区显性提示。</w:t>
      </w:r>
    </w:p>
    <w:p>
      <w:pPr>
        <w:numPr>
          <w:ilvl w:val="0"/>
          <w:numId w:val="1"/>
        </w:numPr>
        <w:ind w:firstLine="420"/>
        <w:rPr>
          <w:rFonts w:hint="default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vertAlign w:val="baseline"/>
          <w:lang w:val="en-US" w:eastAsia="zh-CN"/>
        </w:rPr>
        <w:t>和孩子共同观看视频，并进行分享交流，听听视频中10位孩子的想法，同时也在集体中对于能够很好地倾听口令的孩子给予表扬。</w:t>
      </w:r>
    </w:p>
    <w:p>
      <w:pPr>
        <w:numPr>
          <w:ilvl w:val="0"/>
          <w:numId w:val="1"/>
        </w:numPr>
        <w:ind w:firstLine="420"/>
        <w:rPr>
          <w:rFonts w:hint="default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vertAlign w:val="baseline"/>
          <w:lang w:val="en-US" w:eastAsia="zh-CN"/>
        </w:rPr>
        <w:t>和当班老师共同商讨培养幼儿倾听习惯的方法：小小故事会、听听说说的小游戏等。</w:t>
      </w:r>
    </w:p>
    <w:p>
      <w:pPr>
        <w:ind w:firstLine="420"/>
        <w:rPr>
          <w:rFonts w:hint="default"/>
          <w:b w:val="0"/>
          <w:bCs w:val="0"/>
          <w:sz w:val="21"/>
          <w:szCs w:val="21"/>
          <w:vertAlign w:val="baseline"/>
          <w:lang w:val="en-US" w:eastAsia="zh-CN"/>
        </w:rPr>
      </w:pPr>
    </w:p>
    <w:sectPr>
      <w:pgSz w:w="16838" w:h="11906" w:orient="landscape"/>
      <w:pgMar w:top="1519" w:right="1100" w:bottom="1519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99FBB3"/>
    <w:multiLevelType w:val="singleLevel"/>
    <w:tmpl w:val="C699FBB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wZTBkYjBlMGE4NDgwOTg3MGFiYWY0NDgxNWIyNWQifQ=="/>
  </w:docVars>
  <w:rsids>
    <w:rsidRoot w:val="58D1287D"/>
    <w:rsid w:val="58D1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2022-09-30T09:56:00Z</dcterms:created>
  <dc:creator>琴琴</dc:creator>
  <cp:lastModifiedBy>琴琴</cp:lastModifiedBy>
  <dcterms:modified xsi:type="dcterms:W3CDTF">2022-09-30T16:08:50Z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958EC91697DE4850A263D197D5A8BDAA</vt:lpwstr>
  </property>
</Properties>
</file>