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4" w:firstLineChars="300"/>
        <w:rPr>
          <w:rFonts w:ascii="宋体" w:hAnsi="宋体" w:cs="宋体"/>
          <w:b/>
          <w:sz w:val="28"/>
          <w:szCs w:val="28"/>
        </w:rPr>
      </w:pPr>
      <w:r>
        <w:rPr>
          <w:rFonts w:hint="eastAsia" w:ascii="宋体" w:hAnsi="宋体" w:cs="宋体"/>
          <w:b/>
          <w:bCs/>
          <w:kern w:val="0"/>
          <w:sz w:val="36"/>
          <w:szCs w:val="36"/>
        </w:rPr>
        <w:t>新北区</w:t>
      </w:r>
      <w:r>
        <w:rPr>
          <w:rFonts w:hint="eastAsia" w:ascii="宋体" w:hAnsi="宋体" w:cs="宋体"/>
          <w:b/>
          <w:bCs/>
          <w:kern w:val="0"/>
          <w:sz w:val="36"/>
          <w:szCs w:val="36"/>
          <w:u w:val="single"/>
        </w:rPr>
        <w:t xml:space="preserve">   </w:t>
      </w:r>
      <w:r>
        <w:rPr>
          <w:rFonts w:hint="eastAsia" w:ascii="宋体" w:hAnsi="宋体" w:cs="宋体"/>
          <w:b/>
          <w:bCs/>
          <w:kern w:val="0"/>
          <w:sz w:val="36"/>
          <w:szCs w:val="36"/>
          <w:u w:val="single"/>
          <w:lang w:eastAsia="zh-CN"/>
        </w:rPr>
        <w:t>春江幼儿园</w:t>
      </w:r>
      <w:r>
        <w:rPr>
          <w:rFonts w:hint="eastAsia" w:ascii="宋体" w:hAnsi="宋体" w:cs="宋体"/>
          <w:b/>
          <w:bCs/>
          <w:kern w:val="0"/>
          <w:sz w:val="36"/>
          <w:szCs w:val="36"/>
          <w:u w:val="single"/>
        </w:rPr>
        <w:t xml:space="preserve">     </w:t>
      </w:r>
      <w:r>
        <w:rPr>
          <w:rFonts w:hint="eastAsia" w:ascii="宋体" w:hAnsi="宋体" w:cs="宋体"/>
          <w:b/>
          <w:bCs/>
          <w:kern w:val="0"/>
          <w:sz w:val="36"/>
          <w:szCs w:val="36"/>
        </w:rPr>
        <w:t>微型课题申报表</w:t>
      </w:r>
    </w:p>
    <w:tbl>
      <w:tblPr>
        <w:tblStyle w:val="2"/>
        <w:tblpPr w:leftFromText="180" w:rightFromText="180" w:vertAnchor="text" w:horzAnchor="page" w:tblpX="1660" w:tblpY="218"/>
        <w:tblOverlap w:val="never"/>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458"/>
        <w:gridCol w:w="844"/>
        <w:gridCol w:w="1084"/>
        <w:gridCol w:w="920"/>
        <w:gridCol w:w="1085"/>
        <w:gridCol w:w="920"/>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姓 名</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徐媛媛</w:t>
            </w: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性别</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女</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年龄</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33</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学历</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学 科</w:t>
            </w:r>
          </w:p>
        </w:tc>
        <w:tc>
          <w:tcPr>
            <w:tcW w:w="1458"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学前教育</w:t>
            </w:r>
          </w:p>
        </w:tc>
        <w:tc>
          <w:tcPr>
            <w:tcW w:w="844" w:type="dxa"/>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职称</w:t>
            </w:r>
          </w:p>
        </w:tc>
        <w:tc>
          <w:tcPr>
            <w:tcW w:w="1084"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二级教师</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职务</w:t>
            </w: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教研组长</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邮编</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213000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 w:val="24"/>
              </w:rPr>
            </w:pPr>
            <w:r>
              <w:rPr>
                <w:rFonts w:hint="eastAsia" w:ascii="宋体" w:hAnsi="宋体" w:cs="宋体"/>
                <w:color w:val="000000"/>
                <w:kern w:val="0"/>
                <w:sz w:val="24"/>
              </w:rPr>
              <w:t>所在学校</w:t>
            </w:r>
          </w:p>
        </w:tc>
        <w:tc>
          <w:tcPr>
            <w:tcW w:w="23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新北区春江幼儿园</w:t>
            </w:r>
          </w:p>
        </w:tc>
        <w:tc>
          <w:tcPr>
            <w:tcW w:w="1084"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color w:val="000000"/>
                <w:kern w:val="0"/>
                <w:sz w:val="24"/>
              </w:rPr>
            </w:pPr>
            <w:r>
              <w:rPr>
                <w:rFonts w:hint="eastAsia" w:ascii="宋体" w:hAnsi="宋体"/>
                <w:bCs/>
                <w:color w:val="000000"/>
                <w:sz w:val="24"/>
              </w:rPr>
              <w:t>E-mail</w:t>
            </w:r>
          </w:p>
        </w:tc>
        <w:tc>
          <w:tcPr>
            <w:tcW w:w="2005" w:type="dxa"/>
            <w:gridSpan w:val="2"/>
            <w:tcBorders>
              <w:top w:val="nil"/>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1299580582@qq.com</w:t>
            </w:r>
          </w:p>
        </w:tc>
        <w:tc>
          <w:tcPr>
            <w:tcW w:w="920"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ascii="宋体" w:hAnsi="宋体" w:cs="宋体"/>
                <w:color w:val="000000"/>
                <w:kern w:val="0"/>
                <w:sz w:val="24"/>
              </w:rPr>
            </w:pPr>
            <w:r>
              <w:rPr>
                <w:rFonts w:hint="eastAsia" w:ascii="宋体" w:hAnsi="宋体" w:cs="宋体"/>
                <w:color w:val="000000"/>
                <w:kern w:val="0"/>
                <w:sz w:val="24"/>
              </w:rPr>
              <w:t>电话</w:t>
            </w:r>
          </w:p>
        </w:tc>
        <w:tc>
          <w:tcPr>
            <w:tcW w:w="1369" w:type="dxa"/>
            <w:tcBorders>
              <w:top w:val="nil"/>
              <w:left w:val="single" w:color="auto" w:sz="4" w:space="0"/>
              <w:bottom w:val="single" w:color="auto" w:sz="4" w:space="0"/>
              <w:right w:val="single" w:color="auto" w:sz="4" w:space="0"/>
            </w:tcBorders>
            <w:noWrap w:val="0"/>
            <w:vAlign w:val="center"/>
          </w:tcPr>
          <w:p>
            <w:pPr>
              <w:spacing w:line="28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15252325240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35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r>
              <w:rPr>
                <w:rFonts w:hint="eastAsia" w:ascii="宋体" w:hAnsi="宋体"/>
                <w:sz w:val="24"/>
              </w:rPr>
              <w:t>课题组主要成员</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widowControl/>
              <w:spacing w:line="480" w:lineRule="auto"/>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eastAsia="zh-CN"/>
              </w:rPr>
              <w:t>於佳、贾冬玉、于丽君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35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sz w:val="24"/>
              </w:rPr>
            </w:pPr>
            <w:r>
              <w:rPr>
                <w:rFonts w:hint="eastAsia" w:ascii="宋体" w:hAnsi="宋体"/>
                <w:sz w:val="24"/>
              </w:rPr>
              <w:t>课题名称</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spacing w:line="480" w:lineRule="auto"/>
              <w:ind w:firstLine="480" w:firstLineChars="200"/>
              <w:jc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自主生活下幼儿自主签到价值的实践探究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9" w:hRule="exact"/>
        </w:trPr>
        <w:tc>
          <w:tcPr>
            <w:tcW w:w="1355"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r>
              <w:rPr>
                <w:rFonts w:hint="eastAsia" w:ascii="宋体" w:hAnsi="宋体" w:cs="宋体"/>
                <w:color w:val="000000"/>
                <w:kern w:val="0"/>
                <w:sz w:val="24"/>
              </w:rPr>
              <w:t>研究背景（课题的提出）</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kern w:val="0"/>
                <w:sz w:val="24"/>
              </w:rPr>
            </w:pPr>
            <w:r>
              <w:rPr>
                <w:rFonts w:hint="eastAsia"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w:t>
            </w:r>
            <w:r>
              <w:rPr>
                <w:rFonts w:hint="eastAsia" w:ascii="宋体" w:hAnsi="宋体" w:cs="宋体"/>
                <w:kern w:val="0"/>
                <w:sz w:val="24"/>
                <w:lang w:val="en-US" w:eastAsia="zh-CN"/>
              </w:rPr>
              <w:t>8</w:t>
            </w:r>
            <w:r>
              <w:rPr>
                <w:rFonts w:hint="eastAsia" w:ascii="宋体" w:hAnsi="宋体" w:cs="宋体"/>
                <w:kern w:val="0"/>
                <w:sz w:val="24"/>
              </w:rPr>
              <w:t>月，“基于常态生活提升幼儿自主生活能力的策略研究”，被批准立项为</w:t>
            </w:r>
            <w:r>
              <w:rPr>
                <w:rFonts w:hint="eastAsia" w:ascii="宋体" w:hAnsi="宋体" w:cs="宋体"/>
                <w:kern w:val="0"/>
                <w:sz w:val="24"/>
                <w:lang w:val="en-US" w:eastAsia="zh-CN"/>
              </w:rPr>
              <w:t>常州市</w:t>
            </w:r>
            <w:r>
              <w:rPr>
                <w:rFonts w:hint="eastAsia" w:ascii="宋体" w:hAnsi="宋体" w:cs="宋体"/>
                <w:kern w:val="0"/>
                <w:sz w:val="24"/>
              </w:rPr>
              <w:t>教育科学“十</w:t>
            </w:r>
            <w:r>
              <w:rPr>
                <w:rFonts w:hint="eastAsia" w:ascii="宋体" w:hAnsi="宋体" w:cs="宋体"/>
                <w:kern w:val="0"/>
                <w:sz w:val="24"/>
                <w:lang w:val="en-US" w:eastAsia="zh-CN"/>
              </w:rPr>
              <w:t>四</w:t>
            </w:r>
            <w:r>
              <w:rPr>
                <w:rFonts w:hint="eastAsia" w:ascii="宋体" w:hAnsi="宋体" w:cs="宋体"/>
                <w:kern w:val="0"/>
                <w:sz w:val="24"/>
              </w:rPr>
              <w:t>五”</w:t>
            </w:r>
            <w:r>
              <w:rPr>
                <w:rFonts w:hint="eastAsia" w:ascii="宋体" w:hAnsi="宋体" w:cs="宋体"/>
                <w:kern w:val="0"/>
                <w:sz w:val="24"/>
                <w:lang w:val="en-US" w:eastAsia="zh-CN"/>
              </w:rPr>
              <w:t>备案</w:t>
            </w:r>
            <w:r>
              <w:rPr>
                <w:rFonts w:hint="eastAsia" w:ascii="宋体" w:hAnsi="宋体" w:cs="宋体"/>
                <w:kern w:val="0"/>
                <w:sz w:val="24"/>
              </w:rPr>
              <w:t>课题</w:t>
            </w:r>
            <w:r>
              <w:rPr>
                <w:rFonts w:hint="eastAsia" w:ascii="宋体" w:hAnsi="宋体" w:cs="宋体"/>
                <w:kern w:val="0"/>
                <w:sz w:val="24"/>
                <w:lang w:eastAsia="zh-CN"/>
              </w:rPr>
              <w:t>。</w:t>
            </w:r>
            <w:r>
              <w:rPr>
                <w:rFonts w:hint="eastAsia" w:ascii="宋体" w:hAnsi="宋体" w:cs="宋体"/>
                <w:kern w:val="0"/>
                <w:sz w:val="24"/>
                <w:lang w:val="en-US" w:eastAsia="zh-CN"/>
              </w:rPr>
              <w:t>随着江苏省课程游戏化第一步、第二步支架的推进，幼儿的生活活动受到广大教师的重视。   我园从2012年开展幼儿自主用餐、独立入园的生活教育改革，从2019年开展《幼儿园创意生活劳动教育课程》研究，已形成了相应的劳动课程体系，在研究中教师观念在不断转变，对幼儿自主生活能力培养有一定的高度认识，且积累一些自主生活的实操策略，但回到幼儿一日生活的现实中，我们发现园所各班级中关于幼儿自主生活实践中还存在差异：①自主性不够：幼儿在一日活动中在自主意识下的自主生活行为并没有被充分的挖掘。②行动性不足：教师意识到自主生活能力的重要性，但是在实际操作中却有些无从下手，不知道如何做才能发挥自主生活的价值，自主生活能力培养的策略不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exact"/>
        </w:trPr>
        <w:tc>
          <w:tcPr>
            <w:tcW w:w="1355" w:type="dxa"/>
            <w:tcBorders>
              <w:top w:val="single" w:color="auto" w:sz="4" w:space="0"/>
              <w:left w:val="single" w:color="auto" w:sz="4" w:space="0"/>
              <w:bottom w:val="single" w:color="auto" w:sz="4" w:space="0"/>
              <w:right w:val="single" w:color="auto" w:sz="4" w:space="0"/>
            </w:tcBorders>
            <w:noWrap w:val="0"/>
            <w:vAlign w:val="top"/>
          </w:tcPr>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r>
              <w:rPr>
                <w:rFonts w:hint="eastAsia" w:ascii="宋体" w:hAnsi="宋体" w:cs="宋体"/>
                <w:color w:val="000000"/>
                <w:kern w:val="0"/>
                <w:sz w:val="24"/>
              </w:rPr>
              <w:t>核心概念的界定</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480" w:firstLineChars="200"/>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自主生活：</w:t>
            </w:r>
            <w:r>
              <w:rPr>
                <w:rFonts w:ascii="宋体" w:hAnsi="宋体" w:eastAsia="宋体" w:cs="宋体"/>
                <w:sz w:val="24"/>
                <w:szCs w:val="24"/>
              </w:rPr>
              <w:t>自主是自己做主，不受别人支配。遇事能有主见，能对自己的行为负责。自主不仅是一种权利，更是一种能力。在本课题中的自主更多地表现为有自主的意识，并能在活动中有自主的表现。</w:t>
            </w:r>
          </w:p>
          <w:p>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cs="宋体"/>
                <w:color w:val="000000"/>
                <w:kern w:val="0"/>
                <w:sz w:val="24"/>
                <w:lang w:eastAsia="zh-CN"/>
              </w:rPr>
              <w:t>自主签到：</w:t>
            </w:r>
            <w:r>
              <w:rPr>
                <w:rFonts w:ascii="宋体" w:hAnsi="宋体" w:eastAsia="宋体" w:cs="宋体"/>
                <w:sz w:val="24"/>
                <w:szCs w:val="24"/>
                <w:lang w:val="en-US" w:eastAsia="zh-CN"/>
              </w:rPr>
              <w:t>签到是指在规定的本子上签名表示本人已经到达的一种</w:t>
            </w:r>
            <w:r>
              <w:rPr>
                <w:rFonts w:hint="default" w:ascii="宋体" w:hAnsi="宋体" w:eastAsia="宋体" w:cs="宋体"/>
                <w:sz w:val="24"/>
                <w:szCs w:val="24"/>
                <w:lang w:val="en-US" w:eastAsia="zh-CN"/>
              </w:rPr>
              <w:t>记录方式。由此延伸开来讲，幼儿自主签到，即指幼儿独立在幼儿园所提供的本子</w:t>
            </w:r>
            <w:r>
              <w:rPr>
                <w:rFonts w:hint="eastAsia" w:ascii="宋体" w:hAnsi="宋体" w:eastAsia="宋体" w:cs="宋体"/>
                <w:sz w:val="24"/>
                <w:szCs w:val="24"/>
                <w:lang w:val="en-US" w:eastAsia="zh-CN"/>
              </w:rPr>
              <w:t>或者其他材料</w:t>
            </w:r>
            <w:r>
              <w:rPr>
                <w:rFonts w:hint="default" w:ascii="宋体" w:hAnsi="宋体" w:eastAsia="宋体" w:cs="宋体"/>
                <w:sz w:val="24"/>
                <w:szCs w:val="24"/>
                <w:lang w:val="en-US" w:eastAsia="zh-CN"/>
              </w:rPr>
              <w:t>上完成签到，以证明自己来 到幼儿园的一种记录方式。特别需要指出的是，幼儿自 主签到强调“自主”，即由幼儿独立记录、独立签到。</w:t>
            </w:r>
          </w:p>
          <w:p>
            <w:pPr>
              <w:spacing w:line="360" w:lineRule="auto"/>
              <w:ind w:firstLine="480" w:firstLineChars="200"/>
              <w:jc w:val="left"/>
              <w:rPr>
                <w:rFonts w:hint="eastAsia" w:ascii="宋体" w:hAnsi="宋体" w:cs="宋体"/>
                <w:color w:val="000000"/>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exact"/>
        </w:trPr>
        <w:tc>
          <w:tcPr>
            <w:tcW w:w="1355" w:type="dxa"/>
            <w:tcBorders>
              <w:top w:val="single" w:color="auto" w:sz="4" w:space="0"/>
              <w:left w:val="single" w:color="auto" w:sz="4" w:space="0"/>
              <w:bottom w:val="single" w:color="auto" w:sz="4" w:space="0"/>
              <w:right w:val="single" w:color="auto" w:sz="4" w:space="0"/>
            </w:tcBorders>
            <w:noWrap w:val="0"/>
            <w:vAlign w:val="top"/>
          </w:tcPr>
          <w:p>
            <w:pPr>
              <w:widowControl/>
              <w:spacing w:line="280" w:lineRule="exact"/>
              <w:rPr>
                <w:rFonts w:ascii="宋体" w:hAnsi="宋体" w:cs="宋体"/>
                <w:color w:val="000000"/>
                <w:kern w:val="0"/>
                <w:sz w:val="24"/>
              </w:rPr>
            </w:pPr>
          </w:p>
          <w:p>
            <w:pPr>
              <w:widowControl/>
              <w:spacing w:line="28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研 究</w:t>
            </w:r>
          </w:p>
          <w:p>
            <w:pPr>
              <w:widowControl/>
              <w:spacing w:line="280" w:lineRule="exact"/>
              <w:ind w:firstLine="240" w:firstLineChars="100"/>
              <w:jc w:val="left"/>
              <w:rPr>
                <w:rFonts w:ascii="宋体" w:hAnsi="宋体" w:cs="宋体"/>
                <w:color w:val="000000"/>
                <w:kern w:val="0"/>
                <w:sz w:val="24"/>
              </w:rPr>
            </w:pPr>
            <w:r>
              <w:rPr>
                <w:rFonts w:hint="eastAsia" w:ascii="宋体" w:hAnsi="宋体" w:cs="宋体"/>
                <w:color w:val="000000"/>
                <w:kern w:val="0"/>
                <w:sz w:val="24"/>
              </w:rPr>
              <w:t>目 标</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numPr>
                <w:ilvl w:val="0"/>
                <w:numId w:val="1"/>
              </w:numPr>
              <w:spacing w:line="360" w:lineRule="auto"/>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根据幼儿年龄特点，开发适合不同年龄段幼儿的签到形式和环境探索</w:t>
            </w:r>
          </w:p>
          <w:p>
            <w:pPr>
              <w:numPr>
                <w:ilvl w:val="0"/>
                <w:numId w:val="0"/>
              </w:numPr>
              <w:spacing w:line="360" w:lineRule="auto"/>
              <w:jc w:val="left"/>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活动指导策略。</w:t>
            </w:r>
          </w:p>
          <w:p>
            <w:pPr>
              <w:numPr>
                <w:ilvl w:val="0"/>
                <w:numId w:val="1"/>
              </w:numPr>
              <w:spacing w:line="360" w:lineRule="auto"/>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通过本课题的研究，融入更多领域的核心经验，让幼儿在签到中，习得更多的与生活、游戏息息相关的经验，促进幼儿全面发展，探索活动的指导策略。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exact"/>
        </w:trPr>
        <w:tc>
          <w:tcPr>
            <w:tcW w:w="135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ascii="宋体" w:hAnsi="宋体" w:cs="宋体"/>
                <w:color w:val="000000"/>
                <w:kern w:val="0"/>
                <w:sz w:val="24"/>
              </w:rPr>
            </w:pP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研 究</w:t>
            </w: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内 容</w:t>
            </w:r>
          </w:p>
        </w:tc>
        <w:tc>
          <w:tcPr>
            <w:tcW w:w="7680" w:type="dxa"/>
            <w:gridSpan w:val="7"/>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auto"/>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1、自主生活下不同年龄段自主签到形式及其具体操作方法的研究</w:t>
            </w:r>
          </w:p>
          <w:p>
            <w:pPr>
              <w:numPr>
                <w:ilvl w:val="0"/>
                <w:numId w:val="0"/>
              </w:numPr>
              <w:spacing w:line="360" w:lineRule="auto"/>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2、自主生活下自主签到处环境创设，材料的投放的策略研究</w:t>
            </w:r>
          </w:p>
          <w:p>
            <w:pPr>
              <w:numPr>
                <w:ilvl w:val="0"/>
                <w:numId w:val="0"/>
              </w:numPr>
              <w:spacing w:line="280" w:lineRule="exact"/>
              <w:jc w:val="left"/>
              <w:rPr>
                <w:rFonts w:hint="eastAsia" w:ascii="宋体" w:hAnsi="宋体" w:cs="宋体"/>
                <w:color w:val="000000"/>
                <w:kern w:val="0"/>
                <w:sz w:val="24"/>
                <w:lang w:val="en-US" w:eastAsia="zh-CN"/>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p>
            <w:pPr>
              <w:spacing w:line="280" w:lineRule="exact"/>
              <w:jc w:val="left"/>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355" w:type="dxa"/>
            <w:noWrap w:val="0"/>
            <w:vAlign w:val="top"/>
          </w:tcPr>
          <w:p>
            <w:pPr>
              <w:spacing w:line="280" w:lineRule="exact"/>
              <w:rPr>
                <w:rFonts w:ascii="宋体" w:hAnsi="宋体" w:cs="宋体"/>
                <w:color w:val="000000"/>
                <w:kern w:val="0"/>
                <w:sz w:val="24"/>
              </w:rPr>
            </w:pP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研 究</w:t>
            </w:r>
          </w:p>
          <w:p>
            <w:pPr>
              <w:spacing w:line="280" w:lineRule="exact"/>
              <w:ind w:firstLine="240" w:firstLineChars="100"/>
              <w:rPr>
                <w:rFonts w:ascii="宋体" w:hAnsi="宋体" w:cs="宋体"/>
                <w:color w:val="000000"/>
                <w:kern w:val="0"/>
                <w:sz w:val="24"/>
              </w:rPr>
            </w:pPr>
            <w:r>
              <w:rPr>
                <w:rFonts w:hint="eastAsia" w:ascii="宋体" w:hAnsi="宋体" w:cs="宋体"/>
                <w:color w:val="000000"/>
                <w:kern w:val="0"/>
                <w:sz w:val="24"/>
              </w:rPr>
              <w:t>方 法</w:t>
            </w:r>
          </w:p>
        </w:tc>
        <w:tc>
          <w:tcPr>
            <w:tcW w:w="7680" w:type="dxa"/>
            <w:gridSpan w:val="7"/>
            <w:noWrap w:val="0"/>
            <w:vAlign w:val="top"/>
          </w:tcPr>
          <w:p>
            <w:pPr>
              <w:spacing w:line="360" w:lineRule="auto"/>
              <w:rPr>
                <w:rFonts w:ascii="宋体" w:hAnsi="宋体" w:eastAsia="宋体" w:cs="宋体"/>
                <w:sz w:val="24"/>
                <w:szCs w:val="24"/>
              </w:rPr>
            </w:pPr>
            <w:r>
              <w:rPr>
                <w:rFonts w:hint="eastAsia" w:ascii="宋体" w:hAnsi="宋体" w:cs="宋体"/>
                <w:color w:val="000000"/>
                <w:kern w:val="0"/>
                <w:sz w:val="24"/>
                <w:lang w:eastAsia="zh-CN"/>
              </w:rPr>
              <w:t>在课题研究的过程中，我们将借助自主生活课题组成员的集体力量，借助教研的力量帮助我们厘清课题开展的思路，并给出更为科学的研究路径。同时我们也会参考科学的研究方法，来帮助我们实现研究目标，根据不同的研究内容选择不同的研究方法。</w:t>
            </w:r>
            <w:r>
              <w:rPr>
                <w:rFonts w:ascii="宋体" w:hAnsi="宋体" w:eastAsia="宋体" w:cs="宋体"/>
                <w:sz w:val="24"/>
                <w:szCs w:val="24"/>
              </w:rPr>
              <w:br w:type="textWrapping"/>
            </w:r>
            <w:r>
              <w:rPr>
                <w:rFonts w:ascii="宋体" w:hAnsi="宋体" w:eastAsia="宋体" w:cs="宋体"/>
                <w:sz w:val="24"/>
                <w:szCs w:val="24"/>
              </w:rPr>
              <w:t>1、文献研究法。</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研究通过多种途径，主要是中国知网和书籍，查阅和收集与木选题相关方法的国内外文献资料，了解在手工制作活动中培养幼儿创意能力的相关研究，并将文献资料与实践收集的资料加以分析、整理和融合。</w:t>
            </w:r>
            <w:r>
              <w:rPr>
                <w:rFonts w:ascii="宋体" w:hAnsi="宋体" w:eastAsia="宋体" w:cs="宋体"/>
                <w:sz w:val="24"/>
                <w:szCs w:val="24"/>
              </w:rPr>
              <w:br w:type="textWrapping"/>
            </w:r>
            <w:r>
              <w:rPr>
                <w:rFonts w:ascii="宋体" w:hAnsi="宋体" w:eastAsia="宋体" w:cs="宋体"/>
                <w:sz w:val="24"/>
                <w:szCs w:val="24"/>
              </w:rPr>
              <w:t>2、行动研究法</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案例分析:对创意手工教学活动案例进行研究和分析，提出改善的建议，探索适宜的教学内容和有效的教学模式。个案研究:本研究以幼儿作为实践研究的对象，对研究对象的一些典型特行为全面、深入的考察和分析，也就是所谓“解剖麻雀”的方法，了解幼儿在创意手工制作活动中的发展，反观课程的适宜性和有效性。</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ascii="宋体" w:hAnsi="宋体" w:eastAsia="宋体" w:cs="宋体"/>
                <w:sz w:val="24"/>
                <w:szCs w:val="24"/>
              </w:rPr>
              <w:t>观察法</w:t>
            </w:r>
          </w:p>
          <w:p>
            <w:pPr>
              <w:spacing w:line="360" w:lineRule="auto"/>
              <w:ind w:firstLine="480" w:firstLineChars="200"/>
              <w:rPr>
                <w:rFonts w:hint="eastAsia" w:ascii="宋体" w:hAnsi="宋体" w:cs="宋体"/>
                <w:color w:val="000000"/>
                <w:kern w:val="0"/>
                <w:sz w:val="24"/>
                <w:lang w:eastAsia="zh-CN"/>
              </w:rPr>
            </w:pPr>
            <w:r>
              <w:rPr>
                <w:rFonts w:ascii="宋体" w:hAnsi="宋体" w:eastAsia="宋体" w:cs="宋体"/>
                <w:sz w:val="24"/>
                <w:szCs w:val="24"/>
              </w:rPr>
              <w:t>以幼儿为观察对象，制定观察计划，选取适宜的观察方法，观察幼儿在创意手工活动中行为和表现，了解其创意能力的发展情况。</w:t>
            </w:r>
          </w:p>
        </w:tc>
      </w:tr>
    </w:tbl>
    <w:p>
      <w:pPr>
        <w:widowControl/>
        <w:spacing w:line="320" w:lineRule="atLeast"/>
        <w:jc w:val="left"/>
        <w:rPr>
          <w:rFonts w:ascii="宋体" w:hAnsi="宋体" w:cs="宋体"/>
          <w:bCs/>
          <w:color w:val="222222"/>
          <w:kern w:val="0"/>
          <w:sz w:val="24"/>
        </w:rPr>
      </w:pPr>
    </w:p>
    <w:p>
      <w:pPr>
        <w:widowControl/>
        <w:spacing w:line="320" w:lineRule="atLeast"/>
        <w:jc w:val="left"/>
        <w:rPr>
          <w:rFonts w:ascii="宋体" w:hAnsi="宋体" w:cs="宋体"/>
          <w:color w:val="222222"/>
          <w:kern w:val="0"/>
          <w:sz w:val="24"/>
        </w:rPr>
      </w:pPr>
    </w:p>
    <w:tbl>
      <w:tblPr>
        <w:tblStyle w:val="2"/>
        <w:tblpPr w:leftFromText="180" w:rightFromText="180" w:vertAnchor="text" w:horzAnchor="margin" w:tblpXSpec="center" w:tblpY="17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6"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p>
          <w:p>
            <w:pPr>
              <w:spacing w:line="320" w:lineRule="exact"/>
              <w:rPr>
                <w:rFonts w:ascii="宋体" w:hAnsi="宋体" w:cs="宋体"/>
                <w:color w:val="000000"/>
                <w:kern w:val="0"/>
                <w:sz w:val="24"/>
              </w:rPr>
            </w:pPr>
            <w:r>
              <w:rPr>
                <w:rFonts w:hint="eastAsia" w:ascii="宋体" w:hAnsi="宋体" w:cs="宋体"/>
                <w:color w:val="000000"/>
                <w:kern w:val="0"/>
                <w:sz w:val="24"/>
              </w:rPr>
              <w:t>研究步骤</w:t>
            </w:r>
          </w:p>
          <w:p>
            <w:pPr>
              <w:spacing w:line="320" w:lineRule="exact"/>
              <w:rPr>
                <w:rFonts w:ascii="宋体" w:hAns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第一阶段：准备阶段（</w:t>
            </w:r>
            <w:r>
              <w:rPr>
                <w:rFonts w:hint="eastAsia" w:ascii="宋体" w:hAnsi="宋体" w:cs="宋体"/>
                <w:color w:val="000000"/>
                <w:kern w:val="0"/>
                <w:sz w:val="24"/>
                <w:lang w:val="en-US" w:eastAsia="zh-CN"/>
              </w:rPr>
              <w:t>2022年1月—2022年3月</w:t>
            </w:r>
            <w:r>
              <w:rPr>
                <w:rFonts w:hint="eastAsia" w:ascii="宋体" w:hAnsi="宋体" w:cs="宋体"/>
                <w:color w:val="000000"/>
                <w:kern w:val="0"/>
                <w:sz w:val="24"/>
                <w:lang w:eastAsia="zh-CN"/>
              </w:rPr>
              <w:t>）</w:t>
            </w:r>
          </w:p>
          <w:p>
            <w:pPr>
              <w:numPr>
                <w:ilvl w:val="0"/>
                <w:numId w:val="2"/>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确定成员，成立微型课题组。</w:t>
            </w:r>
          </w:p>
          <w:p>
            <w:pPr>
              <w:numPr>
                <w:ilvl w:val="0"/>
                <w:numId w:val="2"/>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课题组成员进行有关理论学习。</w:t>
            </w:r>
          </w:p>
          <w:p>
            <w:pPr>
              <w:numPr>
                <w:ilvl w:val="0"/>
                <w:numId w:val="2"/>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完成课题研究方案，确定目标和研究内容和研究方向。</w:t>
            </w:r>
          </w:p>
          <w:p>
            <w:pPr>
              <w:numPr>
                <w:ilvl w:val="0"/>
                <w:numId w:val="2"/>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整理出小、中、大年龄段签到形式。</w:t>
            </w:r>
          </w:p>
          <w:p>
            <w:pPr>
              <w:numPr>
                <w:ilvl w:val="0"/>
                <w:numId w:val="0"/>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第二阶段：实施阶段（</w:t>
            </w:r>
            <w:r>
              <w:rPr>
                <w:rFonts w:hint="eastAsia" w:ascii="宋体" w:hAnsi="宋体" w:cs="宋体"/>
                <w:color w:val="000000"/>
                <w:kern w:val="0"/>
                <w:sz w:val="24"/>
                <w:lang w:val="en-US" w:eastAsia="zh-CN"/>
              </w:rPr>
              <w:t>2022年4月—2022年11月</w:t>
            </w:r>
            <w:r>
              <w:rPr>
                <w:rFonts w:hint="eastAsia" w:ascii="宋体" w:hAnsi="宋体" w:cs="宋体"/>
                <w:color w:val="000000"/>
                <w:kern w:val="0"/>
                <w:sz w:val="24"/>
                <w:lang w:eastAsia="zh-CN"/>
              </w:rPr>
              <w:t>）</w:t>
            </w:r>
          </w:p>
          <w:p>
            <w:pPr>
              <w:numPr>
                <w:ilvl w:val="0"/>
                <w:numId w:val="3"/>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根据计划开展丰富多彩的活动研究</w:t>
            </w:r>
          </w:p>
          <w:p>
            <w:pPr>
              <w:numPr>
                <w:ilvl w:val="0"/>
                <w:numId w:val="3"/>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边研究边整理行动方案</w:t>
            </w:r>
          </w:p>
          <w:p>
            <w:pPr>
              <w:numPr>
                <w:ilvl w:val="0"/>
                <w:numId w:val="3"/>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开展自助签到下焦点课，微课程的展示活动并研讨</w:t>
            </w:r>
          </w:p>
          <w:p>
            <w:pPr>
              <w:numPr>
                <w:ilvl w:val="0"/>
                <w:numId w:val="3"/>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开展线上沙龙，反思自主签到形式是否合适以及其价值分析</w:t>
            </w:r>
          </w:p>
          <w:p>
            <w:pPr>
              <w:numPr>
                <w:ilvl w:val="0"/>
                <w:numId w:val="3"/>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做好研究资料的归类及整理工作。</w:t>
            </w:r>
          </w:p>
          <w:p>
            <w:pPr>
              <w:numPr>
                <w:ilvl w:val="0"/>
                <w:numId w:val="0"/>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第三阶段：课题总结阶段（</w:t>
            </w:r>
            <w:r>
              <w:rPr>
                <w:rFonts w:hint="eastAsia" w:ascii="宋体" w:hAnsi="宋体" w:cs="宋体"/>
                <w:color w:val="000000"/>
                <w:kern w:val="0"/>
                <w:sz w:val="24"/>
                <w:lang w:val="en-US" w:eastAsia="zh-CN"/>
              </w:rPr>
              <w:t>2022年11月-2022年12月</w:t>
            </w:r>
            <w:r>
              <w:rPr>
                <w:rFonts w:hint="eastAsia" w:ascii="宋体" w:hAnsi="宋体" w:cs="宋体"/>
                <w:color w:val="000000"/>
                <w:kern w:val="0"/>
                <w:sz w:val="24"/>
                <w:lang w:eastAsia="zh-CN"/>
              </w:rPr>
              <w:t>）</w:t>
            </w:r>
          </w:p>
          <w:p>
            <w:pPr>
              <w:numPr>
                <w:ilvl w:val="0"/>
                <w:numId w:val="4"/>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撰写研究报告</w:t>
            </w:r>
          </w:p>
          <w:p>
            <w:pPr>
              <w:numPr>
                <w:ilvl w:val="0"/>
                <w:numId w:val="4"/>
              </w:numPr>
              <w:spacing w:line="360" w:lineRule="auto"/>
              <w:jc w:val="left"/>
              <w:rPr>
                <w:rFonts w:hint="eastAsia" w:ascii="宋体" w:hAnsi="宋体" w:cs="宋体"/>
                <w:color w:val="000000"/>
                <w:kern w:val="0"/>
                <w:sz w:val="24"/>
                <w:lang w:eastAsia="zh-CN"/>
              </w:rPr>
            </w:pPr>
            <w:r>
              <w:rPr>
                <w:rFonts w:hint="eastAsia" w:ascii="宋体" w:hAnsi="宋体" w:cs="宋体"/>
                <w:color w:val="000000"/>
                <w:kern w:val="0"/>
                <w:sz w:val="24"/>
                <w:lang w:eastAsia="zh-CN"/>
              </w:rPr>
              <w:t>整理研究的过程性资料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预期成果</w:t>
            </w: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及呈现方式</w:t>
            </w:r>
          </w:p>
        </w:tc>
        <w:tc>
          <w:tcPr>
            <w:tcW w:w="7560"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ascii="宋体" w:hAnsi="宋体" w:cs="宋体"/>
                <w:color w:val="000000"/>
                <w:kern w:val="0"/>
                <w:sz w:val="24"/>
              </w:rPr>
            </w:pPr>
          </w:p>
          <w:p>
            <w:pPr>
              <w:numPr>
                <w:ilvl w:val="0"/>
                <w:numId w:val="5"/>
              </w:numPr>
              <w:spacing w:line="360" w:lineRule="auto"/>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整理出小、中、大自主签到的形式以及操作方法</w:t>
            </w:r>
          </w:p>
          <w:p>
            <w:pPr>
              <w:numPr>
                <w:ilvl w:val="0"/>
                <w:numId w:val="0"/>
              </w:numPr>
              <w:spacing w:line="360" w:lineRule="auto"/>
              <w:ind w:firstLine="3120" w:firstLineChars="13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——以优秀案例形式呈现</w:t>
            </w:r>
          </w:p>
          <w:p>
            <w:pPr>
              <w:numPr>
                <w:ilvl w:val="0"/>
                <w:numId w:val="0"/>
              </w:numPr>
              <w:spacing w:line="360" w:lineRule="auto"/>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val="en-US" w:eastAsia="zh-CN"/>
              </w:rPr>
              <w:t>2、进一步优化，收集自助签到形式、材料、环境创设的活动案例，并进行整理分析              ——以优秀课程案例呈现</w:t>
            </w:r>
          </w:p>
          <w:p>
            <w:pPr>
              <w:numPr>
                <w:ilvl w:val="0"/>
                <w:numId w:val="0"/>
              </w:numPr>
              <w:spacing w:line="360" w:lineRule="auto"/>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3、一日生活中对幼儿行为的观察以及个案追踪</w:t>
            </w:r>
          </w:p>
          <w:p>
            <w:pPr>
              <w:numPr>
                <w:ilvl w:val="0"/>
                <w:numId w:val="0"/>
              </w:numPr>
              <w:spacing w:line="360" w:lineRule="auto"/>
              <w:ind w:firstLine="3120" w:firstLineChars="1300"/>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——以观察、个案呈现</w:t>
            </w:r>
          </w:p>
          <w:p>
            <w:pPr>
              <w:numPr>
                <w:ilvl w:val="0"/>
                <w:numId w:val="1"/>
              </w:numPr>
              <w:spacing w:line="360" w:lineRule="auto"/>
              <w:ind w:left="0" w:leftChars="0" w:firstLine="0" w:firstLineChars="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lang w:eastAsia="zh-CN"/>
              </w:rPr>
              <w:t>关于自主签到价值的论文或案例发表</w:t>
            </w:r>
          </w:p>
          <w:p>
            <w:pPr>
              <w:numPr>
                <w:ilvl w:val="0"/>
                <w:numId w:val="0"/>
              </w:numPr>
              <w:spacing w:line="360" w:lineRule="auto"/>
              <w:ind w:firstLine="3120" w:firstLineChars="1300"/>
              <w:jc w:val="left"/>
              <w:rPr>
                <w:rFonts w:ascii="宋体" w:hAnsi="宋体" w:cs="宋体"/>
                <w:color w:val="000000"/>
                <w:kern w:val="0"/>
                <w:sz w:val="24"/>
              </w:rPr>
            </w:pPr>
            <w:r>
              <w:rPr>
                <w:rFonts w:hint="eastAsia" w:ascii="宋体" w:hAnsi="宋体" w:eastAsia="宋体" w:cs="宋体"/>
                <w:color w:val="000000"/>
                <w:kern w:val="0"/>
                <w:sz w:val="24"/>
                <w:lang w:eastAsia="zh-CN"/>
              </w:rPr>
              <w:t xml:space="preserve">——论文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exact"/>
        </w:trPr>
        <w:tc>
          <w:tcPr>
            <w:tcW w:w="136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r>
              <w:rPr>
                <w:rFonts w:hint="eastAsia" w:ascii="宋体" w:hAnsi="宋体" w:cs="宋体"/>
                <w:color w:val="000000"/>
                <w:kern w:val="0"/>
                <w:sz w:val="24"/>
              </w:rPr>
              <w:t>学校意见</w:t>
            </w: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p>
            <w:pPr>
              <w:widowControl/>
              <w:spacing w:line="320" w:lineRule="exact"/>
              <w:jc w:val="left"/>
              <w:rPr>
                <w:rFonts w:ascii="宋体" w:hAnsi="宋体" w:cs="宋体"/>
                <w:color w:val="000000"/>
                <w:kern w:val="0"/>
                <w:sz w:val="24"/>
              </w:rPr>
            </w:pPr>
          </w:p>
        </w:tc>
        <w:tc>
          <w:tcPr>
            <w:tcW w:w="7560" w:type="dxa"/>
            <w:tcBorders>
              <w:top w:val="single" w:color="auto" w:sz="4" w:space="0"/>
              <w:left w:val="single" w:color="auto" w:sz="4" w:space="0"/>
              <w:bottom w:val="single" w:color="auto" w:sz="4" w:space="0"/>
              <w:right w:val="single" w:color="auto" w:sz="4" w:space="0"/>
            </w:tcBorders>
            <w:noWrap w:val="0"/>
            <w:vAlign w:val="bottom"/>
          </w:tcPr>
          <w:p>
            <w:pPr>
              <w:widowControl/>
              <w:spacing w:line="320" w:lineRule="exact"/>
              <w:ind w:firstLine="2040" w:firstLineChars="850"/>
              <w:jc w:val="right"/>
              <w:rPr>
                <w:rFonts w:ascii="宋体" w:hAnsi="宋体" w:cs="宋体"/>
                <w:color w:val="000000"/>
                <w:kern w:val="0"/>
                <w:sz w:val="24"/>
              </w:rPr>
            </w:pPr>
            <w:r>
              <w:rPr>
                <w:rFonts w:hint="eastAsia" w:ascii="宋体" w:hAnsi="宋体" w:cs="宋体"/>
                <w:color w:val="000000"/>
                <w:kern w:val="0"/>
                <w:sz w:val="24"/>
              </w:rPr>
              <w:t xml:space="preserve">签 名（章）            年    月     日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E99E3A"/>
    <w:multiLevelType w:val="singleLevel"/>
    <w:tmpl w:val="C4E99E3A"/>
    <w:lvl w:ilvl="0" w:tentative="0">
      <w:start w:val="1"/>
      <w:numFmt w:val="decimal"/>
      <w:suff w:val="nothing"/>
      <w:lvlText w:val="%1、"/>
      <w:lvlJc w:val="left"/>
    </w:lvl>
  </w:abstractNum>
  <w:abstractNum w:abstractNumId="1">
    <w:nsid w:val="0A26A369"/>
    <w:multiLevelType w:val="singleLevel"/>
    <w:tmpl w:val="0A26A369"/>
    <w:lvl w:ilvl="0" w:tentative="0">
      <w:start w:val="1"/>
      <w:numFmt w:val="decimal"/>
      <w:suff w:val="nothing"/>
      <w:lvlText w:val="%1、"/>
      <w:lvlJc w:val="left"/>
    </w:lvl>
  </w:abstractNum>
  <w:abstractNum w:abstractNumId="2">
    <w:nsid w:val="2D634C34"/>
    <w:multiLevelType w:val="singleLevel"/>
    <w:tmpl w:val="2D634C34"/>
    <w:lvl w:ilvl="0" w:tentative="0">
      <w:start w:val="1"/>
      <w:numFmt w:val="decimal"/>
      <w:suff w:val="nothing"/>
      <w:lvlText w:val="（%1）"/>
      <w:lvlJc w:val="left"/>
    </w:lvl>
  </w:abstractNum>
  <w:abstractNum w:abstractNumId="3">
    <w:nsid w:val="56D90AF7"/>
    <w:multiLevelType w:val="singleLevel"/>
    <w:tmpl w:val="56D90AF7"/>
    <w:lvl w:ilvl="0" w:tentative="0">
      <w:start w:val="1"/>
      <w:numFmt w:val="decimal"/>
      <w:suff w:val="nothing"/>
      <w:lvlText w:val="（%1）"/>
      <w:lvlJc w:val="left"/>
    </w:lvl>
  </w:abstractNum>
  <w:abstractNum w:abstractNumId="4">
    <w:nsid w:val="7FE6A945"/>
    <w:multiLevelType w:val="singleLevel"/>
    <w:tmpl w:val="7FE6A945"/>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5F1C3436"/>
    <w:rsid w:val="38931BAB"/>
    <w:rsid w:val="5F1C3436"/>
    <w:rsid w:val="783D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2022-12-09T14:18:00Z</dcterms:created>
  <dc:creator>熊熊作业</dc:creator>
  <cp:lastModifiedBy>熊熊作业</cp:lastModifiedBy>
  <dcterms:modified xsi:type="dcterms:W3CDTF">2022-12-09T14:24:28Z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A0FB6100D1944DA2A1BE6988EF93D386</vt:lpwstr>
  </property>
</Properties>
</file>