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cs="宋体"/>
          <w:b/>
          <w:bCs/>
          <w:sz w:val="40"/>
          <w:szCs w:val="40"/>
        </w:rPr>
      </w:pPr>
    </w:p>
    <w:p>
      <w:pPr>
        <w:snapToGrid w:val="0"/>
        <w:spacing w:line="360" w:lineRule="auto"/>
        <w:jc w:val="center"/>
        <w:rPr>
          <w:rFonts w:ascii="宋体" w:hAnsi="宋体" w:cs="宋体"/>
          <w:b/>
          <w:bCs/>
          <w:sz w:val="40"/>
          <w:szCs w:val="40"/>
        </w:rPr>
      </w:pPr>
    </w:p>
    <w:p>
      <w:pPr>
        <w:snapToGrid w:val="0"/>
        <w:spacing w:line="360" w:lineRule="auto"/>
        <w:jc w:val="center"/>
        <w:rPr>
          <w:rFonts w:ascii="宋体" w:hAnsi="宋体" w:cs="宋体"/>
          <w:b/>
          <w:bCs/>
          <w:sz w:val="40"/>
          <w:szCs w:val="40"/>
        </w:rPr>
      </w:pPr>
      <w:r>
        <w:rPr>
          <w:rFonts w:hint="eastAsia" w:ascii="宋体" w:hAnsi="宋体" w:cs="宋体"/>
          <w:b/>
          <w:bCs/>
          <w:sz w:val="40"/>
          <w:szCs w:val="40"/>
        </w:rPr>
        <w:t>常州市田家炳初级中学改扩建项目</w:t>
      </w:r>
    </w:p>
    <w:p>
      <w:pPr>
        <w:snapToGrid w:val="0"/>
        <w:spacing w:line="360" w:lineRule="auto"/>
        <w:jc w:val="center"/>
        <w:rPr>
          <w:rFonts w:ascii="宋体" w:hAnsi="宋体" w:cs="宋体"/>
          <w:b/>
          <w:bCs/>
          <w:sz w:val="40"/>
          <w:szCs w:val="40"/>
        </w:rPr>
      </w:pPr>
      <w:r>
        <w:rPr>
          <w:rFonts w:hint="eastAsia" w:ascii="宋体" w:hAnsi="宋体" w:cs="宋体"/>
          <w:b/>
          <w:bCs/>
          <w:sz w:val="40"/>
          <w:szCs w:val="40"/>
        </w:rPr>
        <w:t>竣工结算审计（复审）</w:t>
      </w:r>
    </w:p>
    <w:p>
      <w:pPr>
        <w:snapToGrid w:val="0"/>
        <w:spacing w:line="360" w:lineRule="auto"/>
        <w:jc w:val="center"/>
        <w:rPr>
          <w:rFonts w:ascii="宋体" w:hAnsi="宋体" w:cs="宋体"/>
          <w:b/>
          <w:bCs/>
          <w:sz w:val="40"/>
          <w:szCs w:val="40"/>
        </w:rPr>
      </w:pPr>
    </w:p>
    <w:p>
      <w:pPr>
        <w:snapToGrid w:val="0"/>
        <w:spacing w:line="360" w:lineRule="auto"/>
        <w:jc w:val="center"/>
        <w:rPr>
          <w:rFonts w:ascii="宋体" w:hAnsi="宋体" w:cs="宋体"/>
          <w:b/>
          <w:bCs/>
          <w:sz w:val="40"/>
          <w:szCs w:val="40"/>
        </w:rPr>
      </w:pPr>
    </w:p>
    <w:p>
      <w:pPr>
        <w:spacing w:afterLines="50"/>
        <w:ind w:left="723" w:hanging="723" w:hangingChars="100"/>
        <w:jc w:val="center"/>
        <w:rPr>
          <w:rFonts w:ascii="宋体" w:hAnsi="宋体" w:cs="宋体"/>
          <w:b/>
          <w:sz w:val="72"/>
          <w:szCs w:val="72"/>
        </w:rPr>
      </w:pPr>
      <w:r>
        <w:rPr>
          <w:rFonts w:hint="eastAsia" w:ascii="宋体" w:hAnsi="宋体" w:cs="宋体"/>
          <w:b/>
          <w:sz w:val="72"/>
          <w:szCs w:val="72"/>
        </w:rPr>
        <w:t>招标文件</w:t>
      </w:r>
    </w:p>
    <w:p>
      <w:pPr>
        <w:snapToGrid w:val="0"/>
        <w:spacing w:line="360" w:lineRule="auto"/>
        <w:jc w:val="center"/>
        <w:rPr>
          <w:rFonts w:ascii="宋体" w:hAnsi="宋体" w:cs="宋体"/>
          <w:b/>
          <w:bCs/>
          <w:sz w:val="40"/>
          <w:szCs w:val="40"/>
        </w:rPr>
      </w:pPr>
    </w:p>
    <w:p>
      <w:pPr>
        <w:snapToGrid w:val="0"/>
        <w:spacing w:line="360" w:lineRule="auto"/>
        <w:jc w:val="center"/>
        <w:rPr>
          <w:rFonts w:ascii="宋体" w:hAnsi="宋体" w:cs="宋体"/>
          <w:b/>
          <w:sz w:val="36"/>
          <w:szCs w:val="36"/>
        </w:rPr>
      </w:pPr>
    </w:p>
    <w:p>
      <w:pPr>
        <w:snapToGrid w:val="0"/>
        <w:spacing w:line="360" w:lineRule="auto"/>
        <w:jc w:val="center"/>
        <w:rPr>
          <w:rFonts w:ascii="宋体" w:hAnsi="宋体" w:cs="宋体"/>
          <w:b/>
          <w:sz w:val="36"/>
          <w:szCs w:val="36"/>
        </w:rPr>
      </w:pPr>
      <w:r>
        <w:rPr>
          <w:rFonts w:hint="eastAsia" w:ascii="宋体" w:hAnsi="宋体" w:cs="宋体"/>
          <w:b/>
          <w:sz w:val="32"/>
          <w:szCs w:val="32"/>
        </w:rPr>
        <w:t>项目编号：</w:t>
      </w:r>
      <w:r>
        <w:rPr>
          <w:rFonts w:hint="eastAsia" w:ascii="宋体" w:hAnsi="宋体" w:cs="宋体"/>
          <w:b/>
          <w:sz w:val="36"/>
          <w:szCs w:val="36"/>
        </w:rPr>
        <w:t>常田初采邀（2022）01号</w:t>
      </w:r>
    </w:p>
    <w:p>
      <w:pPr>
        <w:snapToGrid w:val="0"/>
        <w:spacing w:line="360" w:lineRule="auto"/>
        <w:jc w:val="center"/>
        <w:rPr>
          <w:rFonts w:ascii="宋体" w:hAnsi="宋体" w:cs="宋体"/>
          <w:b/>
          <w:sz w:val="36"/>
          <w:szCs w:val="36"/>
        </w:rPr>
      </w:pPr>
    </w:p>
    <w:p>
      <w:pPr>
        <w:snapToGrid w:val="0"/>
        <w:spacing w:line="360" w:lineRule="auto"/>
        <w:rPr>
          <w:rFonts w:ascii="宋体" w:hAnsi="宋体" w:cs="宋体"/>
          <w:b/>
          <w:sz w:val="20"/>
          <w:szCs w:val="21"/>
        </w:rPr>
      </w:pPr>
    </w:p>
    <w:p>
      <w:pPr>
        <w:snapToGrid w:val="0"/>
        <w:spacing w:line="360" w:lineRule="auto"/>
        <w:jc w:val="center"/>
        <w:rPr>
          <w:rFonts w:ascii="宋体" w:hAnsi="宋体" w:cs="宋体"/>
          <w:sz w:val="36"/>
          <w:szCs w:val="36"/>
        </w:rPr>
      </w:pPr>
    </w:p>
    <w:p>
      <w:pPr>
        <w:snapToGrid w:val="0"/>
        <w:spacing w:line="360" w:lineRule="auto"/>
        <w:jc w:val="center"/>
        <w:rPr>
          <w:rFonts w:ascii="宋体" w:hAnsi="宋体" w:cs="宋体"/>
          <w:sz w:val="36"/>
          <w:szCs w:val="36"/>
        </w:rPr>
      </w:pPr>
    </w:p>
    <w:p>
      <w:pPr>
        <w:snapToGrid w:val="0"/>
        <w:spacing w:line="360" w:lineRule="auto"/>
        <w:jc w:val="center"/>
        <w:rPr>
          <w:rFonts w:ascii="宋体" w:hAnsi="宋体" w:cs="宋体"/>
          <w:sz w:val="36"/>
          <w:szCs w:val="36"/>
        </w:rPr>
      </w:pPr>
    </w:p>
    <w:p>
      <w:pPr>
        <w:snapToGrid w:val="0"/>
        <w:spacing w:line="360" w:lineRule="auto"/>
        <w:jc w:val="center"/>
        <w:rPr>
          <w:rFonts w:ascii="宋体" w:hAnsi="宋体" w:cs="宋体"/>
          <w:b/>
          <w:sz w:val="20"/>
          <w:szCs w:val="21"/>
        </w:rPr>
      </w:pPr>
      <w:r>
        <w:rPr>
          <w:rFonts w:hint="eastAsia" w:ascii="宋体" w:hAnsi="宋体" w:cs="宋体"/>
          <w:sz w:val="36"/>
          <w:szCs w:val="36"/>
        </w:rPr>
        <w:t xml:space="preserve">    </w:t>
      </w:r>
    </w:p>
    <w:p>
      <w:pPr>
        <w:spacing w:line="480" w:lineRule="exact"/>
        <w:rPr>
          <w:rFonts w:ascii="宋体" w:hAnsi="宋体" w:cs="宋体"/>
          <w:sz w:val="36"/>
          <w:szCs w:val="36"/>
        </w:rPr>
      </w:pPr>
      <w:r>
        <w:rPr>
          <w:rFonts w:hint="eastAsia" w:ascii="宋体" w:hAnsi="宋体" w:cs="宋体"/>
          <w:sz w:val="36"/>
          <w:szCs w:val="36"/>
        </w:rPr>
        <w:t xml:space="preserve">        采购人：常州市田家炳初级中学</w:t>
      </w:r>
    </w:p>
    <w:p>
      <w:pPr>
        <w:spacing w:line="480" w:lineRule="exact"/>
        <w:jc w:val="center"/>
        <w:rPr>
          <w:rFonts w:ascii="宋体" w:hAnsi="宋体" w:cs="宋体"/>
          <w:sz w:val="36"/>
          <w:szCs w:val="36"/>
        </w:rPr>
      </w:pPr>
    </w:p>
    <w:p>
      <w:pPr>
        <w:spacing w:line="480" w:lineRule="exact"/>
        <w:jc w:val="center"/>
        <w:rPr>
          <w:rFonts w:ascii="宋体" w:hAnsi="宋体" w:cs="宋体"/>
          <w:sz w:val="36"/>
          <w:szCs w:val="36"/>
        </w:rPr>
      </w:pPr>
    </w:p>
    <w:p>
      <w:pPr>
        <w:spacing w:line="480" w:lineRule="exact"/>
        <w:jc w:val="center"/>
        <w:rPr>
          <w:rFonts w:ascii="宋体" w:hAnsi="宋体" w:cs="宋体"/>
          <w:sz w:val="36"/>
          <w:szCs w:val="36"/>
        </w:rPr>
      </w:pPr>
      <w:r>
        <w:rPr>
          <w:rFonts w:hint="eastAsia" w:ascii="宋体" w:hAnsi="宋体" w:cs="宋体"/>
          <w:sz w:val="36"/>
          <w:szCs w:val="36"/>
        </w:rPr>
        <w:t>二〇二二年十一月</w:t>
      </w:r>
    </w:p>
    <w:p>
      <w:pPr>
        <w:pStyle w:val="23"/>
        <w:rPr>
          <w:rFonts w:ascii="宋体" w:hAnsi="宋体" w:cs="宋体"/>
          <w:b/>
          <w:bCs/>
        </w:rPr>
      </w:pPr>
      <w:r>
        <w:rPr>
          <w:rFonts w:hint="eastAsia" w:ascii="宋体" w:hAnsi="宋体" w:cs="宋体"/>
          <w:b/>
          <w:bCs/>
          <w:sz w:val="48"/>
          <w:szCs w:val="48"/>
        </w:rPr>
        <w:t>目  录</w:t>
      </w:r>
    </w:p>
    <w:p>
      <w:pPr>
        <w:rPr>
          <w:rFonts w:ascii="宋体" w:hAnsi="宋体" w:cs="宋体"/>
        </w:rPr>
      </w:pPr>
    </w:p>
    <w:p>
      <w:pPr>
        <w:pStyle w:val="23"/>
        <w:tabs>
          <w:tab w:val="right" w:leader="dot" w:pos="8296"/>
        </w:tabs>
        <w:rPr>
          <w:rFonts w:eastAsiaTheme="minorEastAsia" w:cstheme="minorBidi"/>
          <w:smallCaps w:val="0"/>
          <w:kern w:val="2"/>
          <w:sz w:val="21"/>
          <w:szCs w:val="22"/>
        </w:rPr>
      </w:pPr>
      <w:bookmarkStart w:id="0" w:name="_Toc14512117"/>
      <w:r>
        <w:rPr>
          <w:rStyle w:val="32"/>
          <w:rFonts w:hint="eastAsia" w:ascii="宋体" w:hAnsi="宋体" w:cs="宋体"/>
          <w:color w:val="auto"/>
          <w:sz w:val="24"/>
          <w:szCs w:val="24"/>
        </w:rPr>
        <w:fldChar w:fldCharType="begin"/>
      </w:r>
      <w:r>
        <w:rPr>
          <w:rStyle w:val="32"/>
          <w:rFonts w:hint="eastAsia" w:ascii="宋体" w:hAnsi="宋体" w:cs="宋体"/>
          <w:color w:val="auto"/>
          <w:sz w:val="24"/>
          <w:szCs w:val="24"/>
        </w:rPr>
        <w:instrText xml:space="preserve"> TOC \o "1-3" \h \z \u </w:instrText>
      </w:r>
      <w:r>
        <w:rPr>
          <w:rStyle w:val="32"/>
          <w:rFonts w:hint="eastAsia" w:ascii="宋体" w:hAnsi="宋体" w:cs="宋体"/>
          <w:color w:val="auto"/>
          <w:sz w:val="24"/>
          <w:szCs w:val="24"/>
        </w:rPr>
        <w:fldChar w:fldCharType="separate"/>
      </w:r>
      <w:r>
        <w:fldChar w:fldCharType="begin"/>
      </w:r>
      <w:r>
        <w:instrText xml:space="preserve"> HYPERLINK \l "_Toc120261230" </w:instrText>
      </w:r>
      <w:r>
        <w:fldChar w:fldCharType="separate"/>
      </w:r>
      <w:r>
        <w:rPr>
          <w:rStyle w:val="32"/>
          <w:rFonts w:hint="eastAsia" w:ascii="宋体" w:hAnsi="宋体" w:cs="宋体"/>
        </w:rPr>
        <w:t>第一章</w:t>
      </w:r>
      <w:r>
        <w:rPr>
          <w:rStyle w:val="32"/>
          <w:rFonts w:ascii="宋体" w:hAnsi="宋体" w:cs="宋体"/>
        </w:rPr>
        <w:t xml:space="preserve">   </w:t>
      </w:r>
      <w:r>
        <w:rPr>
          <w:rStyle w:val="32"/>
          <w:rFonts w:hint="eastAsia" w:ascii="宋体" w:hAnsi="宋体" w:cs="宋体"/>
        </w:rPr>
        <w:t>投标邀请书</w:t>
      </w:r>
      <w:r>
        <w:tab/>
      </w:r>
      <w:r>
        <w:fldChar w:fldCharType="begin"/>
      </w:r>
      <w:r>
        <w:instrText xml:space="preserve"> PAGEREF _Toc120261230 \h </w:instrText>
      </w:r>
      <w:r>
        <w:fldChar w:fldCharType="separate"/>
      </w:r>
      <w:r>
        <w:t>3</w:t>
      </w:r>
      <w:r>
        <w:fldChar w:fldCharType="end"/>
      </w:r>
      <w:r>
        <w:fldChar w:fldCharType="end"/>
      </w:r>
    </w:p>
    <w:p>
      <w:pPr>
        <w:pStyle w:val="23"/>
        <w:tabs>
          <w:tab w:val="right" w:leader="dot" w:pos="8296"/>
        </w:tabs>
        <w:rPr>
          <w:rFonts w:eastAsiaTheme="minorEastAsia" w:cstheme="minorBidi"/>
          <w:smallCaps w:val="0"/>
          <w:kern w:val="2"/>
          <w:sz w:val="21"/>
          <w:szCs w:val="22"/>
        </w:rPr>
      </w:pPr>
      <w:r>
        <w:fldChar w:fldCharType="begin"/>
      </w:r>
      <w:r>
        <w:instrText xml:space="preserve"> HYPERLINK \l "_Toc120261231" </w:instrText>
      </w:r>
      <w:r>
        <w:fldChar w:fldCharType="separate"/>
      </w:r>
      <w:r>
        <w:rPr>
          <w:rStyle w:val="32"/>
          <w:rFonts w:hint="eastAsia" w:ascii="宋体" w:hAnsi="宋体" w:cs="宋体"/>
        </w:rPr>
        <w:t>第二章</w:t>
      </w:r>
      <w:r>
        <w:rPr>
          <w:rStyle w:val="32"/>
          <w:rFonts w:ascii="宋体" w:hAnsi="宋体" w:cs="宋体"/>
        </w:rPr>
        <w:t xml:space="preserve">   </w:t>
      </w:r>
      <w:r>
        <w:rPr>
          <w:rStyle w:val="32"/>
          <w:rFonts w:hint="eastAsia" w:ascii="宋体" w:hAnsi="宋体" w:cs="宋体"/>
        </w:rPr>
        <w:t>投标人须知</w:t>
      </w:r>
      <w:r>
        <w:tab/>
      </w:r>
      <w:r>
        <w:fldChar w:fldCharType="begin"/>
      </w:r>
      <w:r>
        <w:instrText xml:space="preserve"> PAGEREF _Toc120261231 \h </w:instrText>
      </w:r>
      <w:r>
        <w:fldChar w:fldCharType="separate"/>
      </w:r>
      <w:r>
        <w:t>6</w:t>
      </w:r>
      <w:r>
        <w:fldChar w:fldCharType="end"/>
      </w:r>
      <w:r>
        <w:fldChar w:fldCharType="end"/>
      </w:r>
    </w:p>
    <w:p>
      <w:pPr>
        <w:pStyle w:val="23"/>
        <w:tabs>
          <w:tab w:val="right" w:leader="dot" w:pos="8296"/>
        </w:tabs>
        <w:rPr>
          <w:rFonts w:eastAsiaTheme="minorEastAsia" w:cstheme="minorBidi"/>
          <w:smallCaps w:val="0"/>
          <w:kern w:val="2"/>
          <w:sz w:val="21"/>
          <w:szCs w:val="22"/>
        </w:rPr>
      </w:pPr>
      <w:r>
        <w:fldChar w:fldCharType="begin"/>
      </w:r>
      <w:r>
        <w:instrText xml:space="preserve"> HYPERLINK \l "_Toc120261232" </w:instrText>
      </w:r>
      <w:r>
        <w:fldChar w:fldCharType="separate"/>
      </w:r>
      <w:r>
        <w:rPr>
          <w:rStyle w:val="32"/>
          <w:rFonts w:hint="eastAsia" w:ascii="宋体" w:hAnsi="宋体" w:cs="宋体"/>
        </w:rPr>
        <w:t>第三章</w:t>
      </w:r>
      <w:r>
        <w:rPr>
          <w:rStyle w:val="32"/>
          <w:rFonts w:ascii="宋体" w:hAnsi="宋体" w:cs="宋体"/>
        </w:rPr>
        <w:t xml:space="preserve">   </w:t>
      </w:r>
      <w:r>
        <w:rPr>
          <w:rStyle w:val="32"/>
          <w:rFonts w:hint="eastAsia" w:ascii="宋体" w:hAnsi="宋体" w:cs="宋体"/>
        </w:rPr>
        <w:t>总</w:t>
      </w:r>
      <w:r>
        <w:rPr>
          <w:rStyle w:val="32"/>
          <w:rFonts w:ascii="宋体" w:hAnsi="宋体" w:cs="宋体"/>
        </w:rPr>
        <w:t xml:space="preserve">     </w:t>
      </w:r>
      <w:r>
        <w:rPr>
          <w:rStyle w:val="32"/>
          <w:rFonts w:hint="eastAsia" w:ascii="宋体" w:hAnsi="宋体" w:cs="宋体"/>
        </w:rPr>
        <w:t>则</w:t>
      </w:r>
      <w:r>
        <w:tab/>
      </w:r>
      <w:r>
        <w:fldChar w:fldCharType="begin"/>
      </w:r>
      <w:r>
        <w:instrText xml:space="preserve"> PAGEREF _Toc120261232 \h </w:instrText>
      </w:r>
      <w:r>
        <w:fldChar w:fldCharType="separate"/>
      </w:r>
      <w:r>
        <w:t>7</w:t>
      </w:r>
      <w:r>
        <w:fldChar w:fldCharType="end"/>
      </w:r>
      <w:r>
        <w:fldChar w:fldCharType="end"/>
      </w:r>
    </w:p>
    <w:p>
      <w:pPr>
        <w:pStyle w:val="23"/>
        <w:tabs>
          <w:tab w:val="right" w:leader="dot" w:pos="8296"/>
        </w:tabs>
        <w:rPr>
          <w:rFonts w:eastAsiaTheme="minorEastAsia" w:cstheme="minorBidi"/>
          <w:smallCaps w:val="0"/>
          <w:kern w:val="2"/>
          <w:sz w:val="21"/>
          <w:szCs w:val="22"/>
        </w:rPr>
      </w:pPr>
      <w:r>
        <w:fldChar w:fldCharType="begin"/>
      </w:r>
      <w:r>
        <w:instrText xml:space="preserve"> HYPERLINK \l "_Toc120261233" </w:instrText>
      </w:r>
      <w:r>
        <w:fldChar w:fldCharType="separate"/>
      </w:r>
      <w:r>
        <w:rPr>
          <w:rStyle w:val="32"/>
          <w:rFonts w:hint="eastAsia" w:ascii="宋体" w:hAnsi="宋体" w:cs="宋体"/>
        </w:rPr>
        <w:t>第四章　项目要求和有关说明</w:t>
      </w:r>
      <w:r>
        <w:tab/>
      </w:r>
      <w:r>
        <w:fldChar w:fldCharType="begin"/>
      </w:r>
      <w:r>
        <w:instrText xml:space="preserve"> PAGEREF _Toc120261233 \h </w:instrText>
      </w:r>
      <w:r>
        <w:fldChar w:fldCharType="separate"/>
      </w:r>
      <w:r>
        <w:t>16</w:t>
      </w:r>
      <w:r>
        <w:fldChar w:fldCharType="end"/>
      </w:r>
      <w:r>
        <w:fldChar w:fldCharType="end"/>
      </w:r>
    </w:p>
    <w:p>
      <w:pPr>
        <w:pStyle w:val="23"/>
        <w:tabs>
          <w:tab w:val="right" w:leader="dot" w:pos="8296"/>
        </w:tabs>
        <w:rPr>
          <w:rFonts w:eastAsiaTheme="minorEastAsia" w:cstheme="minorBidi"/>
          <w:smallCaps w:val="0"/>
          <w:kern w:val="2"/>
          <w:sz w:val="21"/>
          <w:szCs w:val="22"/>
        </w:rPr>
      </w:pPr>
      <w:r>
        <w:fldChar w:fldCharType="begin"/>
      </w:r>
      <w:r>
        <w:instrText xml:space="preserve"> HYPERLINK \l "_Toc120261234" </w:instrText>
      </w:r>
      <w:r>
        <w:fldChar w:fldCharType="separate"/>
      </w:r>
      <w:r>
        <w:rPr>
          <w:rStyle w:val="32"/>
          <w:rFonts w:hint="eastAsia" w:ascii="宋体" w:hAnsi="宋体" w:cs="宋体"/>
        </w:rPr>
        <w:t>第五章</w:t>
      </w:r>
      <w:r>
        <w:rPr>
          <w:rStyle w:val="32"/>
          <w:rFonts w:ascii="宋体" w:hAnsi="宋体" w:cs="宋体"/>
        </w:rPr>
        <w:t xml:space="preserve">   </w:t>
      </w:r>
      <w:r>
        <w:rPr>
          <w:rStyle w:val="32"/>
          <w:rFonts w:hint="eastAsia" w:ascii="宋体" w:hAnsi="宋体" w:cs="宋体"/>
        </w:rPr>
        <w:t>评标方法和评标标准</w:t>
      </w:r>
      <w:r>
        <w:tab/>
      </w:r>
      <w:r>
        <w:fldChar w:fldCharType="begin"/>
      </w:r>
      <w:r>
        <w:instrText xml:space="preserve"> PAGEREF _Toc120261234 \h </w:instrText>
      </w:r>
      <w:r>
        <w:fldChar w:fldCharType="separate"/>
      </w:r>
      <w:r>
        <w:t>17</w:t>
      </w:r>
      <w:r>
        <w:fldChar w:fldCharType="end"/>
      </w:r>
      <w:r>
        <w:fldChar w:fldCharType="end"/>
      </w:r>
    </w:p>
    <w:p>
      <w:pPr>
        <w:pStyle w:val="23"/>
        <w:tabs>
          <w:tab w:val="right" w:leader="dot" w:pos="8296"/>
        </w:tabs>
        <w:rPr>
          <w:rFonts w:eastAsiaTheme="minorEastAsia" w:cstheme="minorBidi"/>
          <w:smallCaps w:val="0"/>
          <w:kern w:val="2"/>
          <w:sz w:val="21"/>
          <w:szCs w:val="22"/>
        </w:rPr>
      </w:pPr>
      <w:r>
        <w:fldChar w:fldCharType="begin"/>
      </w:r>
      <w:r>
        <w:instrText xml:space="preserve"> HYPERLINK \l "_Toc120261235" </w:instrText>
      </w:r>
      <w:r>
        <w:fldChar w:fldCharType="separate"/>
      </w:r>
      <w:r>
        <w:rPr>
          <w:rStyle w:val="32"/>
          <w:rFonts w:hint="eastAsia" w:ascii="宋体" w:hAnsi="宋体" w:cs="宋体"/>
        </w:rPr>
        <w:t>第六章</w:t>
      </w:r>
      <w:r>
        <w:rPr>
          <w:rStyle w:val="32"/>
          <w:rFonts w:ascii="宋体" w:hAnsi="宋体" w:cs="宋体"/>
        </w:rPr>
        <w:t xml:space="preserve">  </w:t>
      </w:r>
      <w:r>
        <w:rPr>
          <w:rStyle w:val="32"/>
          <w:rFonts w:hint="eastAsia" w:ascii="宋体" w:hAnsi="宋体" w:cs="宋体"/>
        </w:rPr>
        <w:t>采购合同（格式）</w:t>
      </w:r>
      <w:r>
        <w:tab/>
      </w:r>
      <w:r>
        <w:fldChar w:fldCharType="begin"/>
      </w:r>
      <w:r>
        <w:instrText xml:space="preserve"> PAGEREF _Toc120261235 \h </w:instrText>
      </w:r>
      <w:r>
        <w:fldChar w:fldCharType="separate"/>
      </w:r>
      <w:r>
        <w:t>18</w:t>
      </w:r>
      <w:r>
        <w:fldChar w:fldCharType="end"/>
      </w:r>
      <w:r>
        <w:fldChar w:fldCharType="end"/>
      </w:r>
    </w:p>
    <w:p>
      <w:pPr>
        <w:pStyle w:val="23"/>
        <w:tabs>
          <w:tab w:val="right" w:leader="dot" w:pos="8296"/>
        </w:tabs>
        <w:rPr>
          <w:rFonts w:eastAsiaTheme="minorEastAsia" w:cstheme="minorBidi"/>
          <w:smallCaps w:val="0"/>
          <w:kern w:val="2"/>
          <w:sz w:val="21"/>
          <w:szCs w:val="22"/>
        </w:rPr>
      </w:pPr>
      <w:r>
        <w:fldChar w:fldCharType="begin"/>
      </w:r>
      <w:r>
        <w:instrText xml:space="preserve"> HYPERLINK \l "_Toc120261236" </w:instrText>
      </w:r>
      <w:r>
        <w:fldChar w:fldCharType="separate"/>
      </w:r>
      <w:r>
        <w:rPr>
          <w:rStyle w:val="32"/>
          <w:rFonts w:hint="eastAsia" w:ascii="宋体" w:hAnsi="宋体" w:cs="宋体"/>
        </w:rPr>
        <w:t>第七章</w:t>
      </w:r>
      <w:r>
        <w:rPr>
          <w:rStyle w:val="32"/>
          <w:rFonts w:ascii="宋体" w:hAnsi="宋体" w:cs="宋体"/>
        </w:rPr>
        <w:t xml:space="preserve">   </w:t>
      </w:r>
      <w:r>
        <w:rPr>
          <w:rStyle w:val="32"/>
          <w:rFonts w:hint="eastAsia" w:ascii="宋体" w:hAnsi="宋体" w:cs="宋体"/>
        </w:rPr>
        <w:t>投标文件的组成</w:t>
      </w:r>
      <w:r>
        <w:tab/>
      </w:r>
      <w:r>
        <w:fldChar w:fldCharType="begin"/>
      </w:r>
      <w:r>
        <w:instrText xml:space="preserve"> PAGEREF _Toc120261236 \h </w:instrText>
      </w:r>
      <w:r>
        <w:fldChar w:fldCharType="separate"/>
      </w:r>
      <w:r>
        <w:t>25</w:t>
      </w:r>
      <w:r>
        <w:fldChar w:fldCharType="end"/>
      </w:r>
      <w:r>
        <w:fldChar w:fldCharType="end"/>
      </w:r>
    </w:p>
    <w:p>
      <w:pPr>
        <w:pStyle w:val="23"/>
        <w:tabs>
          <w:tab w:val="right" w:leader="dot" w:pos="8296"/>
        </w:tabs>
        <w:rPr>
          <w:rFonts w:eastAsiaTheme="minorEastAsia" w:cstheme="minorBidi"/>
          <w:smallCaps w:val="0"/>
          <w:kern w:val="2"/>
          <w:sz w:val="21"/>
          <w:szCs w:val="22"/>
        </w:rPr>
      </w:pPr>
      <w:r>
        <w:fldChar w:fldCharType="begin"/>
      </w:r>
      <w:r>
        <w:instrText xml:space="preserve"> HYPERLINK \l "_Toc120261237" </w:instrText>
      </w:r>
      <w:r>
        <w:fldChar w:fldCharType="separate"/>
      </w:r>
      <w:r>
        <w:rPr>
          <w:rStyle w:val="32"/>
          <w:rFonts w:hint="eastAsia" w:ascii="宋体" w:hAnsi="宋体" w:cs="宋体"/>
        </w:rPr>
        <w:t>第八章</w:t>
      </w:r>
      <w:r>
        <w:rPr>
          <w:rStyle w:val="32"/>
          <w:rFonts w:ascii="宋体" w:hAnsi="宋体" w:cs="宋体"/>
        </w:rPr>
        <w:t xml:space="preserve">   </w:t>
      </w:r>
      <w:r>
        <w:rPr>
          <w:rStyle w:val="32"/>
          <w:rFonts w:hint="eastAsia" w:ascii="宋体" w:hAnsi="宋体" w:cs="宋体"/>
        </w:rPr>
        <w:t>投标文件的格式</w:t>
      </w:r>
      <w:r>
        <w:tab/>
      </w:r>
      <w:r>
        <w:fldChar w:fldCharType="begin"/>
      </w:r>
      <w:r>
        <w:instrText xml:space="preserve"> PAGEREF _Toc120261237 \h </w:instrText>
      </w:r>
      <w:r>
        <w:fldChar w:fldCharType="separate"/>
      </w:r>
      <w:r>
        <w:t>26</w:t>
      </w:r>
      <w:r>
        <w:fldChar w:fldCharType="end"/>
      </w:r>
      <w:r>
        <w:fldChar w:fldCharType="end"/>
      </w:r>
    </w:p>
    <w:p>
      <w:pPr>
        <w:pStyle w:val="23"/>
        <w:tabs>
          <w:tab w:val="right" w:leader="dot" w:pos="8296"/>
        </w:tabs>
        <w:rPr>
          <w:rFonts w:ascii="宋体" w:hAnsi="宋体" w:cs="宋体"/>
          <w:sz w:val="21"/>
          <w:szCs w:val="21"/>
        </w:rPr>
      </w:pPr>
      <w:r>
        <w:rPr>
          <w:rStyle w:val="32"/>
          <w:rFonts w:hint="eastAsia" w:ascii="宋体" w:hAnsi="宋体" w:cs="宋体"/>
          <w:color w:val="auto"/>
          <w:sz w:val="24"/>
          <w:szCs w:val="24"/>
        </w:rPr>
        <w:fldChar w:fldCharType="end"/>
      </w:r>
    </w:p>
    <w:p>
      <w:pPr>
        <w:rPr>
          <w:rFonts w:ascii="宋体" w:hAnsi="宋体" w:cs="宋体"/>
          <w:kern w:val="0"/>
        </w:rPr>
      </w:pPr>
      <w:r>
        <w:rPr>
          <w:rFonts w:hint="eastAsia" w:ascii="宋体" w:hAnsi="宋体" w:cs="宋体"/>
          <w:kern w:val="0"/>
        </w:rPr>
        <w:br w:type="page"/>
      </w:r>
    </w:p>
    <w:p>
      <w:pPr>
        <w:pStyle w:val="21"/>
        <w:spacing w:line="360" w:lineRule="auto"/>
        <w:rPr>
          <w:rFonts w:ascii="宋体" w:hAnsi="宋体" w:eastAsia="宋体" w:cs="宋体"/>
          <w:kern w:val="0"/>
          <w:sz w:val="24"/>
          <w:szCs w:val="24"/>
        </w:rPr>
      </w:pPr>
      <w:bookmarkStart w:id="1" w:name="_Toc120261230"/>
      <w:r>
        <w:rPr>
          <w:rFonts w:hint="eastAsia" w:ascii="宋体" w:hAnsi="宋体" w:eastAsia="宋体" w:cs="宋体"/>
          <w:kern w:val="0"/>
          <w:sz w:val="24"/>
          <w:szCs w:val="24"/>
        </w:rPr>
        <w:t>第一章   投标邀请书</w:t>
      </w:r>
      <w:bookmarkEnd w:id="0"/>
      <w:bookmarkEnd w:id="1"/>
    </w:p>
    <w:p>
      <w:pPr>
        <w:snapToGrid w:val="0"/>
        <w:spacing w:line="360" w:lineRule="exact"/>
        <w:jc w:val="center"/>
        <w:rPr>
          <w:rFonts w:ascii="宋体" w:hAnsi="宋体" w:cs="宋体"/>
          <w:b/>
          <w:spacing w:val="2"/>
          <w:sz w:val="24"/>
          <w:szCs w:val="24"/>
        </w:rPr>
      </w:pPr>
      <w:r>
        <w:rPr>
          <w:rFonts w:hint="eastAsia" w:ascii="宋体" w:hAnsi="宋体" w:cs="宋体"/>
          <w:b/>
          <w:spacing w:val="2"/>
          <w:sz w:val="24"/>
          <w:szCs w:val="24"/>
        </w:rPr>
        <w:t>投标邀请书</w:t>
      </w:r>
    </w:p>
    <w:p>
      <w:pPr>
        <w:snapToGrid w:val="0"/>
        <w:spacing w:line="400" w:lineRule="exact"/>
        <w:jc w:val="center"/>
        <w:rPr>
          <w:rFonts w:ascii="宋体" w:hAnsi="宋体" w:cs="宋体"/>
          <w:szCs w:val="21"/>
        </w:rPr>
      </w:pPr>
      <w:r>
        <w:rPr>
          <w:rFonts w:hint="eastAsia" w:ascii="宋体" w:hAnsi="宋体" w:cs="宋体"/>
          <w:szCs w:val="21"/>
        </w:rPr>
        <w:t xml:space="preserve">编号：常田初采邀（2022）01号    </w:t>
      </w:r>
    </w:p>
    <w:p>
      <w:pPr>
        <w:snapToGrid w:val="0"/>
        <w:spacing w:line="400" w:lineRule="exact"/>
        <w:ind w:firstLine="422" w:firstLineChars="200"/>
        <w:jc w:val="left"/>
        <w:rPr>
          <w:rFonts w:ascii="宋体" w:hAnsi="宋体" w:cs="宋体"/>
          <w:b/>
          <w:bCs/>
          <w:sz w:val="28"/>
          <w:szCs w:val="28"/>
        </w:rPr>
      </w:pPr>
      <w:r>
        <w:rPr>
          <w:rFonts w:hint="eastAsia" w:ascii="宋体" w:hAnsi="宋体" w:cs="宋体"/>
          <w:b/>
          <w:bCs/>
          <w:szCs w:val="21"/>
          <w:u w:val="single"/>
        </w:rPr>
        <w:t>常州市田家炳初级中学</w:t>
      </w:r>
      <w:r>
        <w:rPr>
          <w:rFonts w:hint="eastAsia" w:ascii="宋体" w:hAnsi="宋体" w:cs="宋体"/>
          <w:szCs w:val="21"/>
        </w:rPr>
        <w:t>对</w:t>
      </w:r>
      <w:r>
        <w:rPr>
          <w:rFonts w:hint="eastAsia" w:ascii="宋体" w:hAnsi="宋体" w:cs="宋体"/>
          <w:b/>
          <w:bCs/>
          <w:szCs w:val="21"/>
          <w:u w:val="single"/>
        </w:rPr>
        <w:t>常州市田家炳初级中学改扩建项目竣工结算审计（复审）</w:t>
      </w:r>
      <w:r>
        <w:rPr>
          <w:rFonts w:hint="eastAsia" w:ascii="宋体" w:hAnsi="宋体" w:cs="宋体"/>
          <w:szCs w:val="21"/>
        </w:rPr>
        <w:t>进行邀请招标，现邀请贵单位参加本项目的投标。有关事项的具体内容如下：</w:t>
      </w:r>
    </w:p>
    <w:p>
      <w:pPr>
        <w:snapToGrid w:val="0"/>
        <w:spacing w:line="360" w:lineRule="exact"/>
        <w:ind w:firstLine="422" w:firstLineChars="200"/>
        <w:rPr>
          <w:rFonts w:ascii="宋体" w:hAnsi="宋体" w:cs="宋体"/>
          <w:spacing w:val="2"/>
          <w:szCs w:val="21"/>
          <w:highlight w:val="yellow"/>
        </w:rPr>
      </w:pPr>
      <w:r>
        <w:rPr>
          <w:rFonts w:hint="eastAsia" w:ascii="宋体" w:hAnsi="宋体" w:cs="宋体"/>
          <w:b/>
          <w:bCs/>
          <w:szCs w:val="21"/>
        </w:rPr>
        <w:t>一、项目名称：</w:t>
      </w:r>
      <w:r>
        <w:rPr>
          <w:rFonts w:hint="eastAsia" w:ascii="宋体" w:hAnsi="宋体" w:cs="宋体"/>
          <w:b/>
          <w:szCs w:val="21"/>
        </w:rPr>
        <w:t>常州市田家炳初级中学改扩建项目竣工结算审计（复审）</w:t>
      </w:r>
    </w:p>
    <w:p>
      <w:pPr>
        <w:snapToGrid w:val="0"/>
        <w:spacing w:line="400" w:lineRule="exact"/>
        <w:ind w:firstLine="422" w:firstLineChars="200"/>
        <w:rPr>
          <w:rFonts w:ascii="宋体" w:hAnsi="宋体" w:cs="宋体"/>
          <w:szCs w:val="21"/>
        </w:rPr>
      </w:pPr>
      <w:r>
        <w:rPr>
          <w:rFonts w:hint="eastAsia" w:ascii="宋体" w:hAnsi="宋体" w:cs="宋体"/>
          <w:b/>
          <w:szCs w:val="21"/>
          <w:highlight w:val="yellow"/>
        </w:rPr>
        <w:t>二、项目编号：</w:t>
      </w:r>
      <w:r>
        <w:rPr>
          <w:rFonts w:hint="eastAsia" w:ascii="宋体" w:hAnsi="宋体" w:cs="宋体"/>
          <w:szCs w:val="21"/>
        </w:rPr>
        <w:t>常田初采邀（2022）01号</w:t>
      </w:r>
    </w:p>
    <w:p>
      <w:pPr>
        <w:snapToGrid w:val="0"/>
        <w:spacing w:line="360" w:lineRule="exact"/>
        <w:ind w:firstLine="422" w:firstLineChars="200"/>
        <w:rPr>
          <w:rFonts w:ascii="宋体" w:hAnsi="宋体" w:cs="宋体"/>
          <w:b/>
          <w:szCs w:val="21"/>
          <w:highlight w:val="yellow"/>
          <w:shd w:val="clear" w:color="auto" w:fill="FFFFFF" w:themeFill="background1"/>
        </w:rPr>
      </w:pPr>
      <w:r>
        <w:rPr>
          <w:rFonts w:hint="eastAsia" w:ascii="宋体" w:hAnsi="宋体" w:cs="宋体"/>
          <w:b/>
          <w:szCs w:val="21"/>
        </w:rPr>
        <w:t>三、项目预算及最高限价</w:t>
      </w:r>
      <w:r>
        <w:rPr>
          <w:rFonts w:hint="eastAsia" w:ascii="宋体" w:hAnsi="宋体" w:cs="宋体"/>
          <w:b/>
          <w:szCs w:val="21"/>
          <w:shd w:val="clear" w:color="auto" w:fill="FFFFFF" w:themeFill="background1"/>
        </w:rPr>
        <w:t>：</w:t>
      </w:r>
    </w:p>
    <w:p>
      <w:pPr>
        <w:adjustRightInd w:val="0"/>
        <w:snapToGrid w:val="0"/>
        <w:spacing w:line="360" w:lineRule="auto"/>
        <w:ind w:firstLine="420" w:firstLineChars="200"/>
        <w:rPr>
          <w:rFonts w:ascii="宋体" w:hAnsi="宋体" w:cs="宋体"/>
          <w:szCs w:val="22"/>
          <w:highlight w:val="yellow"/>
        </w:rPr>
      </w:pPr>
      <w:r>
        <w:rPr>
          <w:rFonts w:hint="eastAsia" w:ascii="宋体" w:hAnsi="宋体" w:cs="宋体"/>
          <w:szCs w:val="22"/>
          <w:highlight w:val="yellow"/>
        </w:rPr>
        <w:t>1、项目预算：核减额*0.5%</w:t>
      </w:r>
    </w:p>
    <w:p>
      <w:pPr>
        <w:adjustRightInd w:val="0"/>
        <w:snapToGrid w:val="0"/>
        <w:spacing w:line="360" w:lineRule="auto"/>
        <w:ind w:firstLine="420" w:firstLineChars="200"/>
        <w:rPr>
          <w:rFonts w:ascii="宋体" w:hAnsi="宋体" w:cs="宋体"/>
          <w:szCs w:val="22"/>
        </w:rPr>
      </w:pPr>
      <w:r>
        <w:rPr>
          <w:rFonts w:hint="eastAsia" w:ascii="宋体" w:hAnsi="宋体" w:cs="宋体"/>
          <w:szCs w:val="22"/>
          <w:highlight w:val="yellow"/>
        </w:rPr>
        <w:t>2、最高限价：核减额*0.5%</w:t>
      </w:r>
    </w:p>
    <w:p>
      <w:pPr>
        <w:spacing w:line="360" w:lineRule="exact"/>
        <w:ind w:firstLine="430" w:firstLineChars="200"/>
        <w:rPr>
          <w:rFonts w:ascii="宋体" w:hAnsi="宋体" w:cs="宋体"/>
          <w:bCs/>
          <w:spacing w:val="2"/>
          <w:szCs w:val="21"/>
        </w:rPr>
      </w:pPr>
      <w:r>
        <w:rPr>
          <w:rFonts w:hint="eastAsia" w:ascii="宋体" w:hAnsi="宋体" w:cs="宋体"/>
          <w:b/>
          <w:spacing w:val="2"/>
          <w:szCs w:val="21"/>
        </w:rPr>
        <w:t>四、项目简要说明：</w:t>
      </w:r>
    </w:p>
    <w:p>
      <w:pPr>
        <w:snapToGrid w:val="0"/>
        <w:spacing w:line="360" w:lineRule="auto"/>
        <w:ind w:firstLine="420" w:firstLineChars="200"/>
        <w:rPr>
          <w:rFonts w:ascii="宋体" w:hAnsi="宋体" w:cs="宋体"/>
          <w:szCs w:val="22"/>
        </w:rPr>
      </w:pPr>
      <w:r>
        <w:rPr>
          <w:rFonts w:hint="eastAsia" w:ascii="宋体" w:hAnsi="宋体" w:cs="宋体"/>
          <w:szCs w:val="22"/>
        </w:rPr>
        <w:t>对常州市田家炳初级中学改扩建项目的竣工结算审计进行复审。</w:t>
      </w:r>
    </w:p>
    <w:p>
      <w:pPr>
        <w:snapToGrid w:val="0"/>
        <w:spacing w:line="360" w:lineRule="auto"/>
        <w:ind w:firstLine="422" w:firstLineChars="200"/>
        <w:rPr>
          <w:rFonts w:ascii="宋体" w:hAnsi="宋体" w:cs="宋体"/>
          <w:szCs w:val="22"/>
        </w:rPr>
      </w:pPr>
      <w:r>
        <w:rPr>
          <w:rFonts w:hint="eastAsia" w:ascii="宋体" w:hAnsi="宋体" w:cs="宋体"/>
          <w:b/>
          <w:bCs/>
          <w:szCs w:val="22"/>
        </w:rPr>
        <w:t>服务期要求：</w:t>
      </w:r>
      <w:r>
        <w:rPr>
          <w:rFonts w:hint="eastAsia" w:ascii="宋体" w:hAnsi="宋体" w:cs="宋体"/>
          <w:szCs w:val="22"/>
        </w:rPr>
        <w:t>自合同签订后30日历日完成复审，并出具复审报告。</w:t>
      </w:r>
    </w:p>
    <w:p>
      <w:pPr>
        <w:spacing w:line="360" w:lineRule="exact"/>
        <w:ind w:firstLine="422" w:firstLineChars="200"/>
        <w:rPr>
          <w:rFonts w:ascii="宋体" w:hAnsi="宋体" w:cs="宋体"/>
          <w:b/>
          <w:bCs/>
          <w:szCs w:val="21"/>
        </w:rPr>
      </w:pPr>
      <w:r>
        <w:rPr>
          <w:rFonts w:hint="eastAsia" w:ascii="宋体" w:hAnsi="宋体" w:cs="宋体"/>
          <w:b/>
          <w:bCs/>
          <w:szCs w:val="21"/>
        </w:rPr>
        <w:t>五、投标人资格要求</w:t>
      </w:r>
    </w:p>
    <w:p>
      <w:pPr>
        <w:spacing w:line="360" w:lineRule="exact"/>
        <w:ind w:firstLine="422" w:firstLineChars="200"/>
        <w:rPr>
          <w:rFonts w:ascii="宋体" w:hAnsi="宋体" w:cs="宋体"/>
          <w:b/>
          <w:szCs w:val="21"/>
        </w:rPr>
      </w:pPr>
      <w:r>
        <w:rPr>
          <w:rFonts w:hint="eastAsia" w:ascii="宋体" w:hAnsi="宋体" w:cs="宋体"/>
          <w:b/>
          <w:szCs w:val="21"/>
        </w:rPr>
        <w:t>A、一般资格条件：</w:t>
      </w:r>
    </w:p>
    <w:p>
      <w:pPr>
        <w:spacing w:line="360" w:lineRule="exact"/>
        <w:ind w:firstLine="420" w:firstLineChars="200"/>
        <w:rPr>
          <w:rFonts w:ascii="宋体" w:hAnsi="宋体" w:cs="宋体"/>
          <w:szCs w:val="21"/>
        </w:rPr>
      </w:pPr>
      <w:r>
        <w:rPr>
          <w:rFonts w:hint="eastAsia" w:ascii="宋体" w:hAnsi="宋体" w:cs="宋体"/>
          <w:szCs w:val="21"/>
        </w:rPr>
        <w:t xml:space="preserve">1、在中华人民共和国境内注册，具有独立承担民事责任的能力； </w:t>
      </w:r>
    </w:p>
    <w:p>
      <w:pPr>
        <w:spacing w:line="360" w:lineRule="exact"/>
        <w:ind w:firstLine="420" w:firstLineChars="200"/>
        <w:rPr>
          <w:rFonts w:ascii="宋体" w:hAnsi="宋体" w:cs="宋体"/>
          <w:szCs w:val="21"/>
        </w:rPr>
      </w:pPr>
      <w:r>
        <w:rPr>
          <w:rFonts w:hint="eastAsia" w:ascii="宋体" w:hAnsi="宋体" w:cs="宋体"/>
          <w:szCs w:val="21"/>
        </w:rPr>
        <w:t xml:space="preserve">2、具有良好的商业信誉和健全的财务会计制度； </w:t>
      </w:r>
    </w:p>
    <w:p>
      <w:pPr>
        <w:spacing w:line="360" w:lineRule="exact"/>
        <w:ind w:firstLine="420" w:firstLineChars="200"/>
        <w:rPr>
          <w:rFonts w:ascii="宋体" w:hAnsi="宋体" w:cs="宋体"/>
          <w:szCs w:val="21"/>
        </w:rPr>
      </w:pPr>
      <w:r>
        <w:rPr>
          <w:rFonts w:hint="eastAsia" w:ascii="宋体" w:hAnsi="宋体" w:cs="宋体"/>
          <w:szCs w:val="21"/>
        </w:rPr>
        <w:t xml:space="preserve">3、具有履行合同所必需的设备和专业技术能力； </w:t>
      </w:r>
    </w:p>
    <w:p>
      <w:pPr>
        <w:spacing w:line="360" w:lineRule="exact"/>
        <w:ind w:firstLine="420" w:firstLineChars="200"/>
        <w:rPr>
          <w:rFonts w:ascii="宋体" w:hAnsi="宋体" w:cs="宋体"/>
          <w:szCs w:val="21"/>
        </w:rPr>
      </w:pPr>
      <w:r>
        <w:rPr>
          <w:rFonts w:hint="eastAsia" w:ascii="宋体" w:hAnsi="宋体" w:cs="宋体"/>
          <w:szCs w:val="21"/>
        </w:rPr>
        <w:t xml:space="preserve">4、有依法缴纳税收和社会保障资金的良好记录； </w:t>
      </w:r>
    </w:p>
    <w:p>
      <w:pPr>
        <w:spacing w:line="360" w:lineRule="exact"/>
        <w:ind w:firstLine="420" w:firstLineChars="200"/>
        <w:rPr>
          <w:rFonts w:ascii="宋体" w:hAnsi="宋体" w:cs="宋体"/>
          <w:szCs w:val="21"/>
        </w:rPr>
      </w:pPr>
      <w:r>
        <w:rPr>
          <w:rFonts w:hint="eastAsia" w:ascii="宋体" w:hAnsi="宋体" w:cs="宋体"/>
          <w:szCs w:val="21"/>
        </w:rPr>
        <w:t xml:space="preserve">5、参加采购活动前三年内，在经营活动中没有重大违法记录； </w:t>
      </w:r>
    </w:p>
    <w:p>
      <w:pPr>
        <w:spacing w:line="360" w:lineRule="exact"/>
        <w:ind w:firstLine="420" w:firstLineChars="200"/>
        <w:rPr>
          <w:rFonts w:ascii="宋体" w:hAnsi="宋体" w:cs="宋体"/>
          <w:szCs w:val="21"/>
        </w:rPr>
      </w:pPr>
      <w:r>
        <w:rPr>
          <w:rFonts w:hint="eastAsia" w:ascii="宋体" w:hAnsi="宋体" w:cs="宋体"/>
          <w:szCs w:val="21"/>
        </w:rPr>
        <w:t>6、法律、行政法规规定的其他条件；</w:t>
      </w:r>
    </w:p>
    <w:p>
      <w:pPr>
        <w:spacing w:line="360" w:lineRule="exact"/>
        <w:ind w:firstLine="420" w:firstLineChars="200"/>
        <w:rPr>
          <w:rFonts w:ascii="宋体" w:hAnsi="宋体" w:cs="宋体"/>
          <w:szCs w:val="21"/>
        </w:rPr>
      </w:pPr>
      <w:r>
        <w:rPr>
          <w:rFonts w:hint="eastAsia" w:ascii="宋体" w:hAnsi="宋体" w:cs="宋体"/>
          <w:szCs w:val="21"/>
        </w:rPr>
        <w:t>7、单位负责人为同一人或者存在直接控股、管理关系的不同投标单位，不得参加同一合同项下的采购活动；</w:t>
      </w:r>
    </w:p>
    <w:p>
      <w:pPr>
        <w:spacing w:line="360" w:lineRule="exact"/>
        <w:ind w:firstLine="420" w:firstLineChars="200"/>
        <w:rPr>
          <w:rFonts w:ascii="宋体" w:hAnsi="宋体" w:cs="宋体"/>
          <w:szCs w:val="21"/>
        </w:rPr>
      </w:pPr>
      <w:r>
        <w:rPr>
          <w:rFonts w:hint="eastAsia" w:ascii="宋体" w:hAnsi="宋体" w:cs="宋体"/>
          <w:szCs w:val="21"/>
        </w:rPr>
        <w:t>8、未被“信用中国”网站（www.creditchina.gov.cn）列入失信被执行人、重大税收违法案件当事人名单、政府采购严重失信行为记录名单；</w:t>
      </w:r>
    </w:p>
    <w:p>
      <w:pPr>
        <w:spacing w:line="360" w:lineRule="exact"/>
        <w:ind w:firstLine="422" w:firstLineChars="200"/>
        <w:rPr>
          <w:rFonts w:ascii="宋体" w:hAnsi="宋体" w:cs="宋体"/>
        </w:rPr>
      </w:pPr>
      <w:r>
        <w:rPr>
          <w:rFonts w:hint="eastAsia" w:ascii="宋体" w:hAnsi="宋体" w:cs="宋体"/>
          <w:b/>
          <w:szCs w:val="21"/>
        </w:rPr>
        <w:t>B、其他资格要求：</w:t>
      </w:r>
    </w:p>
    <w:p>
      <w:pPr>
        <w:spacing w:line="360" w:lineRule="auto"/>
        <w:ind w:firstLine="420" w:firstLineChars="200"/>
        <w:rPr>
          <w:rFonts w:ascii="宋体" w:hAnsi="宋体" w:cs="宋体"/>
          <w:bCs/>
          <w:szCs w:val="21"/>
        </w:rPr>
      </w:pPr>
      <w:r>
        <w:rPr>
          <w:rFonts w:hint="eastAsia" w:ascii="宋体" w:hAnsi="宋体" w:cs="宋体"/>
          <w:bCs/>
          <w:szCs w:val="21"/>
        </w:rPr>
        <w:t>本项目负责人具备一级注册造价工程师（或国家注册造价工程师）执业资格。</w:t>
      </w:r>
    </w:p>
    <w:p>
      <w:pPr>
        <w:spacing w:line="360" w:lineRule="exact"/>
        <w:ind w:firstLine="422" w:firstLineChars="200"/>
        <w:rPr>
          <w:rFonts w:ascii="宋体" w:hAnsi="宋体" w:cs="宋体"/>
          <w:b/>
          <w:szCs w:val="21"/>
        </w:rPr>
      </w:pPr>
      <w:r>
        <w:rPr>
          <w:rFonts w:hint="eastAsia" w:ascii="宋体" w:hAnsi="宋体" w:cs="宋体"/>
          <w:b/>
          <w:szCs w:val="21"/>
        </w:rPr>
        <w:t>C、本项目不接受联合体投标</w:t>
      </w:r>
    </w:p>
    <w:p>
      <w:pPr>
        <w:snapToGrid w:val="0"/>
        <w:spacing w:line="360" w:lineRule="exact"/>
        <w:ind w:firstLine="422" w:firstLineChars="200"/>
        <w:rPr>
          <w:rFonts w:ascii="宋体" w:hAnsi="宋体" w:cs="宋体"/>
          <w:b/>
          <w:bCs/>
          <w:szCs w:val="21"/>
        </w:rPr>
      </w:pPr>
      <w:r>
        <w:rPr>
          <w:rFonts w:hint="eastAsia" w:ascii="宋体" w:hAnsi="宋体" w:cs="宋体"/>
          <w:b/>
          <w:bCs/>
          <w:szCs w:val="21"/>
        </w:rPr>
        <w:t>六、招标文件领取的时间和地点：网上获取。</w:t>
      </w:r>
    </w:p>
    <w:p>
      <w:pPr>
        <w:snapToGrid w:val="0"/>
        <w:spacing w:line="360" w:lineRule="exact"/>
        <w:ind w:firstLine="422" w:firstLineChars="200"/>
        <w:rPr>
          <w:rFonts w:ascii="宋体" w:hAnsi="宋体" w:cs="宋体"/>
          <w:b/>
          <w:bCs/>
          <w:szCs w:val="21"/>
        </w:rPr>
      </w:pPr>
      <w:r>
        <w:rPr>
          <w:rFonts w:hint="eastAsia" w:ascii="宋体" w:hAnsi="宋体" w:cs="宋体"/>
          <w:b/>
          <w:bCs/>
          <w:szCs w:val="21"/>
        </w:rPr>
        <w:t>七、投标保证金：本项目无须缴纳投标保证金。</w:t>
      </w:r>
    </w:p>
    <w:p>
      <w:pPr>
        <w:spacing w:line="340" w:lineRule="exact"/>
        <w:ind w:firstLine="422" w:firstLineChars="200"/>
        <w:rPr>
          <w:rFonts w:ascii="宋体" w:hAnsi="宋体" w:cs="宋体"/>
          <w:b/>
          <w:bCs/>
        </w:rPr>
      </w:pPr>
      <w:r>
        <w:rPr>
          <w:rFonts w:hint="eastAsia" w:ascii="宋体" w:hAnsi="宋体" w:cs="宋体"/>
          <w:b/>
          <w:bCs/>
        </w:rPr>
        <w:t>八、标前答疑</w:t>
      </w:r>
    </w:p>
    <w:p>
      <w:pPr>
        <w:spacing w:line="340" w:lineRule="exact"/>
        <w:ind w:firstLine="420" w:firstLineChars="200"/>
        <w:rPr>
          <w:rFonts w:ascii="宋体" w:hAnsi="宋体" w:cs="宋体"/>
        </w:rPr>
      </w:pPr>
      <w:r>
        <w:rPr>
          <w:rFonts w:hint="eastAsia" w:ascii="宋体" w:hAnsi="宋体" w:cs="宋体"/>
        </w:rPr>
        <w:t>投标单位对招标文件及相关附件资料等如有疑问，请将疑问于</w:t>
      </w:r>
      <w:r>
        <w:rPr>
          <w:rFonts w:hint="eastAsia" w:ascii="宋体" w:hAnsi="宋体" w:cs="宋体"/>
          <w:b/>
        </w:rPr>
        <w:t>2022年12月5日</w:t>
      </w:r>
      <w:r>
        <w:rPr>
          <w:rFonts w:hint="eastAsia" w:ascii="宋体" w:hAnsi="宋体" w:cs="宋体"/>
        </w:rPr>
        <w:t>中午11:00前以书面形式（加盖投标单位公章）递交至常州市田家炳初级中学 总务处。</w:t>
      </w:r>
    </w:p>
    <w:p>
      <w:pPr>
        <w:snapToGrid w:val="0"/>
        <w:spacing w:line="360" w:lineRule="exact"/>
        <w:ind w:firstLine="405"/>
        <w:rPr>
          <w:rFonts w:ascii="宋体" w:hAnsi="宋体" w:cs="宋体"/>
          <w:b/>
          <w:bCs/>
          <w:szCs w:val="21"/>
        </w:rPr>
      </w:pPr>
      <w:r>
        <w:rPr>
          <w:rFonts w:hint="eastAsia" w:ascii="宋体" w:hAnsi="宋体" w:cs="宋体"/>
          <w:b/>
          <w:szCs w:val="21"/>
        </w:rPr>
        <w:t>九、投标文件提交及</w:t>
      </w:r>
      <w:r>
        <w:rPr>
          <w:rFonts w:hint="eastAsia" w:ascii="宋体" w:hAnsi="宋体" w:cs="宋体"/>
          <w:b/>
          <w:bCs/>
          <w:szCs w:val="21"/>
        </w:rPr>
        <w:t>开标信息</w:t>
      </w:r>
    </w:p>
    <w:p>
      <w:pPr>
        <w:snapToGrid w:val="0"/>
        <w:spacing w:line="360" w:lineRule="exact"/>
        <w:ind w:firstLine="420" w:firstLineChars="200"/>
        <w:rPr>
          <w:rFonts w:ascii="宋体" w:hAnsi="宋体" w:cs="宋体"/>
          <w:b/>
          <w:szCs w:val="21"/>
        </w:rPr>
      </w:pPr>
      <w:r>
        <w:rPr>
          <w:rFonts w:hint="eastAsia" w:ascii="宋体" w:hAnsi="宋体" w:cs="宋体"/>
          <w:szCs w:val="21"/>
        </w:rPr>
        <w:t>投标文件提交截止暨开标时间</w:t>
      </w:r>
      <w:r>
        <w:rPr>
          <w:rFonts w:hint="eastAsia" w:ascii="宋体" w:hAnsi="宋体" w:cs="宋体"/>
          <w:b/>
          <w:szCs w:val="21"/>
        </w:rPr>
        <w:t>：</w:t>
      </w:r>
      <w:r>
        <w:rPr>
          <w:rFonts w:hint="eastAsia" w:ascii="宋体" w:hAnsi="宋体" w:cs="宋体"/>
          <w:b/>
          <w:bCs/>
          <w:szCs w:val="21"/>
        </w:rPr>
        <w:t xml:space="preserve">2022年12月9日下午14:00 </w:t>
      </w:r>
    </w:p>
    <w:p>
      <w:pPr>
        <w:snapToGrid w:val="0"/>
        <w:spacing w:line="360" w:lineRule="exact"/>
        <w:ind w:firstLine="420" w:firstLineChars="200"/>
        <w:rPr>
          <w:rFonts w:ascii="宋体" w:hAnsi="宋体" w:cs="宋体"/>
        </w:rPr>
      </w:pPr>
      <w:r>
        <w:rPr>
          <w:rFonts w:hint="eastAsia" w:ascii="宋体" w:hAnsi="宋体" w:cs="宋体"/>
          <w:szCs w:val="21"/>
        </w:rPr>
        <w:t>投标文件提交暨开标地点：</w:t>
      </w:r>
      <w:r>
        <w:rPr>
          <w:rFonts w:hint="eastAsia" w:ascii="宋体" w:hAnsi="宋体" w:cs="宋体"/>
        </w:rPr>
        <w:t>常州市田家炳初级中学 总务处</w:t>
      </w:r>
    </w:p>
    <w:p>
      <w:pPr>
        <w:snapToGrid w:val="0"/>
        <w:spacing w:line="360" w:lineRule="exact"/>
        <w:ind w:firstLine="422" w:firstLineChars="200"/>
        <w:rPr>
          <w:rFonts w:ascii="宋体" w:hAnsi="宋体" w:cs="宋体"/>
          <w:b/>
          <w:szCs w:val="21"/>
        </w:rPr>
      </w:pPr>
      <w:r>
        <w:rPr>
          <w:rFonts w:hint="eastAsia" w:ascii="宋体" w:hAnsi="宋体" w:cs="宋体"/>
          <w:b/>
          <w:szCs w:val="21"/>
        </w:rPr>
        <w:t>十、其他事项：</w:t>
      </w:r>
    </w:p>
    <w:p>
      <w:pPr>
        <w:spacing w:line="360" w:lineRule="auto"/>
        <w:ind w:firstLine="420" w:firstLineChars="200"/>
        <w:jc w:val="left"/>
        <w:rPr>
          <w:rFonts w:ascii="宋体" w:hAnsi="宋体" w:cs="宋体"/>
          <w:szCs w:val="21"/>
        </w:rPr>
      </w:pPr>
      <w:r>
        <w:rPr>
          <w:rFonts w:hint="eastAsia" w:ascii="宋体" w:hAnsi="宋体" w:cs="宋体"/>
          <w:szCs w:val="21"/>
        </w:rPr>
        <w:t>1、招标文件售后一概不退，投标单位递交的投标文件概不退还。</w:t>
      </w:r>
    </w:p>
    <w:p>
      <w:pPr>
        <w:spacing w:line="360" w:lineRule="auto"/>
        <w:ind w:firstLine="420" w:firstLineChars="200"/>
        <w:jc w:val="left"/>
        <w:rPr>
          <w:rFonts w:ascii="宋体" w:hAnsi="宋体" w:cs="宋体"/>
          <w:szCs w:val="21"/>
        </w:rPr>
      </w:pPr>
      <w:r>
        <w:rPr>
          <w:rFonts w:hint="eastAsia" w:ascii="宋体" w:hAnsi="宋体" w:cs="宋体"/>
          <w:szCs w:val="21"/>
        </w:rPr>
        <w:t>2、凡涉及招标文件的补充说明和修改，均以常州市田家炳初级中学网站发布的补充公告为准。请各参与投标单位在投标截止时间前及时关注网站,因未及时关注造成的后果自行承担。</w:t>
      </w:r>
    </w:p>
    <w:p>
      <w:pPr>
        <w:spacing w:line="360" w:lineRule="auto"/>
        <w:ind w:firstLine="420" w:firstLineChars="200"/>
        <w:jc w:val="left"/>
        <w:rPr>
          <w:rFonts w:ascii="宋体" w:hAnsi="宋体" w:cs="宋体"/>
          <w:szCs w:val="21"/>
        </w:rPr>
      </w:pPr>
      <w:r>
        <w:rPr>
          <w:rFonts w:hint="eastAsia" w:ascii="宋体" w:hAnsi="宋体" w:cs="宋体"/>
          <w:szCs w:val="21"/>
        </w:rPr>
        <w:t>3、已经报名获取招标文件的投标单位，因不可抗力等原因不能参与投标活动的，应在开标前以书面形式提交申请，说明不参与投标的原因。</w:t>
      </w:r>
    </w:p>
    <w:p>
      <w:pPr>
        <w:snapToGrid w:val="0"/>
        <w:spacing w:line="360" w:lineRule="exact"/>
        <w:ind w:firstLine="422" w:firstLineChars="200"/>
        <w:rPr>
          <w:rFonts w:ascii="宋体" w:hAnsi="宋体" w:cs="宋体"/>
          <w:b/>
          <w:bCs/>
          <w:szCs w:val="21"/>
        </w:rPr>
      </w:pPr>
      <w:r>
        <w:rPr>
          <w:rFonts w:hint="eastAsia" w:ascii="宋体" w:hAnsi="宋体" w:cs="宋体"/>
          <w:b/>
          <w:bCs/>
          <w:szCs w:val="21"/>
        </w:rPr>
        <w:t>十一、本次招标联系方式</w:t>
      </w:r>
    </w:p>
    <w:p>
      <w:pPr>
        <w:snapToGrid w:val="0"/>
        <w:spacing w:line="360" w:lineRule="exact"/>
        <w:ind w:firstLine="420" w:firstLineChars="200"/>
        <w:rPr>
          <w:rFonts w:ascii="宋体" w:hAnsi="宋体" w:cs="宋体"/>
          <w:szCs w:val="21"/>
        </w:rPr>
      </w:pPr>
      <w:r>
        <w:rPr>
          <w:rFonts w:hint="eastAsia" w:ascii="宋体" w:hAnsi="宋体" w:cs="宋体"/>
          <w:szCs w:val="21"/>
        </w:rPr>
        <w:t>采购人名称：常州市田家炳初级中学</w:t>
      </w:r>
    </w:p>
    <w:p>
      <w:pPr>
        <w:snapToGrid w:val="0"/>
        <w:spacing w:line="360" w:lineRule="exact"/>
        <w:ind w:firstLine="420" w:firstLineChars="200"/>
        <w:rPr>
          <w:rFonts w:ascii="宋体" w:hAnsi="宋体" w:cs="宋体"/>
          <w:szCs w:val="21"/>
        </w:rPr>
      </w:pPr>
      <w:r>
        <w:rPr>
          <w:rFonts w:hint="eastAsia" w:ascii="宋体" w:hAnsi="宋体" w:cs="宋体"/>
          <w:szCs w:val="21"/>
        </w:rPr>
        <w:t>地址：常州市青果巷130号</w:t>
      </w:r>
    </w:p>
    <w:p>
      <w:pPr>
        <w:snapToGrid w:val="0"/>
        <w:spacing w:line="360" w:lineRule="exact"/>
        <w:ind w:firstLine="420" w:firstLineChars="200"/>
        <w:rPr>
          <w:rFonts w:ascii="宋体" w:hAnsi="宋体" w:cs="宋体"/>
          <w:szCs w:val="21"/>
        </w:rPr>
      </w:pPr>
      <w:r>
        <w:rPr>
          <w:rFonts w:hint="eastAsia" w:ascii="宋体" w:hAnsi="宋体" w:cs="宋体"/>
          <w:szCs w:val="21"/>
        </w:rPr>
        <w:t>联系人：袁主任</w:t>
      </w:r>
    </w:p>
    <w:p>
      <w:pPr>
        <w:snapToGrid w:val="0"/>
        <w:spacing w:line="360" w:lineRule="exact"/>
        <w:ind w:firstLine="420" w:firstLineChars="200"/>
        <w:rPr>
          <w:rFonts w:ascii="宋体" w:hAnsi="宋体" w:cs="宋体"/>
          <w:szCs w:val="21"/>
        </w:rPr>
      </w:pPr>
      <w:r>
        <w:rPr>
          <w:rFonts w:hint="eastAsia" w:ascii="宋体" w:hAnsi="宋体" w:cs="宋体"/>
          <w:szCs w:val="21"/>
        </w:rPr>
        <w:t>联系电话：17721686817</w:t>
      </w:r>
    </w:p>
    <w:p>
      <w:pPr>
        <w:wordWrap w:val="0"/>
        <w:snapToGrid w:val="0"/>
        <w:spacing w:line="360" w:lineRule="exact"/>
        <w:ind w:right="420"/>
        <w:jc w:val="right"/>
        <w:rPr>
          <w:rFonts w:ascii="宋体" w:hAnsi="宋体" w:cs="宋体"/>
          <w:szCs w:val="21"/>
        </w:rPr>
      </w:pPr>
      <w:r>
        <w:rPr>
          <w:rFonts w:hint="eastAsia" w:ascii="宋体" w:hAnsi="宋体" w:cs="宋体"/>
          <w:szCs w:val="21"/>
        </w:rPr>
        <w:t xml:space="preserve">   常州市田家炳初级中学  </w:t>
      </w:r>
    </w:p>
    <w:p>
      <w:pPr>
        <w:wordWrap w:val="0"/>
        <w:snapToGrid w:val="0"/>
        <w:spacing w:line="360" w:lineRule="exact"/>
        <w:ind w:right="420"/>
        <w:jc w:val="right"/>
        <w:rPr>
          <w:rFonts w:ascii="宋体" w:hAnsi="宋体" w:cs="宋体"/>
          <w:szCs w:val="21"/>
        </w:rPr>
      </w:pPr>
      <w:r>
        <w:rPr>
          <w:rFonts w:hint="eastAsia" w:ascii="宋体" w:hAnsi="宋体" w:cs="宋体"/>
          <w:szCs w:val="21"/>
        </w:rPr>
        <w:t xml:space="preserve">2022年11月28 日 </w:t>
      </w:r>
    </w:p>
    <w:p>
      <w:pPr>
        <w:widowControl/>
        <w:jc w:val="left"/>
        <w:rPr>
          <w:rFonts w:ascii="宋体" w:hAnsi="宋体" w:cs="宋体"/>
          <w:szCs w:val="21"/>
        </w:rPr>
      </w:pPr>
      <w:r>
        <w:rPr>
          <w:rFonts w:hint="eastAsia" w:ascii="宋体" w:hAnsi="宋体" w:cs="宋体"/>
          <w:szCs w:val="21"/>
        </w:rPr>
        <w:br w:type="page"/>
      </w:r>
    </w:p>
    <w:p>
      <w:pPr>
        <w:rPr>
          <w:rFonts w:ascii="宋体" w:hAnsi="宋体" w:cs="宋体"/>
          <w:b/>
          <w:bCs/>
          <w:sz w:val="24"/>
        </w:rPr>
      </w:pPr>
      <w:r>
        <w:rPr>
          <w:rFonts w:hint="eastAsia" w:ascii="宋体" w:hAnsi="宋体" w:cs="宋体"/>
          <w:bCs/>
          <w:sz w:val="24"/>
        </w:rPr>
        <w:t>附件1</w:t>
      </w:r>
    </w:p>
    <w:p>
      <w:pPr>
        <w:jc w:val="center"/>
        <w:rPr>
          <w:rFonts w:ascii="宋体" w:hAnsi="宋体" w:cs="宋体"/>
          <w:b/>
          <w:sz w:val="24"/>
          <w:szCs w:val="30"/>
          <w:u w:val="single"/>
        </w:rPr>
      </w:pPr>
    </w:p>
    <w:p>
      <w:pPr>
        <w:jc w:val="center"/>
        <w:rPr>
          <w:rFonts w:ascii="宋体" w:hAnsi="宋体" w:cs="宋体"/>
          <w:b/>
          <w:sz w:val="32"/>
          <w:szCs w:val="32"/>
        </w:rPr>
      </w:pPr>
      <w:r>
        <w:rPr>
          <w:rFonts w:hint="eastAsia" w:ascii="宋体" w:hAnsi="宋体" w:cs="宋体"/>
          <w:b/>
          <w:sz w:val="32"/>
          <w:szCs w:val="32"/>
        </w:rPr>
        <w:t>常州市田家炳初级中学改扩建项目</w:t>
      </w:r>
    </w:p>
    <w:p>
      <w:pPr>
        <w:jc w:val="center"/>
        <w:rPr>
          <w:rFonts w:ascii="宋体" w:hAnsi="宋体" w:cs="宋体"/>
          <w:b/>
          <w:sz w:val="32"/>
          <w:szCs w:val="32"/>
        </w:rPr>
      </w:pPr>
      <w:r>
        <w:rPr>
          <w:rFonts w:hint="eastAsia" w:ascii="宋体" w:hAnsi="宋体" w:cs="宋体"/>
          <w:b/>
          <w:sz w:val="32"/>
          <w:szCs w:val="32"/>
        </w:rPr>
        <w:t>竣工结算审计复审</w:t>
      </w:r>
    </w:p>
    <w:p>
      <w:pPr>
        <w:jc w:val="center"/>
        <w:rPr>
          <w:rFonts w:ascii="宋体" w:hAnsi="宋体" w:cs="宋体"/>
          <w:b/>
          <w:sz w:val="30"/>
          <w:szCs w:val="30"/>
        </w:rPr>
      </w:pPr>
      <w:r>
        <w:rPr>
          <w:rFonts w:hint="eastAsia" w:ascii="宋体" w:hAnsi="宋体" w:cs="宋体"/>
          <w:b/>
          <w:sz w:val="30"/>
          <w:szCs w:val="30"/>
        </w:rPr>
        <w:t>投标邀请函回执单</w:t>
      </w:r>
    </w:p>
    <w:p>
      <w:pPr>
        <w:jc w:val="center"/>
        <w:rPr>
          <w:rFonts w:ascii="宋体" w:hAnsi="宋体" w:cs="宋体"/>
          <w:b/>
          <w:sz w:val="30"/>
          <w:szCs w:val="30"/>
        </w:rPr>
      </w:pPr>
      <w:r>
        <w:rPr>
          <w:rFonts w:hint="eastAsia" w:ascii="宋体" w:hAnsi="宋体" w:cs="宋体"/>
          <w:szCs w:val="21"/>
        </w:rPr>
        <w:t xml:space="preserve">                                            项目编号：    </w:t>
      </w:r>
    </w:p>
    <w:p>
      <w:pPr>
        <w:rPr>
          <w:rFonts w:ascii="宋体" w:hAnsi="宋体" w:cs="宋体"/>
        </w:rPr>
      </w:pPr>
    </w:p>
    <w:p>
      <w:pPr>
        <w:spacing w:line="360" w:lineRule="auto"/>
        <w:rPr>
          <w:rFonts w:ascii="宋体" w:hAnsi="宋体" w:cs="宋体"/>
          <w:sz w:val="28"/>
          <w:szCs w:val="28"/>
        </w:rPr>
      </w:pPr>
      <w:r>
        <w:rPr>
          <w:rFonts w:hint="eastAsia" w:ascii="宋体" w:hAnsi="宋体" w:cs="宋体"/>
          <w:sz w:val="28"/>
          <w:szCs w:val="28"/>
        </w:rPr>
        <w:t>常州市田家炳初级中学：</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我公司于2022年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日收到你方2022年</w:t>
      </w:r>
      <w:r>
        <w:rPr>
          <w:rFonts w:hint="eastAsia" w:ascii="宋体" w:hAnsi="宋体" w:cs="宋体"/>
          <w:sz w:val="28"/>
          <w:szCs w:val="28"/>
          <w:u w:val="single"/>
        </w:rPr>
        <w:t xml:space="preserve"> 11 </w:t>
      </w:r>
      <w:r>
        <w:rPr>
          <w:rFonts w:hint="eastAsia" w:ascii="宋体" w:hAnsi="宋体" w:cs="宋体"/>
          <w:sz w:val="28"/>
          <w:szCs w:val="28"/>
        </w:rPr>
        <w:t>月</w:t>
      </w:r>
      <w:r>
        <w:rPr>
          <w:rFonts w:hint="eastAsia" w:ascii="宋体" w:hAnsi="宋体" w:cs="宋体"/>
          <w:sz w:val="28"/>
          <w:szCs w:val="28"/>
          <w:u w:val="single"/>
        </w:rPr>
        <w:t xml:space="preserve"> 28 </w:t>
      </w:r>
      <w:r>
        <w:rPr>
          <w:rFonts w:hint="eastAsia" w:ascii="宋体" w:hAnsi="宋体" w:cs="宋体"/>
          <w:sz w:val="28"/>
          <w:szCs w:val="28"/>
        </w:rPr>
        <w:t>日发出的</w:t>
      </w:r>
      <w:r>
        <w:rPr>
          <w:rFonts w:hint="eastAsia" w:ascii="宋体" w:hAnsi="宋体" w:cs="宋体"/>
          <w:b/>
          <w:sz w:val="28"/>
          <w:szCs w:val="28"/>
          <w:u w:val="single"/>
        </w:rPr>
        <w:t>常州市田家炳初级中学改扩建项目竣工结算审计（复审）</w:t>
      </w:r>
      <w:r>
        <w:rPr>
          <w:rFonts w:hint="eastAsia" w:ascii="宋体" w:hAnsi="宋体" w:cs="宋体"/>
          <w:sz w:val="28"/>
          <w:szCs w:val="28"/>
        </w:rPr>
        <w:t>的投标邀请书，经公司研究决定，并确认</w:t>
      </w:r>
      <w:r>
        <w:rPr>
          <w:rFonts w:hint="eastAsia" w:ascii="宋体" w:hAnsi="宋体" w:cs="宋体"/>
          <w:sz w:val="28"/>
          <w:szCs w:val="28"/>
          <w:u w:val="single"/>
        </w:rPr>
        <w:t xml:space="preserve">         </w:t>
      </w:r>
      <w:r>
        <w:rPr>
          <w:rFonts w:hint="eastAsia" w:ascii="宋体" w:hAnsi="宋体" w:cs="宋体"/>
          <w:sz w:val="28"/>
          <w:szCs w:val="28"/>
        </w:rPr>
        <w:t>(参加/不参加)本项目的投标。有关报名信息如下：</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0"/>
        <w:gridCol w:w="5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0" w:type="dxa"/>
            <w:vAlign w:val="center"/>
          </w:tcPr>
          <w:p>
            <w:pPr>
              <w:spacing w:line="360" w:lineRule="auto"/>
              <w:jc w:val="center"/>
              <w:rPr>
                <w:rFonts w:ascii="宋体" w:hAnsi="宋体" w:cs="宋体"/>
                <w:sz w:val="24"/>
                <w:szCs w:val="28"/>
              </w:rPr>
            </w:pPr>
            <w:r>
              <w:rPr>
                <w:rFonts w:hint="eastAsia" w:ascii="宋体" w:hAnsi="宋体" w:cs="宋体"/>
                <w:sz w:val="24"/>
                <w:szCs w:val="28"/>
              </w:rPr>
              <w:t>单位全称</w:t>
            </w:r>
          </w:p>
        </w:tc>
        <w:tc>
          <w:tcPr>
            <w:tcW w:w="5872" w:type="dxa"/>
          </w:tcPr>
          <w:p>
            <w:pPr>
              <w:spacing w:line="360" w:lineRule="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0" w:type="dxa"/>
            <w:vAlign w:val="center"/>
          </w:tcPr>
          <w:p>
            <w:pPr>
              <w:spacing w:line="360" w:lineRule="auto"/>
              <w:jc w:val="center"/>
              <w:rPr>
                <w:rFonts w:ascii="宋体" w:hAnsi="宋体" w:cs="宋体"/>
                <w:sz w:val="24"/>
                <w:szCs w:val="28"/>
              </w:rPr>
            </w:pPr>
            <w:r>
              <w:rPr>
                <w:rFonts w:hint="eastAsia" w:ascii="宋体" w:hAnsi="宋体" w:cs="宋体"/>
                <w:sz w:val="24"/>
                <w:szCs w:val="28"/>
              </w:rPr>
              <w:t>企业资质</w:t>
            </w:r>
          </w:p>
        </w:tc>
        <w:tc>
          <w:tcPr>
            <w:tcW w:w="5872" w:type="dxa"/>
          </w:tcPr>
          <w:p>
            <w:pPr>
              <w:spacing w:line="360" w:lineRule="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0" w:type="dxa"/>
            <w:vAlign w:val="center"/>
          </w:tcPr>
          <w:p>
            <w:pPr>
              <w:spacing w:line="360" w:lineRule="auto"/>
              <w:jc w:val="center"/>
              <w:rPr>
                <w:rFonts w:ascii="宋体" w:hAnsi="宋体" w:cs="宋体"/>
                <w:sz w:val="24"/>
                <w:szCs w:val="28"/>
              </w:rPr>
            </w:pPr>
            <w:r>
              <w:rPr>
                <w:rFonts w:hint="eastAsia" w:ascii="宋体" w:hAnsi="宋体" w:cs="宋体"/>
                <w:sz w:val="24"/>
                <w:szCs w:val="28"/>
              </w:rPr>
              <w:t>项目负责人</w:t>
            </w:r>
          </w:p>
        </w:tc>
        <w:tc>
          <w:tcPr>
            <w:tcW w:w="5872" w:type="dxa"/>
          </w:tcPr>
          <w:p>
            <w:pPr>
              <w:spacing w:line="360" w:lineRule="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0" w:type="dxa"/>
            <w:vAlign w:val="center"/>
          </w:tcPr>
          <w:p>
            <w:pPr>
              <w:spacing w:line="360" w:lineRule="auto"/>
              <w:jc w:val="center"/>
              <w:rPr>
                <w:rFonts w:ascii="宋体" w:hAnsi="宋体" w:cs="宋体"/>
                <w:sz w:val="24"/>
                <w:szCs w:val="28"/>
              </w:rPr>
            </w:pPr>
            <w:r>
              <w:rPr>
                <w:rFonts w:hint="eastAsia" w:ascii="宋体" w:hAnsi="宋体" w:cs="宋体"/>
                <w:sz w:val="24"/>
                <w:szCs w:val="28"/>
              </w:rPr>
              <w:t>报名时间</w:t>
            </w:r>
          </w:p>
        </w:tc>
        <w:tc>
          <w:tcPr>
            <w:tcW w:w="5872" w:type="dxa"/>
          </w:tcPr>
          <w:p>
            <w:pPr>
              <w:spacing w:line="360" w:lineRule="auto"/>
              <w:rPr>
                <w:rFonts w:ascii="宋体" w:hAnsi="宋体" w:cs="宋体"/>
                <w:sz w:val="24"/>
                <w:szCs w:val="24"/>
              </w:rPr>
            </w:pPr>
            <w:r>
              <w:rPr>
                <w:rFonts w:hint="eastAsia" w:ascii="宋体" w:hAnsi="宋体" w:cs="宋体"/>
                <w:sz w:val="24"/>
                <w:szCs w:val="24"/>
              </w:rPr>
              <w:t>2022年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0" w:type="dxa"/>
            <w:vAlign w:val="center"/>
          </w:tcPr>
          <w:p>
            <w:pPr>
              <w:spacing w:line="360" w:lineRule="auto"/>
              <w:jc w:val="center"/>
              <w:rPr>
                <w:rFonts w:ascii="宋体" w:hAnsi="宋体" w:cs="宋体"/>
                <w:sz w:val="24"/>
                <w:szCs w:val="24"/>
              </w:rPr>
            </w:pPr>
            <w:r>
              <w:rPr>
                <w:rFonts w:hint="eastAsia" w:ascii="宋体" w:hAnsi="宋体" w:cs="宋体"/>
                <w:sz w:val="24"/>
                <w:szCs w:val="24"/>
              </w:rPr>
              <w:t>授权委托人信息</w:t>
            </w:r>
          </w:p>
        </w:tc>
        <w:tc>
          <w:tcPr>
            <w:tcW w:w="5872" w:type="dxa"/>
          </w:tcPr>
          <w:p>
            <w:pPr>
              <w:spacing w:line="360" w:lineRule="auto"/>
              <w:rPr>
                <w:rFonts w:ascii="宋体" w:hAnsi="宋体" w:cs="宋体"/>
                <w:sz w:val="24"/>
                <w:szCs w:val="24"/>
              </w:rPr>
            </w:pPr>
            <w:r>
              <w:rPr>
                <w:rFonts w:hint="eastAsia" w:ascii="宋体" w:hAnsi="宋体" w:cs="宋体"/>
                <w:sz w:val="24"/>
                <w:szCs w:val="24"/>
              </w:rPr>
              <w:t>授权委托人：</w:t>
            </w:r>
          </w:p>
          <w:p>
            <w:pPr>
              <w:spacing w:line="360" w:lineRule="auto"/>
              <w:rPr>
                <w:rFonts w:ascii="宋体" w:hAnsi="宋体" w:cs="宋体"/>
                <w:sz w:val="24"/>
                <w:szCs w:val="24"/>
              </w:rPr>
            </w:pPr>
            <w:r>
              <w:rPr>
                <w:rFonts w:hint="eastAsia" w:ascii="宋体" w:hAnsi="宋体" w:cs="宋体"/>
                <w:sz w:val="24"/>
                <w:szCs w:val="24"/>
              </w:rPr>
              <w:t>第二代身份证号码：</w:t>
            </w:r>
          </w:p>
          <w:p>
            <w:pPr>
              <w:spacing w:line="360" w:lineRule="auto"/>
              <w:rPr>
                <w:rFonts w:ascii="宋体" w:hAnsi="宋体" w:cs="宋体"/>
                <w:sz w:val="24"/>
                <w:szCs w:val="24"/>
              </w:rPr>
            </w:pPr>
            <w:r>
              <w:rPr>
                <w:rFonts w:hint="eastAsia" w:ascii="宋体" w:hAnsi="宋体" w:cs="宋体"/>
                <w:sz w:val="24"/>
                <w:szCs w:val="24"/>
              </w:rPr>
              <w:t>联系电话：</w:t>
            </w:r>
          </w:p>
          <w:p>
            <w:pPr>
              <w:spacing w:line="360" w:lineRule="auto"/>
              <w:rPr>
                <w:rFonts w:ascii="宋体" w:hAnsi="宋体" w:cs="宋体"/>
                <w:sz w:val="24"/>
                <w:szCs w:val="24"/>
              </w:rPr>
            </w:pPr>
            <w:r>
              <w:rPr>
                <w:rFonts w:hint="eastAsia" w:ascii="宋体" w:hAnsi="宋体" w:cs="宋体"/>
                <w:sz w:val="24"/>
                <w:szCs w:val="24"/>
              </w:rPr>
              <w:t>通讯地址：</w:t>
            </w:r>
          </w:p>
          <w:p>
            <w:pPr>
              <w:spacing w:line="360" w:lineRule="auto"/>
              <w:rPr>
                <w:rFonts w:ascii="宋体" w:hAnsi="宋体" w:cs="宋体"/>
                <w:sz w:val="24"/>
                <w:szCs w:val="24"/>
              </w:rPr>
            </w:pPr>
            <w:r>
              <w:rPr>
                <w:rFonts w:hint="eastAsia" w:ascii="宋体" w:hAnsi="宋体" w:cs="宋体"/>
                <w:sz w:val="24"/>
                <w:szCs w:val="24"/>
              </w:rPr>
              <w:t>接收招标文件指定电子邮箱：（QQ邮箱）</w:t>
            </w:r>
          </w:p>
        </w:tc>
      </w:tr>
    </w:tbl>
    <w:p>
      <w:pPr>
        <w:pStyle w:val="8"/>
        <w:spacing w:line="360" w:lineRule="auto"/>
        <w:ind w:left="0" w:leftChars="0" w:firstLine="562" w:firstLineChars="200"/>
        <w:rPr>
          <w:rFonts w:ascii="宋体" w:hAnsi="宋体" w:cs="宋体"/>
          <w:b/>
          <w:sz w:val="28"/>
        </w:rPr>
      </w:pPr>
      <w:r>
        <w:rPr>
          <w:rFonts w:hint="eastAsia" w:ascii="宋体" w:hAnsi="宋体" w:cs="宋体"/>
          <w:b/>
          <w:sz w:val="28"/>
        </w:rPr>
        <w:t>以上报名信息真实有效。</w:t>
      </w:r>
    </w:p>
    <w:p>
      <w:pPr>
        <w:ind w:firstLine="5520" w:firstLineChars="2300"/>
        <w:rPr>
          <w:rFonts w:ascii="宋体" w:hAnsi="宋体" w:cs="宋体"/>
          <w:sz w:val="24"/>
        </w:rPr>
      </w:pPr>
    </w:p>
    <w:p>
      <w:pPr>
        <w:ind w:firstLine="2800" w:firstLineChars="1000"/>
        <w:rPr>
          <w:rFonts w:ascii="宋体" w:hAnsi="宋体" w:cs="宋体"/>
          <w:sz w:val="28"/>
          <w:szCs w:val="28"/>
        </w:rPr>
      </w:pPr>
      <w:r>
        <w:rPr>
          <w:rFonts w:hint="eastAsia" w:ascii="宋体" w:hAnsi="宋体" w:cs="宋体"/>
          <w:sz w:val="28"/>
          <w:szCs w:val="28"/>
        </w:rPr>
        <w:t>投标单位（盖章）：</w:t>
      </w:r>
    </w:p>
    <w:p>
      <w:pPr>
        <w:ind w:firstLine="2800" w:firstLineChars="1000"/>
        <w:rPr>
          <w:rFonts w:ascii="宋体" w:hAnsi="宋体" w:cs="宋体"/>
          <w:sz w:val="28"/>
          <w:szCs w:val="28"/>
        </w:rPr>
      </w:pPr>
      <w:r>
        <w:rPr>
          <w:rFonts w:hint="eastAsia" w:ascii="宋体" w:hAnsi="宋体" w:cs="宋体"/>
          <w:sz w:val="28"/>
          <w:szCs w:val="28"/>
        </w:rPr>
        <w:t>法定代表人或其授权委托人（签字或盖章）</w:t>
      </w:r>
    </w:p>
    <w:p>
      <w:pPr>
        <w:ind w:firstLine="5180" w:firstLineChars="1850"/>
        <w:rPr>
          <w:rFonts w:ascii="宋体" w:hAnsi="宋体" w:cs="宋体"/>
          <w:sz w:val="28"/>
          <w:szCs w:val="28"/>
        </w:rPr>
      </w:pPr>
      <w:r>
        <w:rPr>
          <w:rFonts w:hint="eastAsia" w:ascii="宋体" w:hAnsi="宋体" w:cs="宋体"/>
          <w:sz w:val="28"/>
          <w:szCs w:val="28"/>
        </w:rPr>
        <w:t>时间：2022年   月  日</w:t>
      </w:r>
    </w:p>
    <w:p>
      <w:pPr>
        <w:pStyle w:val="21"/>
        <w:spacing w:line="360" w:lineRule="auto"/>
        <w:rPr>
          <w:rFonts w:ascii="宋体" w:hAnsi="宋体" w:eastAsia="宋体" w:cs="宋体"/>
          <w:kern w:val="0"/>
          <w:sz w:val="24"/>
          <w:szCs w:val="24"/>
        </w:rPr>
      </w:pPr>
      <w:bookmarkStart w:id="2" w:name="_Toc120261231"/>
      <w:bookmarkStart w:id="3" w:name="_Toc353575259"/>
      <w:bookmarkStart w:id="4" w:name="_Toc388596108"/>
      <w:bookmarkStart w:id="5" w:name="_Toc450316936"/>
      <w:bookmarkStart w:id="6" w:name="_Toc14512118"/>
      <w:bookmarkStart w:id="7" w:name="_Toc475950253"/>
      <w:bookmarkStart w:id="8" w:name="_Toc364063328"/>
      <w:bookmarkStart w:id="9" w:name="_Toc420049203"/>
      <w:r>
        <w:rPr>
          <w:rFonts w:hint="eastAsia" w:ascii="宋体" w:hAnsi="宋体" w:eastAsia="宋体" w:cs="宋体"/>
          <w:kern w:val="0"/>
          <w:sz w:val="24"/>
          <w:szCs w:val="24"/>
        </w:rPr>
        <w:t>第二章   投标人须知</w:t>
      </w:r>
      <w:bookmarkEnd w:id="2"/>
      <w:bookmarkEnd w:id="3"/>
      <w:bookmarkEnd w:id="4"/>
      <w:bookmarkEnd w:id="5"/>
      <w:bookmarkEnd w:id="6"/>
      <w:bookmarkEnd w:id="7"/>
      <w:bookmarkEnd w:id="8"/>
      <w:bookmarkStart w:id="10" w:name="_Toc143421654"/>
    </w:p>
    <w:bookmarkEnd w:id="10"/>
    <w:p>
      <w:pPr>
        <w:snapToGrid w:val="0"/>
        <w:spacing w:line="360" w:lineRule="auto"/>
        <w:ind w:firstLine="420" w:firstLineChars="200"/>
        <w:rPr>
          <w:rFonts w:ascii="宋体" w:hAnsi="宋体" w:cs="宋体"/>
          <w:bCs/>
          <w:szCs w:val="21"/>
        </w:rPr>
      </w:pPr>
      <w:r>
        <w:rPr>
          <w:rFonts w:hint="eastAsia" w:ascii="宋体" w:hAnsi="宋体" w:cs="宋体"/>
          <w:bCs/>
          <w:szCs w:val="21"/>
        </w:rPr>
        <w:t>投标人应仔细阅读本招标文件的所有内容（包括答疑、补充、澄清以及修改等），按照招标文件要求以及格式编制投标文件，并保证其真实性，否则其一切后果自负。</w:t>
      </w:r>
    </w:p>
    <w:tbl>
      <w:tblPr>
        <w:tblStyle w:val="26"/>
        <w:tblW w:w="847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6"/>
        <w:gridCol w:w="76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816" w:type="dxa"/>
            <w:vAlign w:val="center"/>
          </w:tcPr>
          <w:p>
            <w:pPr>
              <w:spacing w:line="276" w:lineRule="auto"/>
              <w:ind w:firstLine="6"/>
              <w:jc w:val="center"/>
              <w:rPr>
                <w:rFonts w:ascii="宋体" w:hAnsi="宋体" w:cs="宋体"/>
                <w:szCs w:val="21"/>
              </w:rPr>
            </w:pPr>
            <w:r>
              <w:rPr>
                <w:rFonts w:hint="eastAsia" w:ascii="宋体" w:hAnsi="宋体" w:cs="宋体"/>
                <w:szCs w:val="21"/>
              </w:rPr>
              <w:t>序号</w:t>
            </w:r>
          </w:p>
        </w:tc>
        <w:tc>
          <w:tcPr>
            <w:tcW w:w="7656" w:type="dxa"/>
            <w:vAlign w:val="center"/>
          </w:tcPr>
          <w:p>
            <w:pPr>
              <w:spacing w:line="276" w:lineRule="auto"/>
              <w:ind w:firstLine="480"/>
              <w:jc w:val="center"/>
              <w:rPr>
                <w:rFonts w:ascii="宋体" w:hAnsi="宋体" w:cs="宋体"/>
                <w:szCs w:val="21"/>
              </w:rPr>
            </w:pPr>
            <w:r>
              <w:rPr>
                <w:rFonts w:hint="eastAsia" w:ascii="宋体" w:hAnsi="宋体" w:cs="宋体"/>
                <w:szCs w:val="21"/>
              </w:rPr>
              <w:t>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1" w:hRule="atLeast"/>
          <w:tblHeader/>
        </w:trPr>
        <w:tc>
          <w:tcPr>
            <w:tcW w:w="816" w:type="dxa"/>
            <w:vAlign w:val="center"/>
          </w:tcPr>
          <w:p>
            <w:pPr>
              <w:spacing w:line="276" w:lineRule="auto"/>
              <w:ind w:firstLine="6"/>
              <w:jc w:val="center"/>
              <w:rPr>
                <w:rFonts w:ascii="宋体" w:hAnsi="宋体" w:cs="宋体"/>
                <w:szCs w:val="21"/>
              </w:rPr>
            </w:pPr>
            <w:r>
              <w:rPr>
                <w:rFonts w:hint="eastAsia" w:ascii="宋体" w:hAnsi="宋体" w:cs="宋体"/>
                <w:szCs w:val="21"/>
              </w:rPr>
              <w:t>1</w:t>
            </w:r>
          </w:p>
        </w:tc>
        <w:tc>
          <w:tcPr>
            <w:tcW w:w="7656" w:type="dxa"/>
            <w:vAlign w:val="center"/>
          </w:tcPr>
          <w:p>
            <w:pPr>
              <w:rPr>
                <w:rFonts w:ascii="宋体" w:hAnsi="宋体" w:cs="宋体"/>
                <w:szCs w:val="21"/>
              </w:rPr>
            </w:pPr>
            <w:r>
              <w:rPr>
                <w:rFonts w:hint="eastAsia" w:ascii="宋体" w:hAnsi="宋体" w:cs="宋体"/>
                <w:szCs w:val="21"/>
              </w:rPr>
              <w:t>采 购 人：常州市田家炳初级中学</w:t>
            </w:r>
          </w:p>
          <w:p>
            <w:pPr>
              <w:rPr>
                <w:rFonts w:ascii="宋体" w:hAnsi="宋体" w:cs="宋体"/>
                <w:szCs w:val="21"/>
              </w:rPr>
            </w:pPr>
            <w:r>
              <w:rPr>
                <w:rFonts w:hint="eastAsia" w:ascii="宋体" w:hAnsi="宋体" w:cs="宋体"/>
                <w:szCs w:val="21"/>
              </w:rPr>
              <w:t>地    址：常州市青果巷130号</w:t>
            </w:r>
          </w:p>
          <w:p>
            <w:pPr>
              <w:rPr>
                <w:rFonts w:ascii="宋体" w:hAnsi="宋体" w:cs="宋体"/>
                <w:szCs w:val="21"/>
              </w:rPr>
            </w:pPr>
            <w:r>
              <w:rPr>
                <w:rFonts w:hint="eastAsia" w:ascii="宋体" w:hAnsi="宋体" w:cs="宋体"/>
                <w:szCs w:val="21"/>
              </w:rPr>
              <w:t>联 系 人：袁主任</w:t>
            </w:r>
          </w:p>
          <w:p>
            <w:pPr>
              <w:rPr>
                <w:rFonts w:ascii="宋体" w:hAnsi="宋体" w:cs="宋体"/>
                <w:szCs w:val="21"/>
              </w:rPr>
            </w:pPr>
            <w:r>
              <w:rPr>
                <w:rFonts w:hint="eastAsia" w:ascii="宋体" w:hAnsi="宋体" w:cs="宋体"/>
                <w:szCs w:val="21"/>
              </w:rPr>
              <w:t>电    话：17721686817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tblHeader/>
        </w:trPr>
        <w:tc>
          <w:tcPr>
            <w:tcW w:w="816" w:type="dxa"/>
            <w:tcBorders>
              <w:bottom w:val="single" w:color="auto" w:sz="4" w:space="0"/>
            </w:tcBorders>
            <w:shd w:val="clear" w:color="auto" w:fill="auto"/>
            <w:vAlign w:val="center"/>
          </w:tcPr>
          <w:p>
            <w:pPr>
              <w:spacing w:line="276" w:lineRule="auto"/>
              <w:ind w:firstLine="6"/>
              <w:jc w:val="center"/>
              <w:rPr>
                <w:rFonts w:ascii="宋体" w:hAnsi="宋体" w:cs="宋体"/>
                <w:szCs w:val="21"/>
              </w:rPr>
            </w:pPr>
            <w:r>
              <w:rPr>
                <w:rFonts w:hint="eastAsia" w:ascii="宋体" w:hAnsi="宋体" w:cs="宋体"/>
                <w:szCs w:val="21"/>
              </w:rPr>
              <w:t>2</w:t>
            </w:r>
          </w:p>
        </w:tc>
        <w:tc>
          <w:tcPr>
            <w:tcW w:w="7656" w:type="dxa"/>
            <w:tcBorders>
              <w:top w:val="single" w:color="auto" w:sz="4" w:space="0"/>
              <w:bottom w:val="single" w:color="auto" w:sz="4" w:space="0"/>
            </w:tcBorders>
            <w:shd w:val="clear" w:color="auto" w:fill="FFFFFF"/>
            <w:vAlign w:val="center"/>
          </w:tcPr>
          <w:p>
            <w:pPr>
              <w:widowControl/>
              <w:jc w:val="left"/>
              <w:rPr>
                <w:rFonts w:ascii="宋体" w:hAnsi="宋体" w:cs="宋体"/>
                <w:szCs w:val="21"/>
              </w:rPr>
            </w:pPr>
            <w:r>
              <w:rPr>
                <w:rFonts w:hint="eastAsia" w:ascii="宋体" w:hAnsi="宋体" w:cs="宋体"/>
                <w:szCs w:val="21"/>
              </w:rPr>
              <w:t>投标单位对招标文件及相关附件资料等如有疑问，请将疑问于</w:t>
            </w:r>
            <w:r>
              <w:rPr>
                <w:rFonts w:hint="eastAsia" w:ascii="宋体" w:hAnsi="宋体" w:cs="宋体"/>
                <w:b/>
                <w:szCs w:val="21"/>
              </w:rPr>
              <w:t>2022年 12月5日</w:t>
            </w:r>
            <w:r>
              <w:rPr>
                <w:rFonts w:hint="eastAsia" w:ascii="宋体" w:hAnsi="宋体" w:cs="宋体"/>
                <w:szCs w:val="21"/>
              </w:rPr>
              <w:t>中午11点前以书面形式（加盖投标单位公章）递交至常州市田家炳初级中学 总务处。</w:t>
            </w:r>
          </w:p>
          <w:p>
            <w:pPr>
              <w:spacing w:line="276" w:lineRule="auto"/>
              <w:jc w:val="left"/>
              <w:rPr>
                <w:rFonts w:ascii="宋体" w:hAnsi="宋体" w:cs="宋体"/>
                <w:szCs w:val="21"/>
              </w:rPr>
            </w:pPr>
            <w:r>
              <w:rPr>
                <w:rFonts w:hint="eastAsia" w:ascii="宋体" w:hAnsi="宋体" w:cs="宋体"/>
                <w:szCs w:val="21"/>
              </w:rPr>
              <w:t>未在规定的答疑时间前提出询问又参与了该项目的投标单位将被视为完全认同招标文件，逾期将不接受其对于招标文件的相关异议。如需对招标文件进行澄清或修正，将在网站发布补充公告，其作为招标文件的一部分，与招标文件具有同等约束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tblHeader/>
        </w:trPr>
        <w:tc>
          <w:tcPr>
            <w:tcW w:w="816" w:type="dxa"/>
            <w:tcBorders>
              <w:bottom w:val="single" w:color="auto" w:sz="4" w:space="0"/>
            </w:tcBorders>
            <w:shd w:val="clear" w:color="auto" w:fill="auto"/>
            <w:vAlign w:val="center"/>
          </w:tcPr>
          <w:p>
            <w:pPr>
              <w:spacing w:line="276" w:lineRule="auto"/>
              <w:ind w:firstLine="6"/>
              <w:jc w:val="center"/>
              <w:rPr>
                <w:rFonts w:ascii="宋体" w:hAnsi="宋体" w:cs="宋体"/>
                <w:szCs w:val="21"/>
              </w:rPr>
            </w:pPr>
            <w:r>
              <w:rPr>
                <w:rFonts w:hint="eastAsia" w:ascii="宋体" w:hAnsi="宋体" w:cs="宋体"/>
                <w:szCs w:val="21"/>
              </w:rPr>
              <w:t>3</w:t>
            </w:r>
          </w:p>
        </w:tc>
        <w:tc>
          <w:tcPr>
            <w:tcW w:w="7656" w:type="dxa"/>
            <w:tcBorders>
              <w:top w:val="single" w:color="auto" w:sz="4" w:space="0"/>
              <w:bottom w:val="single" w:color="auto" w:sz="4" w:space="0"/>
            </w:tcBorders>
            <w:shd w:val="clear" w:color="auto" w:fill="FFFFFF"/>
            <w:vAlign w:val="center"/>
          </w:tcPr>
          <w:p>
            <w:pPr>
              <w:spacing w:line="276" w:lineRule="auto"/>
              <w:rPr>
                <w:rFonts w:ascii="宋体" w:hAnsi="宋体" w:cs="宋体"/>
                <w:szCs w:val="21"/>
              </w:rPr>
            </w:pPr>
            <w:r>
              <w:rPr>
                <w:rFonts w:hint="eastAsia" w:ascii="宋体" w:hAnsi="宋体" w:cs="宋体"/>
                <w:szCs w:val="21"/>
              </w:rPr>
              <w:t>现场勘察：不组织，自行踏勘现场。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8" w:hRule="atLeast"/>
          <w:tblHeader/>
        </w:trPr>
        <w:tc>
          <w:tcPr>
            <w:tcW w:w="816" w:type="dxa"/>
            <w:vAlign w:val="center"/>
          </w:tcPr>
          <w:p>
            <w:pPr>
              <w:spacing w:line="276" w:lineRule="auto"/>
              <w:ind w:firstLine="6"/>
              <w:jc w:val="center"/>
              <w:rPr>
                <w:rFonts w:ascii="宋体" w:hAnsi="宋体" w:cs="宋体"/>
                <w:szCs w:val="21"/>
              </w:rPr>
            </w:pPr>
            <w:r>
              <w:rPr>
                <w:rFonts w:hint="eastAsia" w:ascii="宋体" w:hAnsi="宋体" w:cs="宋体"/>
                <w:szCs w:val="21"/>
              </w:rPr>
              <w:t>4</w:t>
            </w:r>
          </w:p>
        </w:tc>
        <w:tc>
          <w:tcPr>
            <w:tcW w:w="7656" w:type="dxa"/>
            <w:vAlign w:val="center"/>
          </w:tcPr>
          <w:p>
            <w:pPr>
              <w:spacing w:line="276" w:lineRule="auto"/>
              <w:rPr>
                <w:rFonts w:ascii="宋体" w:hAnsi="宋体" w:cs="宋体"/>
                <w:szCs w:val="21"/>
              </w:rPr>
            </w:pPr>
            <w:r>
              <w:rPr>
                <w:rFonts w:hint="eastAsia" w:ascii="宋体" w:hAnsi="宋体" w:cs="宋体"/>
                <w:szCs w:val="21"/>
              </w:rPr>
              <w:t>投标文件截止时间：</w:t>
            </w:r>
            <w:r>
              <w:rPr>
                <w:rFonts w:hint="eastAsia" w:ascii="宋体" w:hAnsi="宋体" w:cs="宋体"/>
                <w:b/>
                <w:bCs/>
                <w:szCs w:val="21"/>
                <w:u w:val="single"/>
              </w:rPr>
              <w:t>2022年12月9日14时00分</w:t>
            </w:r>
            <w:r>
              <w:rPr>
                <w:rFonts w:hint="eastAsia" w:ascii="宋体" w:hAnsi="宋体" w:cs="宋体"/>
                <w:szCs w:val="21"/>
              </w:rPr>
              <w:t>（在投标截止期同一时间开标）</w:t>
            </w:r>
          </w:p>
          <w:p>
            <w:pPr>
              <w:spacing w:line="276" w:lineRule="auto"/>
              <w:rPr>
                <w:rFonts w:ascii="宋体" w:hAnsi="宋体" w:cs="宋体"/>
                <w:szCs w:val="21"/>
                <w:u w:val="thick"/>
              </w:rPr>
            </w:pPr>
            <w:r>
              <w:rPr>
                <w:rFonts w:hint="eastAsia" w:ascii="宋体" w:hAnsi="宋体" w:cs="宋体"/>
                <w:b/>
                <w:bCs/>
                <w:u w:val="thick"/>
              </w:rPr>
              <w:t>（时间以北京时间为准）</w:t>
            </w:r>
          </w:p>
          <w:p>
            <w:pPr>
              <w:spacing w:line="276" w:lineRule="auto"/>
              <w:rPr>
                <w:rFonts w:ascii="宋体" w:hAnsi="宋体" w:cs="宋体"/>
                <w:szCs w:val="21"/>
              </w:rPr>
            </w:pPr>
            <w:r>
              <w:rPr>
                <w:rFonts w:hint="eastAsia" w:ascii="宋体" w:hAnsi="宋体" w:cs="宋体"/>
                <w:szCs w:val="21"/>
              </w:rPr>
              <w:t>地点：常州市田家炳初级中学 总务处</w:t>
            </w:r>
          </w:p>
          <w:p>
            <w:pPr>
              <w:spacing w:line="276" w:lineRule="auto"/>
              <w:rPr>
                <w:rFonts w:ascii="宋体" w:hAnsi="宋体" w:cs="宋体"/>
                <w:b/>
                <w:szCs w:val="21"/>
              </w:rPr>
            </w:pPr>
            <w:r>
              <w:rPr>
                <w:rFonts w:hint="eastAsia" w:ascii="宋体" w:hAnsi="宋体" w:cs="宋体"/>
                <w:b/>
                <w:szCs w:val="21"/>
              </w:rPr>
              <w:t>投标截止期后送达的投标文件恕不接受。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blHeader/>
        </w:trPr>
        <w:tc>
          <w:tcPr>
            <w:tcW w:w="816" w:type="dxa"/>
            <w:vAlign w:val="center"/>
          </w:tcPr>
          <w:p>
            <w:pPr>
              <w:spacing w:line="276" w:lineRule="auto"/>
              <w:ind w:firstLine="6"/>
              <w:jc w:val="center"/>
              <w:rPr>
                <w:rFonts w:ascii="宋体" w:hAnsi="宋体" w:cs="宋体"/>
                <w:szCs w:val="21"/>
              </w:rPr>
            </w:pPr>
            <w:r>
              <w:rPr>
                <w:rFonts w:hint="eastAsia" w:ascii="宋体" w:hAnsi="宋体" w:cs="宋体"/>
                <w:szCs w:val="21"/>
              </w:rPr>
              <w:t>5</w:t>
            </w:r>
          </w:p>
        </w:tc>
        <w:tc>
          <w:tcPr>
            <w:tcW w:w="7656" w:type="dxa"/>
            <w:vAlign w:val="center"/>
          </w:tcPr>
          <w:p>
            <w:pPr>
              <w:spacing w:line="276" w:lineRule="auto"/>
              <w:rPr>
                <w:rFonts w:ascii="宋体" w:hAnsi="宋体" w:cs="宋体"/>
                <w:szCs w:val="21"/>
              </w:rPr>
            </w:pPr>
            <w:r>
              <w:rPr>
                <w:rFonts w:hint="eastAsia" w:ascii="宋体" w:hAnsi="宋体" w:cs="宋体"/>
                <w:szCs w:val="21"/>
              </w:rPr>
              <w:t>投标文件：</w:t>
            </w:r>
            <w:r>
              <w:rPr>
                <w:rFonts w:hint="eastAsia" w:ascii="宋体" w:hAnsi="宋体" w:cs="宋体"/>
                <w:b/>
                <w:szCs w:val="21"/>
              </w:rPr>
              <w:t>装订成册，壹份正本，</w:t>
            </w:r>
            <w:r>
              <w:rPr>
                <w:rFonts w:hint="eastAsia" w:ascii="宋体" w:hAnsi="宋体" w:cs="宋体"/>
                <w:b/>
                <w:szCs w:val="21"/>
                <w:shd w:val="clear" w:color="auto" w:fill="FFFFFF" w:themeFill="background1"/>
              </w:rPr>
              <w:t>贰份</w:t>
            </w:r>
            <w:r>
              <w:rPr>
                <w:rFonts w:hint="eastAsia" w:ascii="宋体" w:hAnsi="宋体" w:cs="宋体"/>
                <w:b/>
                <w:szCs w:val="21"/>
              </w:rPr>
              <w:t>副本</w:t>
            </w:r>
            <w:r>
              <w:rPr>
                <w:rFonts w:hint="eastAsia" w:ascii="宋体" w:hAnsi="宋体" w:cs="宋体"/>
                <w:szCs w:val="21"/>
              </w:rPr>
              <w:t>。投标文件的正、副本密封、标志，未按规定装订、密封、标志的投标文件采购人有权不予接收。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tblHeader/>
        </w:trPr>
        <w:tc>
          <w:tcPr>
            <w:tcW w:w="816" w:type="dxa"/>
            <w:vAlign w:val="center"/>
          </w:tcPr>
          <w:p>
            <w:pPr>
              <w:spacing w:line="276" w:lineRule="auto"/>
              <w:ind w:firstLine="6"/>
              <w:jc w:val="center"/>
              <w:rPr>
                <w:rFonts w:ascii="宋体" w:hAnsi="宋体" w:cs="宋体"/>
                <w:szCs w:val="21"/>
              </w:rPr>
            </w:pPr>
            <w:r>
              <w:rPr>
                <w:rFonts w:hint="eastAsia" w:ascii="宋体" w:hAnsi="宋体" w:cs="宋体"/>
                <w:szCs w:val="21"/>
              </w:rPr>
              <w:t>6</w:t>
            </w:r>
          </w:p>
        </w:tc>
        <w:tc>
          <w:tcPr>
            <w:tcW w:w="7656" w:type="dxa"/>
            <w:vAlign w:val="center"/>
          </w:tcPr>
          <w:p>
            <w:pPr>
              <w:spacing w:line="276" w:lineRule="auto"/>
              <w:rPr>
                <w:rFonts w:ascii="宋体" w:hAnsi="宋体" w:cs="宋体"/>
                <w:szCs w:val="21"/>
              </w:rPr>
            </w:pPr>
            <w:r>
              <w:rPr>
                <w:rFonts w:hint="eastAsia" w:ascii="宋体" w:hAnsi="宋体" w:cs="宋体"/>
                <w:szCs w:val="21"/>
              </w:rPr>
              <w:t>投标有效期：投标截止日起45日历天。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tblHeader/>
        </w:trPr>
        <w:tc>
          <w:tcPr>
            <w:tcW w:w="816" w:type="dxa"/>
            <w:vAlign w:val="center"/>
          </w:tcPr>
          <w:p>
            <w:pPr>
              <w:spacing w:line="276" w:lineRule="auto"/>
              <w:ind w:firstLine="6"/>
              <w:jc w:val="center"/>
              <w:rPr>
                <w:rFonts w:ascii="宋体" w:hAnsi="宋体" w:cs="宋体"/>
                <w:szCs w:val="21"/>
              </w:rPr>
            </w:pPr>
            <w:r>
              <w:rPr>
                <w:rFonts w:hint="eastAsia" w:ascii="宋体" w:hAnsi="宋体" w:cs="宋体"/>
                <w:szCs w:val="21"/>
              </w:rPr>
              <w:t>7</w:t>
            </w:r>
          </w:p>
        </w:tc>
        <w:tc>
          <w:tcPr>
            <w:tcW w:w="7656" w:type="dxa"/>
            <w:vAlign w:val="center"/>
          </w:tcPr>
          <w:p>
            <w:pPr>
              <w:spacing w:line="400" w:lineRule="exact"/>
              <w:rPr>
                <w:rFonts w:ascii="宋体" w:hAnsi="宋体" w:cs="宋体"/>
                <w:szCs w:val="21"/>
              </w:rPr>
            </w:pPr>
            <w:r>
              <w:rPr>
                <w:rFonts w:hint="eastAsia" w:ascii="宋体" w:hAnsi="宋体" w:cs="宋体"/>
                <w:szCs w:val="21"/>
              </w:rPr>
              <w:t>资格审查：详见投标文件格式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tblHeader/>
        </w:trPr>
        <w:tc>
          <w:tcPr>
            <w:tcW w:w="816" w:type="dxa"/>
            <w:vAlign w:val="center"/>
          </w:tcPr>
          <w:p>
            <w:pPr>
              <w:spacing w:line="276" w:lineRule="auto"/>
              <w:ind w:firstLine="6"/>
              <w:jc w:val="center"/>
              <w:rPr>
                <w:rFonts w:ascii="宋体" w:hAnsi="宋体" w:cs="宋体"/>
                <w:szCs w:val="21"/>
              </w:rPr>
            </w:pPr>
            <w:r>
              <w:rPr>
                <w:rFonts w:hint="eastAsia" w:ascii="宋体" w:hAnsi="宋体" w:cs="宋体"/>
                <w:szCs w:val="21"/>
              </w:rPr>
              <w:t>8</w:t>
            </w:r>
          </w:p>
        </w:tc>
        <w:tc>
          <w:tcPr>
            <w:tcW w:w="7656" w:type="dxa"/>
            <w:vAlign w:val="center"/>
          </w:tcPr>
          <w:p>
            <w:pPr>
              <w:spacing w:line="276" w:lineRule="auto"/>
              <w:rPr>
                <w:rFonts w:ascii="宋体" w:hAnsi="宋体" w:cs="宋体"/>
                <w:b/>
                <w:szCs w:val="21"/>
              </w:rPr>
            </w:pPr>
            <w:r>
              <w:rPr>
                <w:rFonts w:hint="eastAsia" w:ascii="宋体" w:hAnsi="宋体" w:cs="宋体"/>
                <w:szCs w:val="21"/>
              </w:rPr>
              <w:t>评标方法：综合评标法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tblHeader/>
        </w:trPr>
        <w:tc>
          <w:tcPr>
            <w:tcW w:w="816" w:type="dxa"/>
            <w:vAlign w:val="center"/>
          </w:tcPr>
          <w:p>
            <w:pPr>
              <w:spacing w:line="276" w:lineRule="auto"/>
              <w:ind w:firstLine="6"/>
              <w:jc w:val="center"/>
              <w:rPr>
                <w:rFonts w:ascii="宋体" w:hAnsi="宋体" w:cs="宋体"/>
                <w:szCs w:val="21"/>
              </w:rPr>
            </w:pPr>
            <w:r>
              <w:rPr>
                <w:rFonts w:hint="eastAsia" w:ascii="宋体" w:hAnsi="宋体" w:cs="宋体"/>
                <w:szCs w:val="21"/>
              </w:rPr>
              <w:t>9</w:t>
            </w:r>
          </w:p>
        </w:tc>
        <w:tc>
          <w:tcPr>
            <w:tcW w:w="7656" w:type="dxa"/>
            <w:vAlign w:val="center"/>
          </w:tcPr>
          <w:p>
            <w:pPr>
              <w:spacing w:line="276" w:lineRule="auto"/>
              <w:rPr>
                <w:rFonts w:ascii="宋体" w:hAnsi="宋体" w:cs="宋体"/>
                <w:szCs w:val="21"/>
              </w:rPr>
            </w:pPr>
            <w:r>
              <w:rPr>
                <w:rFonts w:hint="eastAsia" w:ascii="宋体" w:hAnsi="宋体" w:cs="宋体"/>
                <w:szCs w:val="21"/>
              </w:rPr>
              <w:t>履约保证金：不要提供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trPr>
        <w:tc>
          <w:tcPr>
            <w:tcW w:w="816" w:type="dxa"/>
            <w:vAlign w:val="center"/>
          </w:tcPr>
          <w:p>
            <w:pPr>
              <w:spacing w:line="276" w:lineRule="auto"/>
              <w:ind w:firstLine="6"/>
              <w:jc w:val="center"/>
              <w:rPr>
                <w:rFonts w:ascii="宋体" w:hAnsi="宋体" w:cs="宋体"/>
                <w:szCs w:val="21"/>
              </w:rPr>
            </w:pPr>
            <w:r>
              <w:rPr>
                <w:rFonts w:hint="eastAsia" w:ascii="宋体" w:hAnsi="宋体" w:cs="宋体"/>
                <w:szCs w:val="21"/>
              </w:rPr>
              <w:t>10</w:t>
            </w:r>
          </w:p>
        </w:tc>
        <w:tc>
          <w:tcPr>
            <w:tcW w:w="7656" w:type="dxa"/>
            <w:vAlign w:val="center"/>
          </w:tcPr>
          <w:p>
            <w:pPr>
              <w:jc w:val="left"/>
              <w:rPr>
                <w:rFonts w:ascii="宋体" w:hAnsi="宋体" w:cs="宋体"/>
                <w:b/>
                <w:sz w:val="36"/>
                <w:szCs w:val="36"/>
              </w:rPr>
            </w:pPr>
            <w:r>
              <w:rPr>
                <w:rFonts w:hint="eastAsia" w:ascii="宋体" w:hAnsi="宋体" w:cs="宋体"/>
                <w:szCs w:val="21"/>
              </w:rPr>
              <w:t>最高限价：详见招标文件</w:t>
            </w:r>
          </w:p>
        </w:tc>
      </w:tr>
    </w:tbl>
    <w:p>
      <w:pPr>
        <w:pStyle w:val="21"/>
        <w:spacing w:line="360" w:lineRule="auto"/>
        <w:rPr>
          <w:rFonts w:ascii="宋体" w:hAnsi="宋体" w:eastAsia="宋体" w:cs="宋体"/>
          <w:kern w:val="0"/>
          <w:sz w:val="24"/>
          <w:szCs w:val="24"/>
        </w:rPr>
      </w:pPr>
      <w:r>
        <w:rPr>
          <w:rFonts w:hint="eastAsia" w:ascii="宋体" w:hAnsi="宋体" w:eastAsia="宋体" w:cs="宋体"/>
        </w:rPr>
        <w:br w:type="page"/>
      </w:r>
      <w:bookmarkEnd w:id="9"/>
      <w:bookmarkStart w:id="11" w:name="_Toc120261232"/>
      <w:r>
        <w:rPr>
          <w:rFonts w:hint="eastAsia" w:ascii="宋体" w:hAnsi="宋体" w:eastAsia="宋体" w:cs="宋体"/>
          <w:kern w:val="0"/>
          <w:sz w:val="24"/>
          <w:szCs w:val="24"/>
        </w:rPr>
        <w:t>第三章   总     则</w:t>
      </w:r>
      <w:bookmarkEnd w:id="11"/>
    </w:p>
    <w:p>
      <w:pPr>
        <w:spacing w:line="276" w:lineRule="auto"/>
        <w:ind w:firstLine="482" w:firstLineChars="200"/>
        <w:jc w:val="left"/>
        <w:rPr>
          <w:rFonts w:ascii="宋体" w:hAnsi="宋体" w:cs="宋体"/>
          <w:b/>
          <w:sz w:val="24"/>
        </w:rPr>
      </w:pPr>
      <w:r>
        <w:rPr>
          <w:rFonts w:hint="eastAsia" w:ascii="宋体" w:hAnsi="宋体" w:cs="宋体"/>
          <w:b/>
          <w:sz w:val="24"/>
        </w:rPr>
        <w:t>一、总则</w:t>
      </w:r>
    </w:p>
    <w:p>
      <w:pPr>
        <w:spacing w:line="276" w:lineRule="auto"/>
        <w:ind w:firstLine="482" w:firstLineChars="200"/>
        <w:jc w:val="left"/>
        <w:rPr>
          <w:rFonts w:ascii="宋体" w:hAnsi="宋体" w:cs="宋体"/>
          <w:b/>
          <w:sz w:val="24"/>
        </w:rPr>
      </w:pPr>
      <w:r>
        <w:rPr>
          <w:rFonts w:hint="eastAsia" w:ascii="宋体" w:hAnsi="宋体" w:cs="宋体"/>
          <w:b/>
          <w:sz w:val="24"/>
        </w:rPr>
        <w:t>（一）当事人</w:t>
      </w:r>
    </w:p>
    <w:p>
      <w:pPr>
        <w:spacing w:line="276" w:lineRule="auto"/>
        <w:ind w:firstLine="480" w:firstLineChars="200"/>
        <w:jc w:val="left"/>
        <w:rPr>
          <w:rFonts w:ascii="宋体" w:hAnsi="宋体" w:cs="宋体"/>
          <w:bCs/>
          <w:sz w:val="24"/>
        </w:rPr>
      </w:pPr>
      <w:r>
        <w:rPr>
          <w:rFonts w:hint="eastAsia" w:ascii="宋体" w:hAnsi="宋体" w:cs="宋体"/>
          <w:bCs/>
          <w:sz w:val="24"/>
        </w:rPr>
        <w:t>1、采购人：</w:t>
      </w:r>
      <w:r>
        <w:rPr>
          <w:rFonts w:hint="eastAsia" w:ascii="宋体" w:hAnsi="宋体" w:cs="宋体"/>
          <w:bCs/>
          <w:sz w:val="24"/>
          <w:u w:val="single"/>
        </w:rPr>
        <w:t xml:space="preserve"> 详见第二章 </w:t>
      </w:r>
      <w:r>
        <w:rPr>
          <w:rFonts w:hint="eastAsia" w:ascii="宋体" w:hAnsi="宋体" w:cs="宋体"/>
          <w:bCs/>
          <w:sz w:val="24"/>
        </w:rPr>
        <w:t>。</w:t>
      </w:r>
    </w:p>
    <w:p>
      <w:pPr>
        <w:spacing w:line="276" w:lineRule="auto"/>
        <w:ind w:firstLine="480" w:firstLineChars="200"/>
        <w:jc w:val="left"/>
        <w:rPr>
          <w:rFonts w:ascii="宋体" w:hAnsi="宋体" w:cs="宋体"/>
          <w:bCs/>
          <w:sz w:val="24"/>
        </w:rPr>
      </w:pPr>
      <w:r>
        <w:rPr>
          <w:rFonts w:hint="eastAsia" w:ascii="宋体" w:hAnsi="宋体" w:cs="宋体"/>
          <w:bCs/>
          <w:sz w:val="24"/>
        </w:rPr>
        <w:t>2、供应商：是指响应招标且符合采购文件规定的资格条件和参加投标的竞争的法人、其他组织或者自然人。</w:t>
      </w:r>
    </w:p>
    <w:p>
      <w:pPr>
        <w:spacing w:line="276" w:lineRule="auto"/>
        <w:ind w:firstLine="480" w:firstLineChars="200"/>
        <w:jc w:val="left"/>
        <w:rPr>
          <w:rFonts w:ascii="宋体" w:hAnsi="宋体" w:cs="宋体"/>
          <w:bCs/>
          <w:sz w:val="24"/>
        </w:rPr>
      </w:pPr>
      <w:r>
        <w:rPr>
          <w:rFonts w:hint="eastAsia" w:ascii="宋体" w:hAnsi="宋体" w:cs="宋体"/>
          <w:bCs/>
          <w:sz w:val="24"/>
        </w:rPr>
        <w:t>3、评标委员会：系指根据相关法律法规以及规定，由采购人代表和有关专家组成以确定中标人或者推荐中标候选人的临时组织。</w:t>
      </w:r>
    </w:p>
    <w:p>
      <w:pPr>
        <w:spacing w:line="276" w:lineRule="auto"/>
        <w:ind w:firstLine="480" w:firstLineChars="200"/>
        <w:jc w:val="left"/>
        <w:rPr>
          <w:rFonts w:ascii="宋体" w:hAnsi="宋体" w:cs="宋体"/>
          <w:bCs/>
          <w:sz w:val="24"/>
          <w:lang w:val="zh-CN"/>
        </w:rPr>
      </w:pPr>
      <w:r>
        <w:rPr>
          <w:rFonts w:hint="eastAsia" w:ascii="宋体" w:hAnsi="宋体" w:cs="宋体"/>
          <w:bCs/>
          <w:sz w:val="24"/>
        </w:rPr>
        <w:t>4、中标人：系经评标委员会评审确定的符合采购需求、质量和服务要求，并对招标文件做出实质性响应，取得与采购人签订合同资格的供应商。</w:t>
      </w:r>
    </w:p>
    <w:p>
      <w:pPr>
        <w:spacing w:line="276" w:lineRule="auto"/>
        <w:ind w:firstLine="482" w:firstLineChars="200"/>
        <w:jc w:val="left"/>
        <w:rPr>
          <w:rFonts w:ascii="宋体" w:hAnsi="宋体" w:cs="宋体"/>
          <w:b/>
          <w:sz w:val="24"/>
        </w:rPr>
      </w:pPr>
      <w:r>
        <w:rPr>
          <w:rFonts w:hint="eastAsia" w:ascii="宋体" w:hAnsi="宋体" w:cs="宋体"/>
          <w:b/>
          <w:sz w:val="24"/>
        </w:rPr>
        <w:t>（二）投标费用</w:t>
      </w:r>
    </w:p>
    <w:p>
      <w:pPr>
        <w:spacing w:line="276" w:lineRule="auto"/>
        <w:ind w:firstLine="480" w:firstLineChars="200"/>
        <w:rPr>
          <w:rFonts w:ascii="宋体" w:hAnsi="宋体" w:cs="宋体"/>
          <w:bCs/>
          <w:sz w:val="24"/>
          <w:lang w:val="zh-CN"/>
        </w:rPr>
      </w:pPr>
      <w:r>
        <w:rPr>
          <w:rFonts w:hint="eastAsia" w:ascii="宋体" w:hAnsi="宋体" w:cs="宋体"/>
          <w:bCs/>
          <w:sz w:val="24"/>
          <w:lang w:val="zh-CN"/>
        </w:rPr>
        <w:t>供应商应自行承担其编制响应文件以及提交响应文件参加招投标过程所产生之一切费用。无论招投标结果如何，采购人对上述费用不负任何责任。</w:t>
      </w:r>
    </w:p>
    <w:p>
      <w:pPr>
        <w:spacing w:line="276" w:lineRule="auto"/>
        <w:ind w:firstLine="482" w:firstLineChars="200"/>
        <w:jc w:val="left"/>
        <w:rPr>
          <w:rFonts w:ascii="宋体" w:hAnsi="宋体" w:cs="宋体"/>
          <w:b/>
          <w:sz w:val="24"/>
        </w:rPr>
      </w:pPr>
      <w:bookmarkStart w:id="12" w:name="_Toc453509217"/>
      <w:bookmarkStart w:id="13" w:name="_Toc436599779"/>
      <w:r>
        <w:rPr>
          <w:rFonts w:hint="eastAsia" w:ascii="宋体" w:hAnsi="宋体" w:cs="宋体"/>
          <w:b/>
          <w:sz w:val="24"/>
        </w:rPr>
        <w:t>二、招标文件</w:t>
      </w:r>
      <w:bookmarkEnd w:id="12"/>
      <w:bookmarkEnd w:id="13"/>
    </w:p>
    <w:p>
      <w:pPr>
        <w:spacing w:line="276" w:lineRule="auto"/>
        <w:ind w:firstLine="482" w:firstLineChars="200"/>
        <w:jc w:val="left"/>
        <w:rPr>
          <w:rFonts w:ascii="宋体" w:hAnsi="宋体" w:cs="宋体"/>
          <w:b/>
          <w:sz w:val="24"/>
        </w:rPr>
      </w:pPr>
      <w:r>
        <w:rPr>
          <w:rFonts w:hint="eastAsia" w:ascii="宋体" w:hAnsi="宋体" w:cs="宋体"/>
          <w:b/>
          <w:sz w:val="24"/>
        </w:rPr>
        <w:t>（一）招标文件</w:t>
      </w:r>
    </w:p>
    <w:p>
      <w:pPr>
        <w:spacing w:line="276" w:lineRule="auto"/>
        <w:ind w:firstLine="480" w:firstLineChars="200"/>
        <w:jc w:val="left"/>
        <w:rPr>
          <w:rFonts w:ascii="宋体" w:hAnsi="宋体" w:cs="宋体"/>
          <w:bCs/>
          <w:sz w:val="24"/>
        </w:rPr>
      </w:pPr>
      <w:r>
        <w:rPr>
          <w:rFonts w:hint="eastAsia" w:ascii="宋体" w:hAnsi="宋体" w:cs="宋体"/>
          <w:bCs/>
          <w:sz w:val="24"/>
        </w:rPr>
        <w:t>1、招标文件包括本文件目录所列全部内容及相关补充、澄清和修正文件，投标人应仔细阅读，并在投标文件中充分反映招标文件的所有要求。</w:t>
      </w:r>
    </w:p>
    <w:p>
      <w:pPr>
        <w:spacing w:line="276" w:lineRule="auto"/>
        <w:ind w:firstLine="480" w:firstLineChars="200"/>
        <w:jc w:val="left"/>
        <w:rPr>
          <w:rFonts w:ascii="宋体" w:hAnsi="宋体" w:cs="宋体"/>
          <w:bCs/>
          <w:sz w:val="24"/>
        </w:rPr>
      </w:pPr>
      <w:r>
        <w:rPr>
          <w:rFonts w:hint="eastAsia" w:ascii="宋体" w:hAnsi="宋体" w:cs="宋体"/>
          <w:bCs/>
          <w:sz w:val="24"/>
        </w:rPr>
        <w:t>2、供应商应仔细检查招标文件是否齐全，如有缺漏，立即与本公司联系解决。</w:t>
      </w:r>
    </w:p>
    <w:p>
      <w:pPr>
        <w:spacing w:line="276" w:lineRule="auto"/>
        <w:ind w:firstLine="480" w:firstLineChars="200"/>
        <w:jc w:val="left"/>
        <w:rPr>
          <w:rFonts w:ascii="宋体" w:hAnsi="宋体" w:cs="宋体"/>
          <w:bCs/>
          <w:sz w:val="24"/>
        </w:rPr>
      </w:pPr>
      <w:r>
        <w:rPr>
          <w:rFonts w:hint="eastAsia" w:ascii="宋体" w:hAnsi="宋体" w:cs="宋体"/>
          <w:bCs/>
          <w:sz w:val="24"/>
        </w:rPr>
        <w:t>3、投标人应领取招标文件及有关资料，按招标文件要求提交资料并对招标文件各项内容做出实质性响应，投标人应自行承担责任，并可能导致其投标被拒绝。</w:t>
      </w:r>
    </w:p>
    <w:p>
      <w:pPr>
        <w:spacing w:line="276" w:lineRule="auto"/>
        <w:ind w:firstLine="480" w:firstLineChars="200"/>
        <w:jc w:val="left"/>
        <w:rPr>
          <w:rFonts w:ascii="宋体" w:hAnsi="宋体" w:cs="宋体"/>
          <w:bCs/>
          <w:sz w:val="24"/>
        </w:rPr>
      </w:pPr>
      <w:r>
        <w:rPr>
          <w:rFonts w:hint="eastAsia" w:ascii="宋体" w:hAnsi="宋体" w:cs="宋体"/>
          <w:bCs/>
          <w:sz w:val="24"/>
        </w:rPr>
        <w:t>4、采购人向供应商提供的有关资料和数据，是采购人现有的能使供应商利用的资料。采购人对供应商由此而作出的推论、理解和结论概不负责。供应商由于对邀请招标文件的任何推论和误解以及采购人对有关问题的口头解释所造成的后果，均由供应商自负。</w:t>
      </w:r>
    </w:p>
    <w:p>
      <w:pPr>
        <w:spacing w:line="276" w:lineRule="auto"/>
        <w:ind w:firstLine="480" w:firstLineChars="200"/>
        <w:jc w:val="left"/>
        <w:rPr>
          <w:rFonts w:ascii="宋体" w:hAnsi="宋体" w:cs="宋体"/>
          <w:bCs/>
          <w:sz w:val="24"/>
        </w:rPr>
      </w:pPr>
      <w:r>
        <w:rPr>
          <w:rFonts w:hint="eastAsia" w:ascii="宋体" w:hAnsi="宋体" w:cs="宋体"/>
          <w:bCs/>
          <w:sz w:val="24"/>
        </w:rPr>
        <w:t>5、投标人一旦参加本项目，即被认为接受了本招标文件中的所有条件和规定。</w:t>
      </w:r>
    </w:p>
    <w:p>
      <w:pPr>
        <w:spacing w:line="276" w:lineRule="auto"/>
        <w:ind w:firstLine="480" w:firstLineChars="200"/>
        <w:jc w:val="left"/>
        <w:rPr>
          <w:rFonts w:ascii="宋体" w:hAnsi="宋体" w:cs="宋体"/>
          <w:bCs/>
          <w:sz w:val="24"/>
        </w:rPr>
      </w:pPr>
      <w:r>
        <w:rPr>
          <w:rFonts w:hint="eastAsia" w:ascii="宋体" w:hAnsi="宋体" w:cs="宋体"/>
          <w:bCs/>
          <w:sz w:val="24"/>
        </w:rPr>
        <w:t>6、招标文件仅作为本次采购使用。</w:t>
      </w:r>
    </w:p>
    <w:p>
      <w:pPr>
        <w:spacing w:line="276" w:lineRule="auto"/>
        <w:ind w:firstLine="482" w:firstLineChars="200"/>
        <w:jc w:val="left"/>
        <w:rPr>
          <w:rFonts w:ascii="宋体" w:hAnsi="宋体" w:cs="宋体"/>
          <w:bCs/>
          <w:sz w:val="24"/>
        </w:rPr>
      </w:pPr>
      <w:r>
        <w:rPr>
          <w:rFonts w:hint="eastAsia" w:ascii="宋体" w:hAnsi="宋体" w:cs="宋体"/>
          <w:b/>
          <w:sz w:val="24"/>
        </w:rPr>
        <w:t>（二）招标文件的解释</w:t>
      </w:r>
      <w:r>
        <w:rPr>
          <w:rFonts w:hint="eastAsia" w:ascii="宋体" w:hAnsi="宋体" w:cs="宋体"/>
          <w:bCs/>
          <w:sz w:val="24"/>
        </w:rPr>
        <w:tab/>
      </w:r>
    </w:p>
    <w:p>
      <w:pPr>
        <w:spacing w:line="276" w:lineRule="auto"/>
        <w:ind w:firstLine="420"/>
        <w:rPr>
          <w:rFonts w:ascii="宋体" w:hAnsi="宋体" w:cs="宋体"/>
          <w:b/>
          <w:bCs/>
        </w:rPr>
      </w:pPr>
      <w:r>
        <w:rPr>
          <w:rFonts w:hint="eastAsia" w:ascii="宋体" w:hAnsi="宋体" w:cs="宋体"/>
          <w:bCs/>
          <w:sz w:val="24"/>
        </w:rPr>
        <w:t>1、标前答疑：详见投标人须知前附表</w:t>
      </w:r>
      <w:r>
        <w:rPr>
          <w:rFonts w:hint="eastAsia" w:ascii="宋体" w:hAnsi="宋体" w:cs="宋体"/>
          <w:b/>
          <w:bCs/>
        </w:rPr>
        <w:t>。</w:t>
      </w:r>
    </w:p>
    <w:p>
      <w:pPr>
        <w:spacing w:line="276" w:lineRule="auto"/>
        <w:ind w:firstLine="480" w:firstLineChars="200"/>
        <w:jc w:val="left"/>
        <w:rPr>
          <w:rFonts w:ascii="宋体" w:hAnsi="宋体" w:cs="宋体"/>
          <w:bCs/>
          <w:sz w:val="24"/>
        </w:rPr>
      </w:pPr>
      <w:r>
        <w:rPr>
          <w:rFonts w:hint="eastAsia" w:ascii="宋体" w:hAnsi="宋体" w:cs="宋体"/>
          <w:bCs/>
          <w:sz w:val="24"/>
        </w:rPr>
        <w:t>2、招标文件的澄清或修正：</w:t>
      </w:r>
    </w:p>
    <w:p>
      <w:pPr>
        <w:spacing w:line="276" w:lineRule="auto"/>
        <w:ind w:firstLine="480" w:firstLineChars="200"/>
        <w:jc w:val="left"/>
        <w:rPr>
          <w:rFonts w:ascii="宋体" w:hAnsi="宋体" w:cs="宋体"/>
          <w:bCs/>
          <w:sz w:val="24"/>
        </w:rPr>
      </w:pPr>
      <w:r>
        <w:rPr>
          <w:rFonts w:hint="eastAsia" w:ascii="宋体" w:hAnsi="宋体" w:cs="宋体"/>
          <w:bCs/>
          <w:sz w:val="24"/>
        </w:rPr>
        <w:t>（1）在投标截止时间前无论出于何种原因采购人可对招标文件进行澄清或修正，并公告通知所有供应商。各供应商应及时关注，以防遗漏。</w:t>
      </w:r>
    </w:p>
    <w:p>
      <w:pPr>
        <w:spacing w:line="276" w:lineRule="auto"/>
        <w:ind w:firstLine="480" w:firstLineChars="200"/>
        <w:jc w:val="left"/>
        <w:rPr>
          <w:rFonts w:ascii="宋体" w:hAnsi="宋体" w:cs="宋体"/>
          <w:bCs/>
          <w:sz w:val="24"/>
        </w:rPr>
      </w:pPr>
      <w:r>
        <w:rPr>
          <w:rFonts w:hint="eastAsia" w:ascii="宋体" w:hAnsi="宋体" w:cs="宋体"/>
          <w:bCs/>
          <w:sz w:val="24"/>
        </w:rPr>
        <w:t>（2）采购人可视具体情况，延长投标截止时间和开标时间，并将此变更以公告形式通知所有招标文件收受人。</w:t>
      </w:r>
    </w:p>
    <w:p>
      <w:pPr>
        <w:spacing w:line="276" w:lineRule="auto"/>
        <w:ind w:firstLine="480" w:firstLineChars="200"/>
        <w:jc w:val="left"/>
        <w:rPr>
          <w:rFonts w:ascii="宋体" w:hAnsi="宋体" w:cs="宋体"/>
          <w:b/>
          <w:bCs/>
        </w:rPr>
      </w:pPr>
      <w:r>
        <w:rPr>
          <w:rFonts w:hint="eastAsia" w:ascii="宋体" w:hAnsi="宋体" w:cs="宋体"/>
          <w:bCs/>
          <w:sz w:val="24"/>
        </w:rPr>
        <w:t>（3）如需对招标文件进行澄清或修正，将用书面形式通知所有获得招标文件的投标人，其作为招标文件的一部分，与招标文件具有同等约束力。</w:t>
      </w:r>
      <w:r>
        <w:rPr>
          <w:rFonts w:hint="eastAsia" w:ascii="宋体" w:hAnsi="宋体" w:cs="宋体"/>
          <w:b/>
          <w:bCs/>
        </w:rPr>
        <w:t>同时所有的澄清或修改将公告通知所有招标文件收受人。</w:t>
      </w:r>
    </w:p>
    <w:p>
      <w:pPr>
        <w:spacing w:line="276" w:lineRule="auto"/>
        <w:ind w:firstLine="480" w:firstLineChars="200"/>
        <w:jc w:val="left"/>
        <w:rPr>
          <w:rFonts w:ascii="宋体" w:hAnsi="宋体" w:cs="宋体"/>
          <w:bCs/>
          <w:sz w:val="24"/>
        </w:rPr>
      </w:pPr>
      <w:r>
        <w:rPr>
          <w:rFonts w:hint="eastAsia" w:ascii="宋体" w:hAnsi="宋体" w:cs="宋体"/>
          <w:bCs/>
          <w:sz w:val="24"/>
        </w:rPr>
        <w:t>（4）公告通知以常州市田家炳初级中学网所发布的为准，由报名单位自行关注并获取。</w:t>
      </w:r>
    </w:p>
    <w:p>
      <w:pPr>
        <w:spacing w:line="276" w:lineRule="auto"/>
        <w:ind w:firstLine="482" w:firstLineChars="200"/>
        <w:jc w:val="left"/>
        <w:rPr>
          <w:rFonts w:ascii="宋体" w:hAnsi="宋体" w:cs="宋体"/>
          <w:b/>
          <w:sz w:val="24"/>
        </w:rPr>
      </w:pPr>
      <w:bookmarkStart w:id="14" w:name="_Toc436599780"/>
      <w:bookmarkStart w:id="15" w:name="_Toc453509218"/>
      <w:r>
        <w:rPr>
          <w:rFonts w:hint="eastAsia" w:ascii="宋体" w:hAnsi="宋体" w:cs="宋体"/>
          <w:b/>
          <w:sz w:val="24"/>
        </w:rPr>
        <w:t>三、投标文件的编制与递交</w:t>
      </w:r>
      <w:bookmarkEnd w:id="14"/>
      <w:bookmarkEnd w:id="15"/>
    </w:p>
    <w:p>
      <w:pPr>
        <w:spacing w:line="276" w:lineRule="auto"/>
        <w:ind w:firstLine="482" w:firstLineChars="200"/>
        <w:jc w:val="left"/>
        <w:rPr>
          <w:rFonts w:ascii="宋体" w:hAnsi="宋体" w:cs="宋体"/>
          <w:b/>
          <w:sz w:val="24"/>
        </w:rPr>
      </w:pPr>
      <w:r>
        <w:rPr>
          <w:rFonts w:hint="eastAsia" w:ascii="宋体" w:hAnsi="宋体" w:cs="宋体"/>
          <w:b/>
          <w:sz w:val="24"/>
        </w:rPr>
        <w:t>（一）投标文件的构成</w:t>
      </w:r>
    </w:p>
    <w:p>
      <w:pPr>
        <w:spacing w:line="276" w:lineRule="auto"/>
        <w:ind w:firstLine="480" w:firstLineChars="200"/>
        <w:jc w:val="left"/>
        <w:rPr>
          <w:rFonts w:ascii="宋体" w:hAnsi="宋体" w:cs="宋体"/>
          <w:bCs/>
          <w:sz w:val="24"/>
        </w:rPr>
      </w:pPr>
      <w:r>
        <w:rPr>
          <w:rFonts w:hint="eastAsia" w:ascii="宋体" w:hAnsi="宋体" w:cs="宋体"/>
          <w:bCs/>
          <w:sz w:val="24"/>
        </w:rPr>
        <w:t>1、投标文件由下列部分组成：</w:t>
      </w:r>
    </w:p>
    <w:p>
      <w:pPr>
        <w:spacing w:line="276" w:lineRule="auto"/>
        <w:ind w:firstLine="480" w:firstLineChars="200"/>
        <w:jc w:val="left"/>
        <w:rPr>
          <w:rFonts w:ascii="宋体" w:hAnsi="宋体" w:cs="宋体"/>
          <w:bCs/>
          <w:sz w:val="24"/>
        </w:rPr>
      </w:pPr>
      <w:r>
        <w:rPr>
          <w:rFonts w:hint="eastAsia" w:ascii="宋体" w:hAnsi="宋体" w:cs="宋体"/>
          <w:bCs/>
          <w:sz w:val="24"/>
        </w:rPr>
        <w:t>（1）投标函</w:t>
      </w:r>
    </w:p>
    <w:p>
      <w:pPr>
        <w:spacing w:line="276" w:lineRule="auto"/>
        <w:ind w:firstLine="480" w:firstLineChars="200"/>
        <w:jc w:val="left"/>
        <w:rPr>
          <w:rFonts w:ascii="宋体" w:hAnsi="宋体" w:cs="宋体"/>
          <w:bCs/>
          <w:sz w:val="24"/>
        </w:rPr>
      </w:pPr>
      <w:r>
        <w:rPr>
          <w:rFonts w:hint="eastAsia" w:ascii="宋体" w:hAnsi="宋体" w:cs="宋体"/>
          <w:bCs/>
          <w:sz w:val="24"/>
        </w:rPr>
        <w:t>（2）商务部分</w:t>
      </w:r>
    </w:p>
    <w:p>
      <w:pPr>
        <w:spacing w:line="276" w:lineRule="auto"/>
        <w:ind w:firstLine="480" w:firstLineChars="200"/>
        <w:jc w:val="left"/>
        <w:rPr>
          <w:rFonts w:ascii="宋体" w:hAnsi="宋体" w:cs="宋体"/>
          <w:bCs/>
          <w:sz w:val="24"/>
        </w:rPr>
      </w:pPr>
      <w:r>
        <w:rPr>
          <w:rFonts w:hint="eastAsia" w:ascii="宋体" w:hAnsi="宋体" w:cs="宋体"/>
          <w:bCs/>
          <w:sz w:val="24"/>
        </w:rPr>
        <w:t>（3）技术部分</w:t>
      </w:r>
    </w:p>
    <w:p>
      <w:pPr>
        <w:spacing w:line="276" w:lineRule="auto"/>
        <w:ind w:firstLine="480" w:firstLineChars="200"/>
        <w:jc w:val="left"/>
        <w:rPr>
          <w:rFonts w:ascii="宋体" w:hAnsi="宋体" w:cs="宋体"/>
          <w:bCs/>
          <w:sz w:val="24"/>
        </w:rPr>
      </w:pPr>
      <w:r>
        <w:rPr>
          <w:rFonts w:hint="eastAsia" w:ascii="宋体" w:hAnsi="宋体" w:cs="宋体"/>
          <w:bCs/>
          <w:sz w:val="24"/>
        </w:rPr>
        <w:t>（4）资格审查部分</w:t>
      </w:r>
    </w:p>
    <w:p>
      <w:pPr>
        <w:spacing w:line="276" w:lineRule="auto"/>
        <w:ind w:firstLine="480" w:firstLineChars="200"/>
        <w:jc w:val="left"/>
        <w:rPr>
          <w:rFonts w:ascii="宋体" w:hAnsi="宋体" w:cs="宋体"/>
          <w:bCs/>
          <w:sz w:val="24"/>
        </w:rPr>
      </w:pPr>
      <w:r>
        <w:rPr>
          <w:rFonts w:hint="eastAsia" w:ascii="宋体" w:hAnsi="宋体" w:cs="宋体"/>
          <w:bCs/>
          <w:sz w:val="24"/>
        </w:rPr>
        <w:t>（5）其他</w:t>
      </w:r>
    </w:p>
    <w:p>
      <w:pPr>
        <w:spacing w:line="276" w:lineRule="auto"/>
        <w:ind w:firstLine="480" w:firstLineChars="200"/>
        <w:jc w:val="left"/>
        <w:rPr>
          <w:rFonts w:ascii="宋体" w:hAnsi="宋体" w:cs="宋体"/>
          <w:bCs/>
          <w:sz w:val="24"/>
        </w:rPr>
      </w:pPr>
      <w:r>
        <w:rPr>
          <w:rFonts w:hint="eastAsia" w:ascii="宋体" w:hAnsi="宋体" w:cs="宋体"/>
          <w:bCs/>
          <w:sz w:val="24"/>
        </w:rPr>
        <w:t>2、所有文件、往来函件均应使用简体中文（规格、型号辅助符号例外）。</w:t>
      </w:r>
    </w:p>
    <w:p>
      <w:pPr>
        <w:spacing w:line="276" w:lineRule="auto"/>
        <w:ind w:firstLine="480" w:firstLineChars="200"/>
        <w:jc w:val="left"/>
        <w:rPr>
          <w:rFonts w:ascii="宋体" w:hAnsi="宋体" w:cs="宋体"/>
          <w:bCs/>
          <w:sz w:val="24"/>
        </w:rPr>
      </w:pPr>
      <w:r>
        <w:rPr>
          <w:rFonts w:hint="eastAsia" w:ascii="宋体" w:hAnsi="宋体" w:cs="宋体"/>
          <w:bCs/>
          <w:sz w:val="24"/>
        </w:rPr>
        <w:t>3、投标文件由投标单位按给定格式如实填写（编写），须有法人、法定代表人或法定代表人授权代表签字（盖章），方为有效，未尽事宜可自行补充。</w:t>
      </w:r>
    </w:p>
    <w:p>
      <w:pPr>
        <w:spacing w:line="276" w:lineRule="auto"/>
        <w:ind w:firstLine="480" w:firstLineChars="200"/>
        <w:jc w:val="left"/>
        <w:rPr>
          <w:rFonts w:ascii="宋体" w:hAnsi="宋体" w:cs="宋体"/>
          <w:bCs/>
          <w:sz w:val="24"/>
        </w:rPr>
      </w:pPr>
      <w:r>
        <w:rPr>
          <w:rFonts w:hint="eastAsia" w:ascii="宋体" w:hAnsi="宋体" w:cs="宋体"/>
          <w:bCs/>
          <w:sz w:val="24"/>
        </w:rPr>
        <w:t>4、投标单位投标一律以人民币为投标结算货币,结算单位为“元”。</w:t>
      </w:r>
    </w:p>
    <w:p>
      <w:pPr>
        <w:spacing w:line="276" w:lineRule="auto"/>
        <w:ind w:firstLine="480" w:firstLineChars="200"/>
        <w:jc w:val="left"/>
        <w:rPr>
          <w:rFonts w:ascii="宋体" w:hAnsi="宋体" w:cs="宋体"/>
          <w:bCs/>
          <w:sz w:val="24"/>
        </w:rPr>
      </w:pPr>
      <w:r>
        <w:rPr>
          <w:rFonts w:hint="eastAsia" w:ascii="宋体" w:hAnsi="宋体" w:cs="宋体"/>
          <w:bCs/>
          <w:sz w:val="24"/>
        </w:rPr>
        <w:t>5、投标文件格式部分，应由投标单位按给定格式提供，不得更改。</w:t>
      </w:r>
    </w:p>
    <w:p>
      <w:pPr>
        <w:spacing w:line="276" w:lineRule="auto"/>
        <w:ind w:firstLine="480" w:firstLineChars="200"/>
        <w:jc w:val="left"/>
        <w:rPr>
          <w:rFonts w:ascii="宋体" w:hAnsi="宋体" w:cs="宋体"/>
          <w:bCs/>
          <w:sz w:val="24"/>
        </w:rPr>
      </w:pPr>
      <w:r>
        <w:rPr>
          <w:rFonts w:hint="eastAsia" w:ascii="宋体" w:hAnsi="宋体" w:cs="宋体"/>
          <w:bCs/>
          <w:sz w:val="24"/>
        </w:rPr>
        <w:t>6、投标文件应打印或用不褪色的黑色墨水书写。</w:t>
      </w:r>
    </w:p>
    <w:p>
      <w:pPr>
        <w:spacing w:line="276" w:lineRule="auto"/>
        <w:ind w:firstLine="480" w:firstLineChars="200"/>
        <w:jc w:val="left"/>
        <w:rPr>
          <w:rFonts w:ascii="宋体" w:hAnsi="宋体" w:cs="宋体"/>
          <w:bCs/>
          <w:sz w:val="24"/>
        </w:rPr>
      </w:pPr>
      <w:r>
        <w:rPr>
          <w:rFonts w:hint="eastAsia" w:ascii="宋体" w:hAnsi="宋体" w:cs="宋体"/>
          <w:bCs/>
          <w:sz w:val="24"/>
        </w:rPr>
        <w:t>7、响应文件正本和副本如有不一致之处，以正本为准。</w:t>
      </w:r>
    </w:p>
    <w:p>
      <w:pPr>
        <w:spacing w:line="276" w:lineRule="auto"/>
        <w:ind w:firstLine="480" w:firstLineChars="200"/>
        <w:jc w:val="left"/>
        <w:rPr>
          <w:rFonts w:ascii="宋体" w:hAnsi="宋体" w:cs="宋体"/>
          <w:bCs/>
          <w:sz w:val="24"/>
        </w:rPr>
      </w:pPr>
      <w:r>
        <w:rPr>
          <w:rFonts w:hint="eastAsia" w:ascii="宋体" w:hAnsi="宋体" w:cs="宋体"/>
          <w:bCs/>
          <w:sz w:val="24"/>
        </w:rPr>
        <w:t>8、投标文件须装订成册并加以密封，密封袋表面应注明项目名称、采购编号、投标单位名称并加盖投标人公章。如果投标单位未按上述要求进行密封和标记，常州市田家炳初级中学对误投或过早启封概不负责。对由此造成提前开封的投标文件，常州市田家炳初级中学予以拒绝，并退回给投标人。</w:t>
      </w:r>
    </w:p>
    <w:p>
      <w:pPr>
        <w:spacing w:line="276" w:lineRule="auto"/>
        <w:ind w:firstLine="480" w:firstLineChars="200"/>
        <w:jc w:val="left"/>
        <w:rPr>
          <w:rFonts w:ascii="宋体" w:hAnsi="宋体" w:cs="宋体"/>
          <w:bCs/>
          <w:sz w:val="24"/>
        </w:rPr>
      </w:pPr>
      <w:r>
        <w:rPr>
          <w:rFonts w:hint="eastAsia" w:ascii="宋体" w:hAnsi="宋体" w:cs="宋体"/>
          <w:bCs/>
          <w:sz w:val="24"/>
        </w:rPr>
        <w:t>9、投标文件不应有涂改、增删和潦草之处，如有必须修改时，修改处必须有法人、法定代表人或法定代表人授权代表的签字和盖章。</w:t>
      </w:r>
    </w:p>
    <w:p>
      <w:pPr>
        <w:spacing w:line="276" w:lineRule="auto"/>
        <w:ind w:firstLine="480" w:firstLineChars="200"/>
        <w:jc w:val="left"/>
        <w:rPr>
          <w:rFonts w:ascii="宋体" w:hAnsi="宋体" w:cs="宋体"/>
          <w:bCs/>
          <w:sz w:val="24"/>
        </w:rPr>
      </w:pPr>
      <w:r>
        <w:rPr>
          <w:rFonts w:hint="eastAsia" w:ascii="宋体" w:hAnsi="宋体" w:cs="宋体"/>
          <w:bCs/>
          <w:sz w:val="24"/>
        </w:rPr>
        <w:t>10、投标人在投标文件中应加盖与投标人全称相一致的标准公章，不得使用其他形式如带有“专用章”等字样的印章，否则视为无效投标；投标人法定代表人或授权代表的签字或盖章须为全名，否则视为无效投标。</w:t>
      </w:r>
    </w:p>
    <w:p>
      <w:pPr>
        <w:spacing w:line="276" w:lineRule="auto"/>
        <w:ind w:firstLine="480" w:firstLineChars="200"/>
        <w:jc w:val="left"/>
        <w:rPr>
          <w:rFonts w:ascii="宋体" w:hAnsi="宋体" w:cs="宋体"/>
          <w:bCs/>
          <w:sz w:val="24"/>
        </w:rPr>
      </w:pPr>
      <w:r>
        <w:rPr>
          <w:rFonts w:hint="eastAsia" w:ascii="宋体" w:hAnsi="宋体" w:cs="宋体"/>
          <w:bCs/>
          <w:sz w:val="24"/>
        </w:rPr>
        <w:t>11、投标人应自行承担所有与参加投标有关的费用。</w:t>
      </w:r>
    </w:p>
    <w:p>
      <w:pPr>
        <w:spacing w:line="276" w:lineRule="auto"/>
        <w:ind w:firstLine="482" w:firstLineChars="200"/>
        <w:jc w:val="left"/>
        <w:rPr>
          <w:rFonts w:ascii="宋体" w:hAnsi="宋体" w:cs="宋体"/>
          <w:b/>
          <w:sz w:val="24"/>
        </w:rPr>
      </w:pPr>
      <w:r>
        <w:rPr>
          <w:rFonts w:hint="eastAsia" w:ascii="宋体" w:hAnsi="宋体" w:cs="宋体"/>
          <w:b/>
          <w:sz w:val="24"/>
        </w:rPr>
        <w:t>（二）投标保证金</w:t>
      </w:r>
    </w:p>
    <w:p>
      <w:pPr>
        <w:spacing w:line="276" w:lineRule="auto"/>
        <w:ind w:firstLine="480" w:firstLineChars="200"/>
        <w:jc w:val="left"/>
        <w:rPr>
          <w:rFonts w:ascii="宋体" w:hAnsi="宋体" w:cs="宋体"/>
          <w:bCs/>
          <w:sz w:val="24"/>
        </w:rPr>
      </w:pPr>
      <w:bookmarkStart w:id="16" w:name="_Toc453509219"/>
      <w:bookmarkStart w:id="17" w:name="_Toc436599781"/>
      <w:r>
        <w:rPr>
          <w:rFonts w:hint="eastAsia" w:ascii="宋体" w:hAnsi="宋体" w:cs="宋体"/>
          <w:bCs/>
          <w:sz w:val="24"/>
        </w:rPr>
        <w:t>本项目无须缴纳投标保证金。</w:t>
      </w:r>
    </w:p>
    <w:p>
      <w:pPr>
        <w:spacing w:line="276" w:lineRule="auto"/>
        <w:ind w:firstLine="482" w:firstLineChars="200"/>
        <w:jc w:val="left"/>
        <w:rPr>
          <w:rFonts w:ascii="宋体" w:hAnsi="宋体" w:cs="宋体"/>
          <w:b/>
          <w:sz w:val="24"/>
        </w:rPr>
      </w:pPr>
      <w:r>
        <w:rPr>
          <w:rFonts w:hint="eastAsia" w:ascii="宋体" w:hAnsi="宋体" w:cs="宋体"/>
          <w:b/>
          <w:sz w:val="24"/>
        </w:rPr>
        <w:t>（三）无效投标文件的确认</w:t>
      </w:r>
    </w:p>
    <w:p>
      <w:pPr>
        <w:spacing w:line="276" w:lineRule="auto"/>
        <w:ind w:firstLine="480" w:firstLineChars="200"/>
        <w:jc w:val="left"/>
        <w:rPr>
          <w:rFonts w:ascii="宋体" w:hAnsi="宋体" w:cs="宋体"/>
          <w:sz w:val="24"/>
        </w:rPr>
      </w:pPr>
      <w:r>
        <w:rPr>
          <w:rFonts w:hint="eastAsia" w:ascii="宋体" w:hAnsi="宋体" w:cs="宋体"/>
          <w:sz w:val="24"/>
        </w:rPr>
        <w:t>投标人有下列情况之一者，其投标文件无效：</w:t>
      </w:r>
    </w:p>
    <w:p>
      <w:pPr>
        <w:spacing w:line="276" w:lineRule="auto"/>
        <w:ind w:firstLine="422" w:firstLineChars="200"/>
        <w:jc w:val="left"/>
        <w:rPr>
          <w:rFonts w:ascii="宋体" w:hAnsi="宋体" w:cs="宋体"/>
          <w:b/>
          <w:szCs w:val="21"/>
          <w:u w:val="single"/>
        </w:rPr>
      </w:pPr>
      <w:r>
        <w:rPr>
          <w:rFonts w:hint="eastAsia" w:ascii="宋体" w:hAnsi="宋体" w:cs="宋体"/>
          <w:b/>
          <w:szCs w:val="21"/>
          <w:u w:val="single"/>
        </w:rPr>
        <w:t>1、投标单位的法定代表人授权代表，无法定代表人授权委托书的；</w:t>
      </w:r>
    </w:p>
    <w:p>
      <w:pPr>
        <w:spacing w:line="276" w:lineRule="auto"/>
        <w:ind w:firstLine="422" w:firstLineChars="200"/>
        <w:jc w:val="left"/>
        <w:rPr>
          <w:rFonts w:ascii="宋体" w:hAnsi="宋体" w:cs="宋体"/>
          <w:b/>
          <w:szCs w:val="21"/>
          <w:u w:val="single"/>
        </w:rPr>
      </w:pPr>
      <w:r>
        <w:rPr>
          <w:rFonts w:hint="eastAsia" w:ascii="宋体" w:hAnsi="宋体" w:cs="宋体"/>
          <w:b/>
          <w:szCs w:val="21"/>
          <w:u w:val="single"/>
        </w:rPr>
        <w:t>2、投标文件未加盖公章或无法定代表人（法定代表人授权代表）签名或盖章的；</w:t>
      </w:r>
    </w:p>
    <w:p>
      <w:pPr>
        <w:spacing w:line="276" w:lineRule="auto"/>
        <w:ind w:firstLine="422" w:firstLineChars="200"/>
        <w:jc w:val="left"/>
        <w:rPr>
          <w:rFonts w:ascii="宋体" w:hAnsi="宋体" w:cs="宋体"/>
          <w:b/>
          <w:szCs w:val="21"/>
          <w:u w:val="single"/>
        </w:rPr>
      </w:pPr>
      <w:r>
        <w:rPr>
          <w:rFonts w:hint="eastAsia" w:ascii="宋体" w:hAnsi="宋体" w:cs="宋体"/>
          <w:b/>
          <w:szCs w:val="21"/>
          <w:u w:val="single"/>
        </w:rPr>
        <w:t>3、联合体投标未附联合体各方共同投标协议的；</w:t>
      </w:r>
    </w:p>
    <w:p>
      <w:pPr>
        <w:spacing w:line="276" w:lineRule="auto"/>
        <w:ind w:firstLine="422" w:firstLineChars="200"/>
        <w:jc w:val="left"/>
        <w:rPr>
          <w:rFonts w:ascii="宋体" w:hAnsi="宋体" w:cs="宋体"/>
          <w:b/>
          <w:szCs w:val="21"/>
          <w:u w:val="single"/>
        </w:rPr>
      </w:pPr>
      <w:r>
        <w:rPr>
          <w:rFonts w:hint="eastAsia" w:ascii="宋体" w:hAnsi="宋体" w:cs="宋体"/>
          <w:b/>
          <w:szCs w:val="21"/>
          <w:u w:val="single"/>
        </w:rPr>
        <w:t>4、投标文件未按招标文件规定的格式、内容和要求填写的；</w:t>
      </w:r>
    </w:p>
    <w:p>
      <w:pPr>
        <w:spacing w:line="276" w:lineRule="auto"/>
        <w:ind w:firstLine="422" w:firstLineChars="200"/>
        <w:jc w:val="left"/>
        <w:rPr>
          <w:rFonts w:ascii="宋体" w:hAnsi="宋体" w:cs="宋体"/>
          <w:b/>
          <w:szCs w:val="21"/>
          <w:u w:val="single"/>
        </w:rPr>
      </w:pPr>
      <w:r>
        <w:rPr>
          <w:rFonts w:hint="eastAsia" w:ascii="宋体" w:hAnsi="宋体" w:cs="宋体"/>
          <w:b/>
          <w:szCs w:val="21"/>
          <w:u w:val="single"/>
        </w:rPr>
        <w:t>5、投标文件关键内容字迹模糊不清、无法辨认的；</w:t>
      </w:r>
    </w:p>
    <w:p>
      <w:pPr>
        <w:spacing w:line="276" w:lineRule="auto"/>
        <w:ind w:firstLine="422" w:firstLineChars="200"/>
        <w:jc w:val="left"/>
        <w:rPr>
          <w:rFonts w:ascii="宋体" w:hAnsi="宋体" w:cs="宋体"/>
          <w:b/>
          <w:szCs w:val="21"/>
          <w:u w:val="single"/>
        </w:rPr>
      </w:pPr>
      <w:r>
        <w:rPr>
          <w:rFonts w:hint="eastAsia" w:ascii="宋体" w:hAnsi="宋体" w:cs="宋体"/>
          <w:b/>
          <w:szCs w:val="21"/>
          <w:u w:val="single"/>
        </w:rPr>
        <w:t>6、投标文件中有多个报价且未声明以哪一个为准的；</w:t>
      </w:r>
    </w:p>
    <w:p>
      <w:pPr>
        <w:spacing w:line="276" w:lineRule="auto"/>
        <w:ind w:firstLine="422" w:firstLineChars="200"/>
        <w:jc w:val="left"/>
        <w:rPr>
          <w:rFonts w:ascii="宋体" w:hAnsi="宋体" w:cs="宋体"/>
          <w:b/>
          <w:szCs w:val="21"/>
          <w:u w:val="single"/>
        </w:rPr>
      </w:pPr>
      <w:r>
        <w:rPr>
          <w:rFonts w:hint="eastAsia" w:ascii="宋体" w:hAnsi="宋体" w:cs="宋体"/>
          <w:b/>
          <w:szCs w:val="21"/>
          <w:u w:val="single"/>
        </w:rPr>
        <w:t>7、投标报价超过最高限价（总价最高限价及单价最高限价）或预算价的；</w:t>
      </w:r>
    </w:p>
    <w:p>
      <w:pPr>
        <w:spacing w:line="276" w:lineRule="auto"/>
        <w:ind w:firstLine="422" w:firstLineChars="200"/>
        <w:jc w:val="left"/>
        <w:rPr>
          <w:rFonts w:ascii="宋体" w:hAnsi="宋体" w:cs="宋体"/>
          <w:b/>
          <w:szCs w:val="21"/>
          <w:u w:val="single"/>
        </w:rPr>
      </w:pPr>
      <w:r>
        <w:rPr>
          <w:rFonts w:hint="eastAsia" w:ascii="宋体" w:hAnsi="宋体" w:cs="宋体"/>
          <w:b/>
          <w:szCs w:val="21"/>
          <w:u w:val="single"/>
        </w:rPr>
        <w:t>8、投标文件载明的采购项目的完成期限超过招标文件规定的期限；</w:t>
      </w:r>
    </w:p>
    <w:p>
      <w:pPr>
        <w:spacing w:line="276" w:lineRule="auto"/>
        <w:ind w:firstLine="422" w:firstLineChars="200"/>
        <w:jc w:val="left"/>
        <w:rPr>
          <w:rFonts w:ascii="宋体" w:hAnsi="宋体" w:cs="宋体"/>
          <w:b/>
          <w:szCs w:val="21"/>
          <w:u w:val="single"/>
        </w:rPr>
      </w:pPr>
      <w:r>
        <w:rPr>
          <w:rFonts w:hint="eastAsia" w:ascii="宋体" w:hAnsi="宋体" w:cs="宋体"/>
          <w:b/>
          <w:szCs w:val="21"/>
          <w:u w:val="single"/>
        </w:rPr>
        <w:t>9、投标文件背离招标文件中规定的必要技术功能要求；</w:t>
      </w:r>
    </w:p>
    <w:p>
      <w:pPr>
        <w:spacing w:line="276" w:lineRule="auto"/>
        <w:ind w:firstLine="422" w:firstLineChars="200"/>
        <w:jc w:val="left"/>
        <w:rPr>
          <w:rFonts w:ascii="宋体" w:hAnsi="宋体" w:cs="宋体"/>
          <w:b/>
          <w:szCs w:val="21"/>
          <w:u w:val="single"/>
        </w:rPr>
      </w:pPr>
      <w:r>
        <w:rPr>
          <w:rFonts w:hint="eastAsia" w:ascii="宋体" w:hAnsi="宋体" w:cs="宋体"/>
          <w:b/>
          <w:szCs w:val="21"/>
          <w:u w:val="single"/>
        </w:rPr>
        <w:t>10、投标文件附有采购人不能接受的商务条件；</w:t>
      </w:r>
    </w:p>
    <w:p>
      <w:pPr>
        <w:spacing w:line="276" w:lineRule="auto"/>
        <w:ind w:firstLine="422" w:firstLineChars="200"/>
        <w:jc w:val="left"/>
        <w:rPr>
          <w:rFonts w:ascii="宋体" w:hAnsi="宋体" w:cs="宋体"/>
          <w:b/>
          <w:szCs w:val="21"/>
          <w:u w:val="single"/>
        </w:rPr>
      </w:pPr>
      <w:r>
        <w:rPr>
          <w:rFonts w:hint="eastAsia" w:ascii="宋体" w:hAnsi="宋体" w:cs="宋体"/>
          <w:b/>
          <w:szCs w:val="21"/>
          <w:u w:val="single"/>
        </w:rPr>
        <w:t>11、各投标文件之间出现不应有的相似、相同、错误；</w:t>
      </w:r>
    </w:p>
    <w:p>
      <w:pPr>
        <w:spacing w:line="276" w:lineRule="auto"/>
        <w:ind w:firstLine="422" w:firstLineChars="200"/>
        <w:jc w:val="left"/>
        <w:rPr>
          <w:rFonts w:ascii="宋体" w:hAnsi="宋体" w:cs="宋体"/>
          <w:b/>
          <w:szCs w:val="21"/>
          <w:u w:val="single"/>
        </w:rPr>
      </w:pPr>
      <w:r>
        <w:rPr>
          <w:rFonts w:hint="eastAsia" w:ascii="宋体" w:hAnsi="宋体" w:cs="宋体"/>
          <w:b/>
          <w:szCs w:val="21"/>
          <w:u w:val="single"/>
        </w:rPr>
        <w:t>12、提供虚假材料（包括工商营业执照、财务报表、资格证明文件等）；</w:t>
      </w:r>
    </w:p>
    <w:p>
      <w:pPr>
        <w:spacing w:line="276" w:lineRule="auto"/>
        <w:ind w:firstLine="422" w:firstLineChars="200"/>
        <w:jc w:val="left"/>
        <w:rPr>
          <w:rFonts w:ascii="宋体" w:hAnsi="宋体" w:cs="宋体"/>
          <w:b/>
          <w:szCs w:val="21"/>
          <w:u w:val="single"/>
        </w:rPr>
      </w:pPr>
      <w:r>
        <w:rPr>
          <w:rFonts w:hint="eastAsia" w:ascii="宋体" w:hAnsi="宋体" w:cs="宋体"/>
          <w:b/>
          <w:szCs w:val="21"/>
          <w:u w:val="single"/>
        </w:rPr>
        <w:t>13、未按邀请招标文件要求缴纳投标保证金的；</w:t>
      </w:r>
    </w:p>
    <w:p>
      <w:pPr>
        <w:spacing w:line="276" w:lineRule="auto"/>
        <w:ind w:firstLine="422" w:firstLineChars="200"/>
        <w:jc w:val="left"/>
        <w:rPr>
          <w:rFonts w:ascii="宋体" w:hAnsi="宋体" w:cs="宋体"/>
          <w:b/>
          <w:szCs w:val="21"/>
          <w:u w:val="single"/>
        </w:rPr>
      </w:pPr>
      <w:r>
        <w:rPr>
          <w:rFonts w:hint="eastAsia" w:ascii="宋体" w:hAnsi="宋体" w:cs="宋体"/>
          <w:b/>
          <w:szCs w:val="21"/>
          <w:u w:val="single"/>
        </w:rPr>
        <w:t>14、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spacing w:line="276" w:lineRule="auto"/>
        <w:ind w:firstLine="422" w:firstLineChars="200"/>
        <w:jc w:val="left"/>
        <w:rPr>
          <w:rFonts w:ascii="宋体" w:hAnsi="宋体" w:cs="宋体"/>
          <w:b/>
          <w:szCs w:val="21"/>
          <w:u w:val="single"/>
        </w:rPr>
      </w:pPr>
      <w:r>
        <w:rPr>
          <w:rFonts w:hint="eastAsia" w:ascii="宋体" w:hAnsi="宋体" w:cs="宋体"/>
          <w:b/>
          <w:szCs w:val="21"/>
          <w:u w:val="single"/>
        </w:rPr>
        <w:t>15、供应商被列入失信被执行人、重大税收违法案件当事人名单、政府采购严重失信行为记录名单的。（查询渠道：中国政府采购网（http://www.ccgp.gov.cn/）、信用中国（www.creditchina.gov.cn）、信用江苏（http://www.jscredit.gov.cn/index.htm）网站的相关主体信用记录）。（联合体成员存在不良信用记录的，视同联合体存在不良应用记录）</w:t>
      </w:r>
    </w:p>
    <w:p>
      <w:pPr>
        <w:spacing w:line="276" w:lineRule="auto"/>
        <w:ind w:firstLine="422" w:firstLineChars="200"/>
        <w:jc w:val="left"/>
        <w:rPr>
          <w:rFonts w:ascii="宋体" w:hAnsi="宋体" w:cs="宋体"/>
          <w:b/>
          <w:sz w:val="24"/>
          <w:u w:val="single"/>
        </w:rPr>
      </w:pPr>
      <w:r>
        <w:rPr>
          <w:rFonts w:hint="eastAsia" w:ascii="宋体" w:hAnsi="宋体" w:cs="宋体"/>
          <w:b/>
          <w:szCs w:val="21"/>
          <w:u w:val="single"/>
        </w:rPr>
        <w:t>16、不符合国家法律法规及招标文件中规定的其他实质性要求。</w:t>
      </w:r>
    </w:p>
    <w:bookmarkEnd w:id="16"/>
    <w:bookmarkEnd w:id="17"/>
    <w:p>
      <w:pPr>
        <w:spacing w:line="276" w:lineRule="auto"/>
        <w:ind w:firstLine="482" w:firstLineChars="200"/>
        <w:jc w:val="left"/>
        <w:rPr>
          <w:rFonts w:ascii="宋体" w:hAnsi="宋体" w:cs="宋体"/>
          <w:b/>
          <w:sz w:val="24"/>
        </w:rPr>
      </w:pPr>
      <w:r>
        <w:rPr>
          <w:rFonts w:hint="eastAsia" w:ascii="宋体" w:hAnsi="宋体" w:cs="宋体"/>
          <w:b/>
          <w:sz w:val="24"/>
        </w:rPr>
        <w:t>四、投标、开标与评标</w:t>
      </w:r>
    </w:p>
    <w:p>
      <w:pPr>
        <w:spacing w:line="276" w:lineRule="auto"/>
        <w:ind w:firstLine="482" w:firstLineChars="200"/>
        <w:jc w:val="left"/>
        <w:rPr>
          <w:rFonts w:ascii="宋体" w:hAnsi="宋体" w:cs="宋体"/>
          <w:b/>
          <w:sz w:val="24"/>
        </w:rPr>
      </w:pPr>
      <w:r>
        <w:rPr>
          <w:rFonts w:hint="eastAsia" w:ascii="宋体" w:hAnsi="宋体" w:cs="宋体"/>
          <w:b/>
          <w:sz w:val="24"/>
        </w:rPr>
        <w:t>（一）投标</w:t>
      </w:r>
    </w:p>
    <w:p>
      <w:pPr>
        <w:spacing w:line="276" w:lineRule="auto"/>
        <w:ind w:firstLine="480" w:firstLineChars="200"/>
        <w:jc w:val="left"/>
        <w:rPr>
          <w:rFonts w:ascii="宋体" w:hAnsi="宋体" w:cs="宋体"/>
          <w:sz w:val="24"/>
        </w:rPr>
      </w:pPr>
      <w:r>
        <w:rPr>
          <w:rFonts w:hint="eastAsia" w:ascii="宋体" w:hAnsi="宋体" w:cs="宋体"/>
          <w:sz w:val="24"/>
        </w:rPr>
        <w:t>1、投标人应当在招标文件要求提交投标文件的截止时间前，将投标文件密封送达投标地点。</w:t>
      </w:r>
      <w:r>
        <w:rPr>
          <w:rFonts w:hint="eastAsia" w:ascii="宋体" w:hAnsi="宋体" w:cs="宋体"/>
          <w:b/>
          <w:sz w:val="24"/>
        </w:rPr>
        <w:t>采购人收到投标文件后，核查投标人代表（法定代表人或被授权委托人）的身份（必须提供第二代居民身份证，如未提供，则拒绝接受其投标文件）</w:t>
      </w:r>
      <w:r>
        <w:rPr>
          <w:rFonts w:hint="eastAsia" w:ascii="宋体" w:hAnsi="宋体" w:cs="宋体"/>
          <w:sz w:val="24"/>
        </w:rPr>
        <w:t>，如实记载投标文件的送达时间和密封情况，签收保存。逾期送达或者未按照招标文件要求密封的投标文件，采购人应当拒收。任何单位和个人不得在开标前开启投标文件。</w:t>
      </w:r>
    </w:p>
    <w:p>
      <w:pPr>
        <w:spacing w:line="276" w:lineRule="auto"/>
        <w:ind w:firstLine="480" w:firstLineChars="200"/>
        <w:jc w:val="left"/>
        <w:rPr>
          <w:rFonts w:ascii="宋体" w:hAnsi="宋体" w:cs="宋体"/>
          <w:sz w:val="24"/>
        </w:rPr>
      </w:pPr>
      <w:r>
        <w:rPr>
          <w:rFonts w:hint="eastAsia" w:ascii="宋体" w:hAnsi="宋体" w:cs="宋体"/>
          <w:sz w:val="24"/>
        </w:rPr>
        <w:t>2、投标文件的修改和撤回</w:t>
      </w:r>
    </w:p>
    <w:p>
      <w:pPr>
        <w:spacing w:line="276" w:lineRule="auto"/>
        <w:ind w:firstLine="480" w:firstLineChars="200"/>
        <w:jc w:val="left"/>
        <w:rPr>
          <w:rFonts w:ascii="宋体" w:hAnsi="宋体" w:cs="宋体"/>
          <w:sz w:val="24"/>
        </w:rPr>
      </w:pPr>
      <w:r>
        <w:rPr>
          <w:rFonts w:hint="eastAsia" w:ascii="宋体" w:hAnsi="宋体" w:cs="宋体"/>
          <w:sz w:val="24"/>
        </w:rPr>
        <w:t>在投标截止时间之前，供应商可以对所提交的响应文件进行补充、修改和撤回，并书面通知采购人。所提交的补充、修改的内容应当按邀请招标文件的要求进行编制、签署、密封、盖章、标志（在包封上标明“修改”或“补充”字样，并注明修改或补充的时间）和提交，并作为投标文件的组成部分。补充、修改的内容与投标文件不一致的，以补充、修改的内容为准。投标截止时间之后，供应商不得补充、修改或撤回响应文件。</w:t>
      </w:r>
    </w:p>
    <w:p>
      <w:pPr>
        <w:spacing w:line="276" w:lineRule="auto"/>
        <w:ind w:firstLine="480" w:firstLineChars="200"/>
        <w:jc w:val="left"/>
        <w:rPr>
          <w:rFonts w:ascii="宋体" w:hAnsi="宋体" w:cs="宋体"/>
          <w:sz w:val="24"/>
        </w:rPr>
      </w:pPr>
      <w:r>
        <w:rPr>
          <w:rFonts w:hint="eastAsia" w:ascii="宋体" w:hAnsi="宋体" w:cs="宋体"/>
          <w:sz w:val="24"/>
        </w:rPr>
        <w:t>3、资格审查和评分要求的相关各种资格、资质、证书、证明、业绩合同等材料需在开标现场及时提交。</w:t>
      </w:r>
    </w:p>
    <w:p>
      <w:pPr>
        <w:spacing w:line="276" w:lineRule="auto"/>
        <w:ind w:firstLine="482" w:firstLineChars="200"/>
        <w:jc w:val="left"/>
        <w:rPr>
          <w:rFonts w:ascii="宋体" w:hAnsi="宋体" w:cs="宋体"/>
          <w:b/>
          <w:sz w:val="24"/>
        </w:rPr>
      </w:pPr>
      <w:r>
        <w:rPr>
          <w:rFonts w:hint="eastAsia" w:ascii="宋体" w:hAnsi="宋体" w:cs="宋体"/>
          <w:b/>
          <w:sz w:val="24"/>
        </w:rPr>
        <w:t>（二）开标</w:t>
      </w:r>
    </w:p>
    <w:p>
      <w:pPr>
        <w:spacing w:line="276" w:lineRule="auto"/>
        <w:ind w:firstLine="480" w:firstLineChars="200"/>
        <w:jc w:val="left"/>
        <w:rPr>
          <w:rFonts w:ascii="宋体" w:hAnsi="宋体" w:cs="宋体"/>
          <w:sz w:val="24"/>
        </w:rPr>
      </w:pPr>
      <w:r>
        <w:rPr>
          <w:rFonts w:hint="eastAsia" w:ascii="宋体" w:hAnsi="宋体" w:cs="宋体"/>
          <w:sz w:val="24"/>
        </w:rPr>
        <w:t>1、采购人应当按招标文件的规定，在投标截止时间的同一时间及地点组织公开开标。开标由采购人主持，邀请所有投标人参加，参加开标的投标人代表（法定代表人或被授权委托人）应签名报到以证明其出席。</w:t>
      </w:r>
    </w:p>
    <w:p>
      <w:pPr>
        <w:spacing w:line="276" w:lineRule="auto"/>
        <w:ind w:firstLine="480" w:firstLineChars="200"/>
        <w:jc w:val="left"/>
        <w:rPr>
          <w:rFonts w:ascii="宋体" w:hAnsi="宋体" w:cs="宋体"/>
          <w:sz w:val="24"/>
        </w:rPr>
      </w:pPr>
      <w:r>
        <w:rPr>
          <w:rFonts w:hint="eastAsia" w:ascii="宋体" w:hAnsi="宋体" w:cs="宋体"/>
          <w:sz w:val="24"/>
        </w:rPr>
        <w:t>2、检查投标文件密封情况：开标时，</w:t>
      </w:r>
      <w:r>
        <w:rPr>
          <w:rFonts w:hint="eastAsia" w:ascii="宋体" w:hAnsi="宋体" w:cs="宋体"/>
          <w:b/>
          <w:sz w:val="24"/>
        </w:rPr>
        <w:t>由供应商推选的代表检查响应文件的密封情况</w:t>
      </w:r>
      <w:r>
        <w:rPr>
          <w:rFonts w:hint="eastAsia" w:ascii="宋体" w:hAnsi="宋体" w:cs="宋体"/>
          <w:sz w:val="24"/>
        </w:rPr>
        <w:t>，如有异议须当场示意提出。</w:t>
      </w:r>
    </w:p>
    <w:p>
      <w:pPr>
        <w:spacing w:line="276" w:lineRule="auto"/>
        <w:ind w:firstLine="480" w:firstLineChars="200"/>
        <w:jc w:val="left"/>
        <w:rPr>
          <w:rFonts w:ascii="宋体" w:hAnsi="宋体" w:cs="宋体"/>
          <w:sz w:val="24"/>
        </w:rPr>
      </w:pPr>
      <w:r>
        <w:rPr>
          <w:rFonts w:hint="eastAsia" w:ascii="宋体" w:hAnsi="宋体" w:cs="宋体"/>
          <w:sz w:val="24"/>
        </w:rPr>
        <w:t>3、唱标：按各投标单位送达投标文件时间先后的顺序进行唱标。投标人代表宣布投标人名称、投标价格和招标文件规定的需要宣布的其他内容，并在开标记录上对唱标内容予以签字确认。当投标人少于三家时，不予唱标。</w:t>
      </w:r>
    </w:p>
    <w:p>
      <w:pPr>
        <w:spacing w:line="276" w:lineRule="auto"/>
        <w:ind w:firstLine="480" w:firstLineChars="200"/>
        <w:jc w:val="left"/>
        <w:rPr>
          <w:rFonts w:ascii="宋体" w:hAnsi="宋体" w:cs="宋体"/>
          <w:b/>
          <w:sz w:val="24"/>
        </w:rPr>
      </w:pPr>
      <w:r>
        <w:rPr>
          <w:rFonts w:hint="eastAsia" w:ascii="宋体" w:hAnsi="宋体" w:cs="宋体"/>
          <w:sz w:val="24"/>
          <w:u w:val="single"/>
        </w:rPr>
        <w:t>4、开标结束之后不再接受投标人提供的任何补充材料。</w:t>
      </w:r>
      <w:r>
        <w:rPr>
          <w:rFonts w:hint="eastAsia" w:ascii="宋体" w:hAnsi="宋体" w:cs="宋体"/>
          <w:b/>
          <w:sz w:val="24"/>
        </w:rPr>
        <w:t xml:space="preserve">   </w:t>
      </w:r>
    </w:p>
    <w:p>
      <w:pPr>
        <w:spacing w:line="276" w:lineRule="auto"/>
        <w:ind w:firstLine="354" w:firstLineChars="147"/>
        <w:jc w:val="left"/>
        <w:rPr>
          <w:rFonts w:ascii="宋体" w:hAnsi="宋体" w:cs="宋体"/>
          <w:b/>
          <w:sz w:val="24"/>
          <w:szCs w:val="22"/>
        </w:rPr>
      </w:pPr>
      <w:r>
        <w:rPr>
          <w:rFonts w:hint="eastAsia" w:ascii="宋体" w:hAnsi="宋体" w:cs="宋体"/>
          <w:b/>
          <w:sz w:val="24"/>
        </w:rPr>
        <w:t>（三）资格审查：</w:t>
      </w:r>
      <w:r>
        <w:rPr>
          <w:rFonts w:hint="eastAsia" w:ascii="宋体" w:hAnsi="宋体" w:cs="宋体"/>
          <w:b/>
          <w:sz w:val="24"/>
          <w:szCs w:val="22"/>
        </w:rPr>
        <w:t>由采购人对投标单位递交的投标文件中的资格审查材料进行资格审查，以确定投标供应商是否具备投标资格，格式及要求详见第八章。</w:t>
      </w:r>
    </w:p>
    <w:p>
      <w:pPr>
        <w:spacing w:line="276" w:lineRule="auto"/>
        <w:ind w:firstLine="590" w:firstLineChars="246"/>
        <w:jc w:val="left"/>
        <w:rPr>
          <w:rFonts w:ascii="宋体" w:hAnsi="宋体" w:cs="宋体"/>
          <w:sz w:val="24"/>
          <w:szCs w:val="22"/>
        </w:rPr>
      </w:pPr>
      <w:r>
        <w:rPr>
          <w:rFonts w:hint="eastAsia" w:ascii="宋体" w:hAnsi="宋体" w:cs="宋体"/>
          <w:sz w:val="24"/>
          <w:szCs w:val="22"/>
        </w:rPr>
        <w:t>在详细评标之前，评委会将首先审查每份投标文件是否实质性响应了招标文件的要求。实质性响应的投标应该是与招标文件要求的全部条款、条件和规格相符，没有重大偏离或保留的投标。</w:t>
      </w:r>
    </w:p>
    <w:p>
      <w:pPr>
        <w:spacing w:line="276" w:lineRule="auto"/>
        <w:ind w:firstLine="241" w:firstLineChars="100"/>
        <w:jc w:val="left"/>
        <w:rPr>
          <w:rFonts w:ascii="宋体" w:hAnsi="宋体" w:cs="宋体"/>
          <w:b/>
          <w:sz w:val="24"/>
        </w:rPr>
      </w:pPr>
      <w:r>
        <w:rPr>
          <w:rFonts w:hint="eastAsia" w:ascii="宋体" w:hAnsi="宋体" w:cs="宋体"/>
          <w:b/>
          <w:sz w:val="24"/>
        </w:rPr>
        <w:t xml:space="preserve"> （四）评标</w:t>
      </w:r>
    </w:p>
    <w:p>
      <w:pPr>
        <w:spacing w:line="276" w:lineRule="auto"/>
        <w:ind w:firstLine="480" w:firstLineChars="200"/>
        <w:jc w:val="left"/>
        <w:rPr>
          <w:rFonts w:ascii="宋体" w:hAnsi="宋体" w:cs="宋体"/>
          <w:bCs/>
          <w:sz w:val="24"/>
        </w:rPr>
      </w:pPr>
      <w:r>
        <w:rPr>
          <w:rFonts w:hint="eastAsia" w:ascii="宋体" w:hAnsi="宋体" w:cs="宋体"/>
          <w:bCs/>
          <w:sz w:val="24"/>
        </w:rPr>
        <w:t>1、评标委员会：</w:t>
      </w:r>
    </w:p>
    <w:p>
      <w:pPr>
        <w:spacing w:line="276" w:lineRule="auto"/>
        <w:ind w:firstLine="480" w:firstLineChars="200"/>
        <w:jc w:val="left"/>
        <w:rPr>
          <w:rFonts w:ascii="宋体" w:hAnsi="宋体" w:cs="宋体"/>
          <w:bCs/>
          <w:sz w:val="24"/>
        </w:rPr>
      </w:pPr>
      <w:r>
        <w:rPr>
          <w:rFonts w:hint="eastAsia" w:ascii="宋体" w:hAnsi="宋体" w:cs="宋体"/>
          <w:bCs/>
          <w:sz w:val="24"/>
        </w:rPr>
        <w:t>（1）采购人将根据招标采购项目的特点组建评标委员会，其成员由采购人代表和评审专家组成。成员人数为3人或3人以上的单数，其中评审专家不得少于成员总数的三分之二。采购预算金额在1000万元及以上的、技术复杂的或社会影响较大的，评标委员会成员人数为7人或7人以上的单数。</w:t>
      </w:r>
    </w:p>
    <w:p>
      <w:pPr>
        <w:spacing w:line="276" w:lineRule="auto"/>
        <w:ind w:firstLine="480" w:firstLineChars="200"/>
        <w:jc w:val="left"/>
        <w:rPr>
          <w:rFonts w:ascii="宋体" w:hAnsi="宋体" w:cs="宋体"/>
          <w:bCs/>
          <w:sz w:val="24"/>
        </w:rPr>
      </w:pPr>
      <w:r>
        <w:rPr>
          <w:rFonts w:hint="eastAsia" w:ascii="宋体" w:hAnsi="宋体" w:cs="宋体"/>
          <w:bCs/>
          <w:sz w:val="24"/>
        </w:rPr>
        <w:t>（2）评标中因评标委员会成员缺席、回避或者健康等特殊原因导致评标委员会组成不符合本办法规定的，采购人应当依法补足后继续评标。被更换的评标委员会成员所作出的评标意见无效。</w:t>
      </w:r>
    </w:p>
    <w:p>
      <w:pPr>
        <w:spacing w:line="276" w:lineRule="auto"/>
        <w:ind w:firstLine="480" w:firstLineChars="200"/>
        <w:jc w:val="left"/>
        <w:rPr>
          <w:rFonts w:ascii="宋体" w:hAnsi="宋体" w:cs="宋体"/>
          <w:bCs/>
          <w:sz w:val="24"/>
        </w:rPr>
      </w:pPr>
      <w:r>
        <w:rPr>
          <w:rFonts w:hint="eastAsia" w:ascii="宋体" w:hAnsi="宋体" w:cs="宋体"/>
          <w:bCs/>
          <w:sz w:val="24"/>
        </w:rPr>
        <w:t>（3）无法及时补足评标委员会成员的，采购人应当停止评标活动，封存所有投标文件和开标、评标资料，依法重新组建评标委员会进行评标。原评标委员会所作出的评标意见无效。</w:t>
      </w:r>
    </w:p>
    <w:p>
      <w:pPr>
        <w:spacing w:line="276" w:lineRule="auto"/>
        <w:ind w:firstLine="480" w:firstLineChars="200"/>
        <w:jc w:val="left"/>
        <w:rPr>
          <w:rFonts w:ascii="宋体" w:hAnsi="宋体" w:cs="宋体"/>
          <w:bCs/>
          <w:sz w:val="24"/>
        </w:rPr>
      </w:pPr>
      <w:r>
        <w:rPr>
          <w:rFonts w:hint="eastAsia" w:ascii="宋体" w:hAnsi="宋体" w:cs="宋体"/>
          <w:bCs/>
          <w:sz w:val="24"/>
        </w:rPr>
        <w:t>（4）采购人应当将变更、重新组建评标委员会的情况予以记录，并随采购文件一并存档。</w:t>
      </w:r>
    </w:p>
    <w:p>
      <w:pPr>
        <w:spacing w:line="276" w:lineRule="auto"/>
        <w:ind w:firstLine="480" w:firstLineChars="200"/>
        <w:jc w:val="left"/>
        <w:rPr>
          <w:rFonts w:ascii="宋体" w:hAnsi="宋体" w:cs="宋体"/>
          <w:bCs/>
          <w:sz w:val="24"/>
        </w:rPr>
      </w:pPr>
      <w:r>
        <w:rPr>
          <w:rFonts w:hint="eastAsia" w:ascii="宋体" w:hAnsi="宋体" w:cs="宋体"/>
          <w:bCs/>
          <w:sz w:val="24"/>
        </w:rPr>
        <w:t>2、评标委员会负责对符合资格的投标人的投标文件进行符合性审查，以确定是否满足招标文件的实质性要求。</w:t>
      </w:r>
    </w:p>
    <w:p>
      <w:pPr>
        <w:spacing w:line="276" w:lineRule="auto"/>
        <w:ind w:firstLine="480" w:firstLineChars="200"/>
        <w:jc w:val="left"/>
        <w:rPr>
          <w:rFonts w:ascii="宋体" w:hAnsi="宋体" w:cs="宋体"/>
          <w:bCs/>
          <w:sz w:val="24"/>
        </w:rPr>
      </w:pPr>
      <w:r>
        <w:rPr>
          <w:rFonts w:hint="eastAsia" w:ascii="宋体" w:hAnsi="宋体" w:cs="宋体"/>
          <w:bCs/>
          <w:sz w:val="24"/>
        </w:rPr>
        <w:t>3、对于投标文件中含义不明确、同类问题表述不一致或者有明显文字和计算错误的内容，评标委员会应当以书面形式要求投标人作出必要的澄清、说明或者补正。</w:t>
      </w:r>
    </w:p>
    <w:p>
      <w:pPr>
        <w:spacing w:line="276" w:lineRule="auto"/>
        <w:ind w:firstLine="480" w:firstLineChars="200"/>
        <w:jc w:val="left"/>
        <w:rPr>
          <w:rFonts w:ascii="宋体" w:hAnsi="宋体" w:cs="宋体"/>
          <w:bCs/>
          <w:sz w:val="24"/>
        </w:rPr>
      </w:pPr>
      <w:r>
        <w:rPr>
          <w:rFonts w:hint="eastAsia" w:ascii="宋体" w:hAnsi="宋体" w:cs="宋体"/>
          <w:bCs/>
          <w:sz w:val="24"/>
        </w:rPr>
        <w:t>投标人的澄清、说明或者补正应当采用书面形式，并加盖公章，或者由法定代表人或其授权的代表签字。投标人的澄清、说明或者补正不得超出投标文件的范围或者改变投标文件的实质性内容。</w:t>
      </w:r>
    </w:p>
    <w:p>
      <w:pPr>
        <w:spacing w:line="276" w:lineRule="auto"/>
        <w:ind w:firstLine="480" w:firstLineChars="200"/>
        <w:jc w:val="left"/>
        <w:rPr>
          <w:rFonts w:ascii="宋体" w:hAnsi="宋体" w:cs="宋体"/>
          <w:bCs/>
          <w:sz w:val="24"/>
        </w:rPr>
      </w:pPr>
      <w:r>
        <w:rPr>
          <w:rFonts w:hint="eastAsia" w:ascii="宋体" w:hAnsi="宋体" w:cs="宋体"/>
          <w:bCs/>
          <w:sz w:val="24"/>
        </w:rPr>
        <w:t>4、投标文件报价出现前后不一致的，除招标文件另有规定外，按照下列规定修正：</w:t>
      </w:r>
    </w:p>
    <w:p>
      <w:pPr>
        <w:spacing w:line="276" w:lineRule="auto"/>
        <w:ind w:firstLine="480" w:firstLineChars="200"/>
        <w:jc w:val="left"/>
        <w:rPr>
          <w:rFonts w:ascii="宋体" w:hAnsi="宋体" w:cs="宋体"/>
          <w:bCs/>
          <w:sz w:val="24"/>
        </w:rPr>
      </w:pPr>
      <w:r>
        <w:rPr>
          <w:rFonts w:hint="eastAsia" w:ascii="宋体" w:hAnsi="宋体" w:cs="宋体"/>
          <w:bCs/>
          <w:sz w:val="24"/>
        </w:rPr>
        <w:t>（1）投标文件中开标一览表（报价表）内容与投标文件中相应内容不一致的，以开标一览表（报价表）为准；</w:t>
      </w:r>
    </w:p>
    <w:p>
      <w:pPr>
        <w:spacing w:line="276" w:lineRule="auto"/>
        <w:ind w:firstLine="480" w:firstLineChars="200"/>
        <w:jc w:val="left"/>
        <w:rPr>
          <w:rFonts w:ascii="宋体" w:hAnsi="宋体" w:cs="宋体"/>
          <w:bCs/>
          <w:sz w:val="24"/>
        </w:rPr>
      </w:pPr>
      <w:r>
        <w:rPr>
          <w:rFonts w:hint="eastAsia" w:ascii="宋体" w:hAnsi="宋体" w:cs="宋体"/>
          <w:bCs/>
          <w:sz w:val="24"/>
        </w:rPr>
        <w:t>（2）大写金额和小写金额不一致的，以大写金额为准；</w:t>
      </w:r>
    </w:p>
    <w:p>
      <w:pPr>
        <w:spacing w:line="276" w:lineRule="auto"/>
        <w:ind w:firstLine="480" w:firstLineChars="200"/>
        <w:jc w:val="left"/>
        <w:rPr>
          <w:rFonts w:ascii="宋体" w:hAnsi="宋体" w:cs="宋体"/>
          <w:bCs/>
          <w:sz w:val="24"/>
        </w:rPr>
      </w:pPr>
      <w:r>
        <w:rPr>
          <w:rFonts w:hint="eastAsia" w:ascii="宋体" w:hAnsi="宋体" w:cs="宋体"/>
          <w:bCs/>
          <w:sz w:val="24"/>
        </w:rPr>
        <w:t>（3）单价金额小数点或者百分比有明显错位的，以开标一览表的总价为准，并修改单价；</w:t>
      </w:r>
    </w:p>
    <w:p>
      <w:pPr>
        <w:spacing w:line="276" w:lineRule="auto"/>
        <w:ind w:firstLine="480" w:firstLineChars="200"/>
        <w:jc w:val="left"/>
        <w:rPr>
          <w:rFonts w:ascii="宋体" w:hAnsi="宋体" w:cs="宋体"/>
          <w:bCs/>
          <w:sz w:val="24"/>
        </w:rPr>
      </w:pPr>
      <w:r>
        <w:rPr>
          <w:rFonts w:hint="eastAsia" w:ascii="宋体" w:hAnsi="宋体" w:cs="宋体"/>
          <w:bCs/>
          <w:sz w:val="24"/>
        </w:rPr>
        <w:t>（4）总价金额与按单价汇总金额不一致的，以单价金额计算结果为准。</w:t>
      </w:r>
    </w:p>
    <w:p>
      <w:pPr>
        <w:spacing w:line="276" w:lineRule="auto"/>
        <w:ind w:firstLine="480" w:firstLineChars="200"/>
        <w:jc w:val="left"/>
        <w:rPr>
          <w:rFonts w:ascii="宋体" w:hAnsi="宋体" w:cs="宋体"/>
          <w:bCs/>
          <w:sz w:val="24"/>
        </w:rPr>
      </w:pPr>
      <w:r>
        <w:rPr>
          <w:rFonts w:hint="eastAsia" w:ascii="宋体" w:hAnsi="宋体" w:cs="宋体"/>
          <w:bCs/>
          <w:sz w:val="24"/>
        </w:rPr>
        <w:t>同时出现两种以上不一致的，按照前款规定的顺序修正。修正后的报价按照本招标文件规定经供应商确认后产生约束力，供应商不确认的，其投标无效。存在缺项漏项或者数量不符合邀请招标文件要求的作为无效投标文件处理；对不同文字文本投标文件的解释发生异议的，以中文文本为准。</w:t>
      </w:r>
    </w:p>
    <w:p>
      <w:pPr>
        <w:spacing w:line="276" w:lineRule="auto"/>
        <w:ind w:firstLine="480" w:firstLineChars="200"/>
        <w:jc w:val="left"/>
        <w:rPr>
          <w:rFonts w:ascii="宋体" w:hAnsi="宋体" w:cs="宋体"/>
          <w:bCs/>
          <w:sz w:val="24"/>
        </w:rPr>
      </w:pPr>
      <w:r>
        <w:rPr>
          <w:rFonts w:hint="eastAsia" w:ascii="宋体" w:hAnsi="宋体" w:cs="宋体"/>
          <w:bCs/>
          <w:sz w:val="24"/>
        </w:rPr>
        <w:t>5、</w:t>
      </w:r>
      <w:r>
        <w:rPr>
          <w:rFonts w:hint="eastAsia" w:ascii="宋体" w:hAnsi="宋体" w:cs="宋体"/>
          <w:bCs/>
          <w:sz w:val="24"/>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276" w:lineRule="auto"/>
        <w:ind w:firstLine="480" w:firstLineChars="200"/>
        <w:jc w:val="left"/>
        <w:rPr>
          <w:rFonts w:ascii="宋体" w:hAnsi="宋体" w:cs="宋体"/>
          <w:bCs/>
          <w:sz w:val="24"/>
        </w:rPr>
      </w:pPr>
      <w:r>
        <w:rPr>
          <w:rFonts w:hint="eastAsia" w:ascii="宋体" w:hAnsi="宋体" w:cs="宋体"/>
          <w:bCs/>
          <w:sz w:val="24"/>
        </w:rPr>
        <w:t>6、评标委员会决定投标的响应性只根据投标文件本身的内容，而不寻求外部的证据。</w:t>
      </w:r>
    </w:p>
    <w:p>
      <w:pPr>
        <w:spacing w:line="276" w:lineRule="auto"/>
        <w:ind w:firstLine="480" w:firstLineChars="200"/>
        <w:jc w:val="left"/>
        <w:rPr>
          <w:rFonts w:ascii="宋体" w:hAnsi="宋体" w:cs="宋体"/>
          <w:bCs/>
          <w:sz w:val="24"/>
        </w:rPr>
      </w:pPr>
      <w:r>
        <w:rPr>
          <w:rFonts w:hint="eastAsia" w:ascii="宋体" w:hAnsi="宋体" w:cs="宋体"/>
          <w:bCs/>
          <w:sz w:val="24"/>
        </w:rPr>
        <w:t>7、实质上没有响应招标文件的投标将被拒绝。投标人不能通过修正或撤消不符合要求的偏离或保留从而使其投标成为实质上响应的投标。</w:t>
      </w:r>
    </w:p>
    <w:p>
      <w:pPr>
        <w:spacing w:line="276" w:lineRule="auto"/>
        <w:ind w:firstLine="480" w:firstLineChars="200"/>
        <w:jc w:val="left"/>
        <w:rPr>
          <w:rFonts w:ascii="宋体" w:hAnsi="宋体" w:cs="宋体"/>
          <w:bCs/>
          <w:sz w:val="24"/>
        </w:rPr>
      </w:pPr>
      <w:r>
        <w:rPr>
          <w:rFonts w:hint="eastAsia" w:ascii="宋体" w:hAnsi="宋体" w:cs="宋体"/>
          <w:bCs/>
          <w:sz w:val="24"/>
        </w:rPr>
        <w:t>8、对于投标文件中不构成实质性偏差的不正规、不一致或不规则，评标委员会可以接受，但这种接受不能损坏或影响任何投标人的相对顺序。</w:t>
      </w:r>
    </w:p>
    <w:p>
      <w:pPr>
        <w:spacing w:line="276" w:lineRule="auto"/>
        <w:ind w:firstLine="480" w:firstLineChars="200"/>
        <w:jc w:val="left"/>
        <w:rPr>
          <w:rFonts w:ascii="宋体" w:hAnsi="宋体" w:cs="宋体"/>
          <w:bCs/>
          <w:sz w:val="24"/>
        </w:rPr>
      </w:pPr>
      <w:r>
        <w:rPr>
          <w:rFonts w:hint="eastAsia" w:ascii="宋体" w:hAnsi="宋体" w:cs="宋体"/>
          <w:bCs/>
          <w:sz w:val="24"/>
        </w:rPr>
        <w:t>9、投标文件的澄清：为有利于评选审查，评审委员会在评标过程中，可随时要求投标单位对其投标文件中含义不明确的内容作必要的澄清或者说明，但不得对投标内容进行实质性修改。澄清或说明以书面形式做出的，应有投标单位的法定代表人或授权委托代理人签署。</w:t>
      </w:r>
    </w:p>
    <w:p>
      <w:pPr>
        <w:spacing w:line="276" w:lineRule="auto"/>
        <w:ind w:firstLine="480" w:firstLineChars="200"/>
        <w:jc w:val="left"/>
        <w:rPr>
          <w:rFonts w:ascii="宋体" w:hAnsi="宋体" w:cs="宋体"/>
          <w:bCs/>
          <w:sz w:val="24"/>
        </w:rPr>
      </w:pPr>
      <w:r>
        <w:rPr>
          <w:rFonts w:hint="eastAsia" w:ascii="宋体" w:hAnsi="宋体" w:cs="宋体"/>
          <w:bCs/>
          <w:sz w:val="24"/>
        </w:rPr>
        <w:t>10、评标委员会对每份投标文件的报价清单进行比较。</w:t>
      </w:r>
    </w:p>
    <w:p>
      <w:pPr>
        <w:spacing w:line="276" w:lineRule="auto"/>
        <w:ind w:firstLine="480" w:firstLineChars="200"/>
        <w:jc w:val="left"/>
        <w:rPr>
          <w:rFonts w:ascii="宋体" w:hAnsi="宋体" w:cs="宋体"/>
          <w:bCs/>
          <w:sz w:val="24"/>
        </w:rPr>
      </w:pPr>
      <w:r>
        <w:rPr>
          <w:rFonts w:hint="eastAsia" w:ascii="宋体" w:hAnsi="宋体" w:cs="宋体"/>
          <w:bCs/>
          <w:sz w:val="24"/>
        </w:rPr>
        <w:t>11、评标委员会对投标文件格式中认为必要的其他内容进行比较。</w:t>
      </w:r>
    </w:p>
    <w:p>
      <w:pPr>
        <w:spacing w:line="276" w:lineRule="auto"/>
        <w:ind w:firstLine="480" w:firstLineChars="200"/>
        <w:jc w:val="left"/>
        <w:rPr>
          <w:rFonts w:ascii="宋体" w:hAnsi="宋体" w:cs="宋体"/>
          <w:bCs/>
          <w:sz w:val="24"/>
        </w:rPr>
      </w:pPr>
      <w:r>
        <w:rPr>
          <w:rFonts w:hint="eastAsia" w:ascii="宋体" w:hAnsi="宋体" w:cs="宋体"/>
          <w:bCs/>
          <w:sz w:val="24"/>
        </w:rPr>
        <w:t>12、综合以上分析比较，评标委员会最后作出评标结论，确定中标候选人。</w:t>
      </w:r>
    </w:p>
    <w:p>
      <w:pPr>
        <w:spacing w:line="276" w:lineRule="auto"/>
        <w:ind w:firstLine="480" w:firstLineChars="200"/>
        <w:jc w:val="left"/>
        <w:rPr>
          <w:rFonts w:ascii="宋体" w:hAnsi="宋体" w:cs="宋体"/>
          <w:bCs/>
          <w:sz w:val="24"/>
        </w:rPr>
      </w:pPr>
      <w:r>
        <w:rPr>
          <w:rFonts w:hint="eastAsia" w:ascii="宋体" w:hAnsi="宋体" w:cs="宋体"/>
          <w:bCs/>
          <w:sz w:val="24"/>
        </w:rPr>
        <w:t>13、在开标、评标期间，投标人不得向评委询问评标情况，不得进行影响评标结果的活动。</w:t>
      </w:r>
    </w:p>
    <w:p>
      <w:pPr>
        <w:spacing w:line="276" w:lineRule="auto"/>
        <w:ind w:firstLine="480" w:firstLineChars="200"/>
        <w:jc w:val="left"/>
        <w:rPr>
          <w:rFonts w:ascii="宋体" w:hAnsi="宋体" w:cs="宋体"/>
          <w:bCs/>
          <w:sz w:val="24"/>
        </w:rPr>
      </w:pPr>
      <w:r>
        <w:rPr>
          <w:rFonts w:hint="eastAsia" w:ascii="宋体" w:hAnsi="宋体" w:cs="宋体"/>
          <w:bCs/>
          <w:sz w:val="24"/>
        </w:rPr>
        <w:t>14、为保证定标的公正性，在评标过程中，评委不得与投标人私下交换意见。在招标工作结束后，凡与评标情况有接触的任何人不得也不应将评标情况扩散出评委人员之外。</w:t>
      </w:r>
    </w:p>
    <w:p>
      <w:pPr>
        <w:spacing w:line="276" w:lineRule="auto"/>
        <w:ind w:firstLine="480" w:firstLineChars="200"/>
        <w:jc w:val="left"/>
        <w:rPr>
          <w:rFonts w:ascii="宋体" w:hAnsi="宋体" w:cs="宋体"/>
          <w:bCs/>
          <w:sz w:val="24"/>
        </w:rPr>
      </w:pPr>
      <w:r>
        <w:rPr>
          <w:rFonts w:hint="eastAsia" w:ascii="宋体" w:hAnsi="宋体" w:cs="宋体"/>
          <w:bCs/>
          <w:sz w:val="24"/>
        </w:rPr>
        <w:t>15、评标委员会成员对需要共同认定的事项存在争议的，应当按照少数服从多数的原则作出结论。持不同意见的评标委员会成员应当在评标报告上签署不同意见及理由，否则视为同意评标报告。</w:t>
      </w:r>
    </w:p>
    <w:p>
      <w:pPr>
        <w:spacing w:line="276" w:lineRule="auto"/>
        <w:ind w:firstLine="480" w:firstLineChars="200"/>
        <w:jc w:val="left"/>
        <w:rPr>
          <w:rFonts w:ascii="宋体" w:hAnsi="宋体" w:cs="宋体"/>
          <w:bCs/>
          <w:sz w:val="24"/>
        </w:rPr>
      </w:pPr>
      <w:r>
        <w:rPr>
          <w:rFonts w:hint="eastAsia" w:ascii="宋体" w:hAnsi="宋体" w:cs="宋体"/>
          <w:bCs/>
          <w:sz w:val="24"/>
        </w:rPr>
        <w:t>16、评标委员会发现招标文件存在歧义、重大缺陷导致评标工作无法进行，或者招标文件内容违反国家有关强制性规定的，应当停止评标工作，与采购人沟通并作书面记录。采购人或者采购代理机构确认后，应当修改招标文件，重新组织采购活动。</w:t>
      </w:r>
    </w:p>
    <w:p>
      <w:pPr>
        <w:spacing w:line="276" w:lineRule="auto"/>
        <w:ind w:firstLine="480" w:firstLineChars="200"/>
        <w:jc w:val="left"/>
        <w:rPr>
          <w:rFonts w:ascii="宋体" w:hAnsi="宋体" w:cs="宋体"/>
          <w:bCs/>
          <w:sz w:val="24"/>
        </w:rPr>
      </w:pPr>
      <w:r>
        <w:rPr>
          <w:rFonts w:hint="eastAsia" w:ascii="宋体" w:hAnsi="宋体" w:cs="宋体"/>
          <w:bCs/>
          <w:sz w:val="24"/>
        </w:rPr>
        <w:t>17、 评标委员会负责具体的评标事务，并独立履行以下职责：</w:t>
      </w:r>
    </w:p>
    <w:p>
      <w:pPr>
        <w:spacing w:line="276" w:lineRule="auto"/>
        <w:ind w:firstLine="480" w:firstLineChars="200"/>
        <w:jc w:val="left"/>
        <w:rPr>
          <w:rFonts w:ascii="宋体" w:hAnsi="宋体" w:cs="宋体"/>
          <w:bCs/>
          <w:sz w:val="24"/>
        </w:rPr>
      </w:pPr>
      <w:r>
        <w:rPr>
          <w:rFonts w:hint="eastAsia" w:ascii="宋体" w:hAnsi="宋体" w:cs="宋体"/>
          <w:bCs/>
          <w:sz w:val="24"/>
        </w:rPr>
        <w:t>（1）审查、评价响应文件是否符合招标文件的商务、技术等实质性要求；</w:t>
      </w:r>
    </w:p>
    <w:p>
      <w:pPr>
        <w:spacing w:line="276" w:lineRule="auto"/>
        <w:ind w:firstLine="480" w:firstLineChars="200"/>
        <w:jc w:val="left"/>
        <w:rPr>
          <w:rFonts w:ascii="宋体" w:hAnsi="宋体" w:cs="宋体"/>
          <w:bCs/>
          <w:sz w:val="24"/>
        </w:rPr>
      </w:pPr>
      <w:r>
        <w:rPr>
          <w:rFonts w:hint="eastAsia" w:ascii="宋体" w:hAnsi="宋体" w:cs="宋体"/>
          <w:bCs/>
          <w:sz w:val="24"/>
        </w:rPr>
        <w:t>（2）要求供应商对响应文件有关事项作出澄清或者说明；</w:t>
      </w:r>
    </w:p>
    <w:p>
      <w:pPr>
        <w:spacing w:line="276" w:lineRule="auto"/>
        <w:ind w:firstLine="480" w:firstLineChars="200"/>
        <w:jc w:val="left"/>
        <w:rPr>
          <w:rFonts w:ascii="宋体" w:hAnsi="宋体" w:cs="宋体"/>
          <w:bCs/>
          <w:sz w:val="24"/>
        </w:rPr>
      </w:pPr>
      <w:r>
        <w:rPr>
          <w:rFonts w:hint="eastAsia" w:ascii="宋体" w:hAnsi="宋体" w:cs="宋体"/>
          <w:bCs/>
          <w:sz w:val="24"/>
        </w:rPr>
        <w:t>（3） 对响应文件进行比较和评价；</w:t>
      </w:r>
    </w:p>
    <w:p>
      <w:pPr>
        <w:spacing w:line="276" w:lineRule="auto"/>
        <w:ind w:firstLine="480" w:firstLineChars="200"/>
        <w:jc w:val="left"/>
        <w:rPr>
          <w:rFonts w:ascii="宋体" w:hAnsi="宋体" w:cs="宋体"/>
          <w:bCs/>
          <w:sz w:val="24"/>
        </w:rPr>
      </w:pPr>
      <w:r>
        <w:rPr>
          <w:rFonts w:hint="eastAsia" w:ascii="宋体" w:hAnsi="宋体" w:cs="宋体"/>
          <w:bCs/>
          <w:sz w:val="24"/>
        </w:rPr>
        <w:t>（4） 推荐中标候选人名单，或受采购人委托按照事先确定的办法直接确定中标人；</w:t>
      </w:r>
    </w:p>
    <w:p>
      <w:pPr>
        <w:spacing w:line="276" w:lineRule="auto"/>
        <w:ind w:firstLine="480" w:firstLineChars="200"/>
        <w:jc w:val="left"/>
        <w:rPr>
          <w:rFonts w:ascii="宋体" w:hAnsi="宋体" w:cs="宋体"/>
          <w:bCs/>
          <w:sz w:val="24"/>
        </w:rPr>
      </w:pPr>
      <w:r>
        <w:rPr>
          <w:rFonts w:hint="eastAsia" w:ascii="宋体" w:hAnsi="宋体" w:cs="宋体"/>
          <w:bCs/>
          <w:sz w:val="24"/>
        </w:rPr>
        <w:t>（5） 向采购人或者有关部门报告评标中发现的违法行为。</w:t>
      </w:r>
    </w:p>
    <w:p>
      <w:pPr>
        <w:spacing w:line="276" w:lineRule="auto"/>
        <w:ind w:firstLine="482" w:firstLineChars="200"/>
        <w:jc w:val="left"/>
        <w:rPr>
          <w:rFonts w:ascii="宋体" w:hAnsi="宋体" w:cs="宋体"/>
          <w:b/>
          <w:bCs/>
          <w:sz w:val="24"/>
        </w:rPr>
      </w:pPr>
      <w:r>
        <w:rPr>
          <w:rFonts w:hint="eastAsia" w:ascii="宋体" w:hAnsi="宋体" w:cs="宋体"/>
          <w:b/>
          <w:bCs/>
          <w:sz w:val="24"/>
        </w:rPr>
        <w:t>18、 评标委员会成员应当履行下列义务：</w:t>
      </w:r>
    </w:p>
    <w:p>
      <w:pPr>
        <w:spacing w:line="276" w:lineRule="auto"/>
        <w:ind w:firstLine="480" w:firstLineChars="200"/>
        <w:jc w:val="left"/>
        <w:rPr>
          <w:rFonts w:ascii="宋体" w:hAnsi="宋体" w:cs="宋体"/>
          <w:bCs/>
          <w:sz w:val="24"/>
        </w:rPr>
      </w:pPr>
      <w:r>
        <w:rPr>
          <w:rFonts w:hint="eastAsia" w:ascii="宋体" w:hAnsi="宋体" w:cs="宋体"/>
          <w:bCs/>
          <w:sz w:val="24"/>
        </w:rPr>
        <w:t>（1）遵纪守法，客观、公正、廉洁地履行职责；</w:t>
      </w:r>
    </w:p>
    <w:p>
      <w:pPr>
        <w:spacing w:line="276" w:lineRule="auto"/>
        <w:ind w:firstLine="480" w:firstLineChars="200"/>
        <w:jc w:val="left"/>
        <w:rPr>
          <w:rFonts w:ascii="宋体" w:hAnsi="宋体" w:cs="宋体"/>
          <w:bCs/>
          <w:sz w:val="24"/>
        </w:rPr>
      </w:pPr>
      <w:r>
        <w:rPr>
          <w:rFonts w:hint="eastAsia" w:ascii="宋体" w:hAnsi="宋体" w:cs="宋体"/>
          <w:bCs/>
          <w:sz w:val="24"/>
        </w:rPr>
        <w:t>（2）按招标文件规定的评审办法和评分标准进行评审，对评审意见承担个人责任；</w:t>
      </w:r>
    </w:p>
    <w:p>
      <w:pPr>
        <w:spacing w:line="276" w:lineRule="auto"/>
        <w:ind w:firstLine="480" w:firstLineChars="200"/>
        <w:jc w:val="left"/>
        <w:rPr>
          <w:rFonts w:ascii="宋体" w:hAnsi="宋体" w:cs="宋体"/>
          <w:bCs/>
          <w:sz w:val="24"/>
        </w:rPr>
      </w:pPr>
      <w:r>
        <w:rPr>
          <w:rFonts w:hint="eastAsia" w:ascii="宋体" w:hAnsi="宋体" w:cs="宋体"/>
          <w:bCs/>
          <w:sz w:val="24"/>
        </w:rPr>
        <w:t>（3）对评标过程和结果，以及供应商的商业秘密保密；</w:t>
      </w:r>
    </w:p>
    <w:p>
      <w:pPr>
        <w:spacing w:line="276" w:lineRule="auto"/>
        <w:ind w:firstLine="480" w:firstLineChars="200"/>
        <w:jc w:val="left"/>
        <w:rPr>
          <w:rFonts w:ascii="宋体" w:hAnsi="宋体" w:cs="宋体"/>
          <w:bCs/>
          <w:sz w:val="24"/>
        </w:rPr>
      </w:pPr>
      <w:r>
        <w:rPr>
          <w:rFonts w:hint="eastAsia" w:ascii="宋体" w:hAnsi="宋体" w:cs="宋体"/>
          <w:bCs/>
          <w:sz w:val="24"/>
        </w:rPr>
        <w:t>（4）负责评标报告的起草；</w:t>
      </w:r>
    </w:p>
    <w:p>
      <w:pPr>
        <w:spacing w:line="276" w:lineRule="auto"/>
        <w:ind w:firstLine="480" w:firstLineChars="200"/>
        <w:jc w:val="left"/>
        <w:rPr>
          <w:rFonts w:ascii="宋体" w:hAnsi="宋体" w:cs="宋体"/>
          <w:bCs/>
          <w:sz w:val="24"/>
        </w:rPr>
      </w:pPr>
      <w:r>
        <w:rPr>
          <w:rFonts w:hint="eastAsia" w:ascii="宋体" w:hAnsi="宋体" w:cs="宋体"/>
          <w:bCs/>
          <w:sz w:val="24"/>
        </w:rPr>
        <w:t>（5）配合相关部门的投诉处理工作；</w:t>
      </w:r>
    </w:p>
    <w:p>
      <w:pPr>
        <w:spacing w:line="276" w:lineRule="auto"/>
        <w:ind w:firstLine="480" w:firstLineChars="200"/>
        <w:jc w:val="left"/>
        <w:rPr>
          <w:rFonts w:ascii="宋体" w:hAnsi="宋体" w:cs="宋体"/>
          <w:bCs/>
          <w:sz w:val="24"/>
        </w:rPr>
      </w:pPr>
      <w:r>
        <w:rPr>
          <w:rFonts w:hint="eastAsia" w:ascii="宋体" w:hAnsi="宋体" w:cs="宋体"/>
          <w:bCs/>
          <w:sz w:val="24"/>
        </w:rPr>
        <w:t>（6）配合采购人答复供应商对成交结果提出的质疑。</w:t>
      </w:r>
    </w:p>
    <w:p>
      <w:pPr>
        <w:spacing w:line="276" w:lineRule="auto"/>
        <w:ind w:firstLine="482" w:firstLineChars="200"/>
        <w:jc w:val="left"/>
        <w:rPr>
          <w:rFonts w:ascii="宋体" w:hAnsi="宋体" w:cs="宋体"/>
          <w:b/>
          <w:bCs/>
          <w:sz w:val="24"/>
        </w:rPr>
      </w:pPr>
      <w:r>
        <w:rPr>
          <w:rFonts w:hint="eastAsia" w:ascii="宋体" w:hAnsi="宋体" w:cs="宋体"/>
          <w:b/>
          <w:bCs/>
          <w:sz w:val="24"/>
        </w:rPr>
        <w:t>19、评审内容的保密</w:t>
      </w:r>
    </w:p>
    <w:p>
      <w:pPr>
        <w:spacing w:line="276" w:lineRule="auto"/>
        <w:ind w:firstLine="480" w:firstLineChars="200"/>
        <w:jc w:val="left"/>
        <w:rPr>
          <w:rFonts w:ascii="宋体" w:hAnsi="宋体" w:cs="宋体"/>
          <w:bCs/>
          <w:sz w:val="24"/>
        </w:rPr>
      </w:pPr>
      <w:r>
        <w:rPr>
          <w:rFonts w:hint="eastAsia" w:ascii="宋体" w:hAnsi="宋体" w:cs="宋体"/>
          <w:bCs/>
          <w:sz w:val="24"/>
        </w:rPr>
        <w:t>（1）开标开始后，直到宣布授予中标人合同为止，凡属于审查、澄清、评价和比较投标的所有资料，有关授予合同的信息都不应向供应商或与评审无关的其他人泄露。</w:t>
      </w:r>
    </w:p>
    <w:p>
      <w:pPr>
        <w:spacing w:line="276" w:lineRule="auto"/>
        <w:ind w:firstLine="480" w:firstLineChars="200"/>
        <w:jc w:val="left"/>
        <w:rPr>
          <w:rFonts w:ascii="宋体" w:hAnsi="宋体" w:cs="宋体"/>
          <w:bCs/>
          <w:sz w:val="24"/>
        </w:rPr>
      </w:pPr>
      <w:r>
        <w:rPr>
          <w:rFonts w:hint="eastAsia" w:ascii="宋体" w:hAnsi="宋体" w:cs="宋体"/>
          <w:bCs/>
          <w:sz w:val="24"/>
        </w:rPr>
        <w:t>（2）在评标过程中，供应商不得以任何行为影响评标过程。</w:t>
      </w:r>
    </w:p>
    <w:p>
      <w:pPr>
        <w:spacing w:line="276" w:lineRule="auto"/>
        <w:ind w:firstLine="480" w:firstLineChars="200"/>
        <w:jc w:val="left"/>
        <w:rPr>
          <w:rFonts w:ascii="宋体" w:hAnsi="宋体" w:cs="宋体"/>
          <w:bCs/>
          <w:sz w:val="24"/>
        </w:rPr>
      </w:pPr>
      <w:r>
        <w:rPr>
          <w:rFonts w:hint="eastAsia" w:ascii="宋体" w:hAnsi="宋体" w:cs="宋体"/>
          <w:bCs/>
          <w:sz w:val="24"/>
        </w:rPr>
        <w:t>（3）在评标期间，采购人将设专门人员与供应商联系。</w:t>
      </w:r>
    </w:p>
    <w:p>
      <w:pPr>
        <w:spacing w:line="276" w:lineRule="auto"/>
        <w:ind w:firstLine="480" w:firstLineChars="200"/>
        <w:jc w:val="left"/>
        <w:rPr>
          <w:rFonts w:ascii="宋体" w:hAnsi="宋体" w:cs="宋体"/>
          <w:bCs/>
          <w:sz w:val="24"/>
        </w:rPr>
      </w:pPr>
      <w:r>
        <w:rPr>
          <w:rFonts w:hint="eastAsia" w:ascii="宋体" w:hAnsi="宋体" w:cs="宋体"/>
          <w:bCs/>
          <w:sz w:val="24"/>
        </w:rPr>
        <w:t>（4）采购人和评标委员会不向落标的供应商解释未中标原因，也不公布评标过程中的相关细节。</w:t>
      </w:r>
    </w:p>
    <w:p>
      <w:pPr>
        <w:spacing w:line="276" w:lineRule="auto"/>
        <w:ind w:firstLine="482" w:firstLineChars="200"/>
        <w:jc w:val="left"/>
        <w:rPr>
          <w:rFonts w:ascii="宋体" w:hAnsi="宋体" w:cs="宋体"/>
          <w:b/>
          <w:bCs/>
          <w:sz w:val="24"/>
        </w:rPr>
      </w:pPr>
      <w:r>
        <w:rPr>
          <w:rFonts w:hint="eastAsia" w:ascii="宋体" w:hAnsi="宋体" w:cs="宋体"/>
          <w:b/>
          <w:bCs/>
          <w:sz w:val="24"/>
        </w:rPr>
        <w:t>（5）未中标的供应商如需了解自己的评审得分及排序情况，可于成交结果公告期限届满之日起7个工作日内，由其法定代表人或授权代表携带本人有效身份证件及授权委托书到代理机构进行查询，逾期将不予受理。</w:t>
      </w:r>
    </w:p>
    <w:p>
      <w:pPr>
        <w:spacing w:line="276" w:lineRule="auto"/>
        <w:ind w:firstLine="482" w:firstLineChars="200"/>
        <w:jc w:val="left"/>
        <w:rPr>
          <w:rFonts w:ascii="宋体" w:hAnsi="宋体" w:cs="宋体"/>
          <w:b/>
          <w:sz w:val="24"/>
        </w:rPr>
      </w:pPr>
      <w:bookmarkStart w:id="18" w:name="_Toc436599782"/>
      <w:bookmarkStart w:id="19" w:name="_Toc453509220"/>
      <w:r>
        <w:rPr>
          <w:rFonts w:hint="eastAsia" w:ascii="宋体" w:hAnsi="宋体" w:cs="宋体"/>
          <w:b/>
          <w:sz w:val="24"/>
        </w:rPr>
        <w:t>五、确定中标</w:t>
      </w:r>
      <w:bookmarkEnd w:id="18"/>
      <w:bookmarkEnd w:id="19"/>
    </w:p>
    <w:p>
      <w:pPr>
        <w:spacing w:line="276" w:lineRule="auto"/>
        <w:ind w:firstLine="482" w:firstLineChars="200"/>
        <w:jc w:val="left"/>
        <w:rPr>
          <w:rFonts w:ascii="宋体" w:hAnsi="宋体" w:cs="宋体"/>
          <w:b/>
          <w:sz w:val="24"/>
        </w:rPr>
      </w:pPr>
      <w:r>
        <w:rPr>
          <w:rFonts w:hint="eastAsia" w:ascii="宋体" w:hAnsi="宋体" w:cs="宋体"/>
          <w:b/>
          <w:sz w:val="24"/>
        </w:rPr>
        <w:t>（一）确定中标候选人及中标人</w:t>
      </w:r>
    </w:p>
    <w:p>
      <w:pPr>
        <w:spacing w:line="276" w:lineRule="auto"/>
        <w:ind w:firstLine="480" w:firstLineChars="200"/>
        <w:jc w:val="left"/>
        <w:rPr>
          <w:rFonts w:ascii="宋体" w:hAnsi="宋体" w:cs="宋体"/>
          <w:bCs/>
          <w:sz w:val="24"/>
        </w:rPr>
      </w:pPr>
      <w:r>
        <w:rPr>
          <w:rFonts w:hint="eastAsia" w:ascii="宋体" w:hAnsi="宋体" w:cs="宋体"/>
          <w:bCs/>
          <w:sz w:val="24"/>
        </w:rPr>
        <w:t>中标候选人及中标人的确定原则及标准，详见第五章。</w:t>
      </w:r>
    </w:p>
    <w:p>
      <w:pPr>
        <w:spacing w:line="276" w:lineRule="auto"/>
        <w:ind w:firstLine="482" w:firstLineChars="200"/>
        <w:jc w:val="left"/>
        <w:rPr>
          <w:rFonts w:ascii="宋体" w:hAnsi="宋体" w:cs="宋体"/>
          <w:b/>
          <w:sz w:val="24"/>
        </w:rPr>
      </w:pPr>
      <w:r>
        <w:rPr>
          <w:rFonts w:hint="eastAsia" w:ascii="宋体" w:hAnsi="宋体" w:cs="宋体"/>
          <w:b/>
          <w:sz w:val="24"/>
        </w:rPr>
        <w:t>（二）中标公告</w:t>
      </w:r>
    </w:p>
    <w:p>
      <w:pPr>
        <w:spacing w:line="276" w:lineRule="auto"/>
        <w:ind w:firstLine="480" w:firstLineChars="200"/>
        <w:jc w:val="left"/>
        <w:rPr>
          <w:rFonts w:ascii="宋体" w:hAnsi="宋体" w:cs="宋体"/>
          <w:sz w:val="24"/>
        </w:rPr>
      </w:pPr>
      <w:r>
        <w:rPr>
          <w:rFonts w:hint="eastAsia" w:ascii="宋体" w:hAnsi="宋体" w:cs="宋体"/>
          <w:bCs/>
          <w:sz w:val="24"/>
        </w:rPr>
        <w:t>采购人应当自中标人确定之日起2个工作日内，</w:t>
      </w:r>
      <w:r>
        <w:rPr>
          <w:rFonts w:hint="eastAsia" w:ascii="宋体" w:hAnsi="宋体" w:cs="宋体"/>
          <w:sz w:val="24"/>
        </w:rPr>
        <w:t>在常州市田家炳初级中学网站上予以公示。中标公告期为中标公告发布之日起一个工作日。</w:t>
      </w:r>
    </w:p>
    <w:p>
      <w:pPr>
        <w:spacing w:line="276" w:lineRule="auto"/>
        <w:ind w:firstLine="480" w:firstLineChars="200"/>
        <w:jc w:val="left"/>
        <w:rPr>
          <w:rFonts w:ascii="宋体" w:hAnsi="宋体" w:cs="宋体"/>
          <w:sz w:val="24"/>
        </w:rPr>
      </w:pPr>
      <w:r>
        <w:rPr>
          <w:rFonts w:hint="eastAsia" w:ascii="宋体" w:hAnsi="宋体" w:cs="宋体"/>
          <w:sz w:val="24"/>
        </w:rPr>
        <w:t>未参加投标活动的供应商或在投标活动中自身权益未受到损害的供应商所提出的质疑不予受理。</w:t>
      </w:r>
    </w:p>
    <w:p>
      <w:pPr>
        <w:spacing w:line="276" w:lineRule="auto"/>
        <w:ind w:firstLine="480" w:firstLineChars="200"/>
        <w:jc w:val="left"/>
        <w:rPr>
          <w:rFonts w:ascii="宋体" w:hAnsi="宋体" w:cs="宋体"/>
          <w:sz w:val="24"/>
        </w:rPr>
      </w:pPr>
      <w:r>
        <w:rPr>
          <w:rFonts w:hint="eastAsia" w:ascii="宋体" w:hAnsi="宋体" w:cs="宋体"/>
          <w:sz w:val="24"/>
        </w:rPr>
        <w:t>中标公示期间，如有参加投标的供应商提出有效质疑，并因此可能对成交结果产生影响，而最终被取消中标的，采购人对中标单位不承担任何责任。</w:t>
      </w:r>
    </w:p>
    <w:p>
      <w:pPr>
        <w:spacing w:line="276" w:lineRule="auto"/>
        <w:ind w:firstLine="482" w:firstLineChars="200"/>
        <w:jc w:val="left"/>
        <w:rPr>
          <w:rFonts w:ascii="宋体" w:hAnsi="宋体" w:cs="宋体"/>
          <w:b/>
          <w:sz w:val="24"/>
        </w:rPr>
      </w:pPr>
      <w:r>
        <w:rPr>
          <w:rFonts w:hint="eastAsia" w:ascii="宋体" w:hAnsi="宋体" w:cs="宋体"/>
          <w:b/>
          <w:sz w:val="24"/>
        </w:rPr>
        <w:t>（三）采购项目的废标</w:t>
      </w:r>
    </w:p>
    <w:p>
      <w:pPr>
        <w:spacing w:line="276" w:lineRule="auto"/>
        <w:ind w:firstLine="480" w:firstLineChars="200"/>
        <w:jc w:val="left"/>
        <w:rPr>
          <w:rFonts w:ascii="宋体" w:hAnsi="宋体" w:cs="宋体"/>
          <w:bCs/>
          <w:sz w:val="24"/>
        </w:rPr>
      </w:pPr>
      <w:r>
        <w:rPr>
          <w:rFonts w:hint="eastAsia" w:ascii="宋体" w:hAnsi="宋体" w:cs="宋体"/>
          <w:bCs/>
          <w:sz w:val="24"/>
        </w:rPr>
        <w:t>在评标采购中，出现下列情况之一的，应予废标；</w:t>
      </w:r>
    </w:p>
    <w:p>
      <w:pPr>
        <w:spacing w:line="276" w:lineRule="auto"/>
        <w:ind w:firstLine="482" w:firstLineChars="200"/>
        <w:jc w:val="left"/>
        <w:rPr>
          <w:rFonts w:ascii="宋体" w:hAnsi="宋体" w:cs="宋体"/>
          <w:b/>
          <w:sz w:val="24"/>
          <w:u w:val="single"/>
        </w:rPr>
      </w:pPr>
      <w:r>
        <w:rPr>
          <w:rFonts w:hint="eastAsia" w:ascii="宋体" w:hAnsi="宋体" w:cs="宋体"/>
          <w:b/>
          <w:sz w:val="24"/>
          <w:u w:val="single"/>
        </w:rPr>
        <w:t>1、符合专业条件的投标人或者对招标文件做出实质性响应的投标人不足三家的；</w:t>
      </w:r>
    </w:p>
    <w:p>
      <w:pPr>
        <w:spacing w:line="276" w:lineRule="auto"/>
        <w:ind w:firstLine="482" w:firstLineChars="200"/>
        <w:jc w:val="left"/>
        <w:rPr>
          <w:rFonts w:ascii="宋体" w:hAnsi="宋体" w:cs="宋体"/>
          <w:b/>
          <w:sz w:val="24"/>
          <w:u w:val="single"/>
        </w:rPr>
      </w:pPr>
      <w:r>
        <w:rPr>
          <w:rFonts w:hint="eastAsia" w:ascii="宋体" w:hAnsi="宋体" w:cs="宋体"/>
          <w:b/>
          <w:sz w:val="24"/>
          <w:u w:val="single"/>
        </w:rPr>
        <w:t>2、出现影响采购公正的违法、违规行为的；</w:t>
      </w:r>
    </w:p>
    <w:p>
      <w:pPr>
        <w:spacing w:line="276" w:lineRule="auto"/>
        <w:ind w:firstLine="482" w:firstLineChars="200"/>
        <w:jc w:val="left"/>
        <w:rPr>
          <w:rFonts w:ascii="宋体" w:hAnsi="宋体" w:cs="宋体"/>
          <w:b/>
          <w:sz w:val="24"/>
          <w:u w:val="single"/>
        </w:rPr>
      </w:pPr>
      <w:r>
        <w:rPr>
          <w:rFonts w:hint="eastAsia" w:ascii="宋体" w:hAnsi="宋体" w:cs="宋体"/>
          <w:b/>
          <w:sz w:val="24"/>
          <w:u w:val="single"/>
        </w:rPr>
        <w:t>3、投标单位的报价均超过采购预算，采购单位不能支付的；</w:t>
      </w:r>
    </w:p>
    <w:p>
      <w:pPr>
        <w:spacing w:line="276" w:lineRule="auto"/>
        <w:ind w:firstLine="482" w:firstLineChars="200"/>
        <w:jc w:val="left"/>
        <w:rPr>
          <w:rFonts w:ascii="宋体" w:hAnsi="宋体" w:cs="宋体"/>
          <w:b/>
          <w:sz w:val="24"/>
          <w:u w:val="single"/>
        </w:rPr>
      </w:pPr>
      <w:r>
        <w:rPr>
          <w:rFonts w:hint="eastAsia" w:ascii="宋体" w:hAnsi="宋体" w:cs="宋体"/>
          <w:b/>
          <w:sz w:val="24"/>
          <w:u w:val="single"/>
        </w:rPr>
        <w:t>4、因重大变故，采购任务取消的。</w:t>
      </w:r>
    </w:p>
    <w:p>
      <w:pPr>
        <w:spacing w:line="276" w:lineRule="auto"/>
        <w:ind w:firstLine="480" w:firstLineChars="200"/>
        <w:jc w:val="left"/>
        <w:rPr>
          <w:rFonts w:ascii="宋体" w:hAnsi="宋体" w:cs="宋体"/>
          <w:bCs/>
          <w:sz w:val="24"/>
        </w:rPr>
      </w:pPr>
      <w:r>
        <w:rPr>
          <w:rFonts w:hint="eastAsia" w:ascii="宋体" w:hAnsi="宋体" w:cs="宋体"/>
          <w:bCs/>
          <w:sz w:val="24"/>
        </w:rPr>
        <w:t>注意：在评标期间，出现符合专业条件的供应商或者对招标文件作出实质响应的供应商不足三家，采购人时间紧急，经评标委员会审查招标文件没有不合理条款、招标程序符合规定且有效标具有竞争性的，经评标委员会集体讨论后，决定是否变更为其他采购方式采购。</w:t>
      </w:r>
    </w:p>
    <w:p>
      <w:pPr>
        <w:spacing w:line="276" w:lineRule="auto"/>
        <w:ind w:firstLine="480" w:firstLineChars="200"/>
        <w:jc w:val="left"/>
        <w:rPr>
          <w:rFonts w:ascii="宋体" w:hAnsi="宋体" w:cs="宋体"/>
          <w:bCs/>
          <w:sz w:val="24"/>
        </w:rPr>
      </w:pPr>
      <w:r>
        <w:rPr>
          <w:rFonts w:hint="eastAsia" w:ascii="宋体" w:hAnsi="宋体" w:cs="宋体"/>
          <w:bCs/>
          <w:sz w:val="24"/>
        </w:rPr>
        <w:t>中标单位有下列情形之一的，将不予退还其交纳的投标保证金或履约保证金；情节严重的，由财政部门将其列入不良行为记录名单，在一至三年内禁止参加政府采购活动，并予以通报：</w:t>
      </w:r>
    </w:p>
    <w:p>
      <w:pPr>
        <w:spacing w:line="276" w:lineRule="auto"/>
        <w:ind w:firstLine="482" w:firstLineChars="200"/>
        <w:jc w:val="left"/>
        <w:rPr>
          <w:rFonts w:ascii="宋体" w:hAnsi="宋体" w:cs="宋体"/>
          <w:b/>
          <w:sz w:val="24"/>
          <w:u w:val="single"/>
        </w:rPr>
      </w:pPr>
      <w:r>
        <w:rPr>
          <w:rFonts w:hint="eastAsia" w:ascii="宋体" w:hAnsi="宋体" w:cs="宋体"/>
          <w:b/>
          <w:sz w:val="24"/>
          <w:u w:val="single"/>
        </w:rPr>
        <w:t>1、中标后无正当理由不与采购人签订合同的；</w:t>
      </w:r>
    </w:p>
    <w:p>
      <w:pPr>
        <w:spacing w:line="276" w:lineRule="auto"/>
        <w:ind w:firstLine="482" w:firstLineChars="200"/>
        <w:jc w:val="left"/>
        <w:rPr>
          <w:rFonts w:ascii="宋体" w:hAnsi="宋体" w:cs="宋体"/>
          <w:b/>
          <w:sz w:val="24"/>
          <w:u w:val="single"/>
        </w:rPr>
      </w:pPr>
      <w:r>
        <w:rPr>
          <w:rFonts w:hint="eastAsia" w:ascii="宋体" w:hAnsi="宋体" w:cs="宋体"/>
          <w:b/>
          <w:sz w:val="24"/>
          <w:u w:val="single"/>
        </w:rPr>
        <w:t>2、违反政府采购法相关法律法规的；</w:t>
      </w:r>
    </w:p>
    <w:p>
      <w:pPr>
        <w:spacing w:line="276" w:lineRule="auto"/>
        <w:ind w:firstLine="482" w:firstLineChars="200"/>
        <w:jc w:val="left"/>
        <w:rPr>
          <w:rFonts w:ascii="宋体" w:hAnsi="宋体" w:cs="宋体"/>
          <w:b/>
          <w:sz w:val="24"/>
          <w:u w:val="single"/>
        </w:rPr>
      </w:pPr>
      <w:r>
        <w:rPr>
          <w:rFonts w:hint="eastAsia" w:ascii="宋体" w:hAnsi="宋体" w:cs="宋体"/>
          <w:b/>
          <w:sz w:val="24"/>
          <w:u w:val="single"/>
        </w:rPr>
        <w:t>3、转包或未经采购人同意违法分包的；</w:t>
      </w:r>
    </w:p>
    <w:p>
      <w:pPr>
        <w:spacing w:line="276" w:lineRule="auto"/>
        <w:ind w:firstLine="482" w:firstLineChars="200"/>
        <w:jc w:val="left"/>
        <w:rPr>
          <w:rFonts w:ascii="宋体" w:hAnsi="宋体" w:cs="宋体"/>
          <w:b/>
          <w:sz w:val="24"/>
          <w:u w:val="single"/>
        </w:rPr>
      </w:pPr>
      <w:r>
        <w:rPr>
          <w:rFonts w:hint="eastAsia" w:ascii="宋体" w:hAnsi="宋体" w:cs="宋体"/>
          <w:b/>
          <w:sz w:val="24"/>
          <w:u w:val="single"/>
        </w:rPr>
        <w:t>4、拒绝履行合同义务的。</w:t>
      </w:r>
    </w:p>
    <w:p>
      <w:pPr>
        <w:spacing w:line="276" w:lineRule="auto"/>
        <w:ind w:firstLine="482" w:firstLineChars="200"/>
        <w:jc w:val="left"/>
        <w:rPr>
          <w:rFonts w:ascii="宋体" w:hAnsi="宋体" w:cs="宋体"/>
          <w:b/>
          <w:sz w:val="24"/>
        </w:rPr>
      </w:pPr>
      <w:r>
        <w:rPr>
          <w:rFonts w:hint="eastAsia" w:ascii="宋体" w:hAnsi="宋体" w:cs="宋体"/>
          <w:b/>
          <w:sz w:val="24"/>
        </w:rPr>
        <w:t>（四）中标无效的确认</w:t>
      </w:r>
    </w:p>
    <w:p>
      <w:pPr>
        <w:spacing w:line="276" w:lineRule="auto"/>
        <w:ind w:firstLine="480" w:firstLineChars="200"/>
        <w:jc w:val="left"/>
        <w:rPr>
          <w:rFonts w:ascii="宋体" w:hAnsi="宋体" w:cs="宋体"/>
          <w:sz w:val="24"/>
        </w:rPr>
      </w:pPr>
      <w:r>
        <w:rPr>
          <w:rFonts w:hint="eastAsia" w:ascii="宋体" w:hAnsi="宋体" w:cs="宋体"/>
          <w:sz w:val="24"/>
        </w:rPr>
        <w:t>若有充分证据证明，中标人出现下列情况之一的，一经查实，将被取消中标资格：</w:t>
      </w:r>
    </w:p>
    <w:p>
      <w:pPr>
        <w:spacing w:line="276" w:lineRule="auto"/>
        <w:ind w:firstLine="480" w:firstLineChars="200"/>
        <w:jc w:val="left"/>
        <w:rPr>
          <w:rFonts w:ascii="宋体" w:hAnsi="宋体" w:cs="宋体"/>
          <w:sz w:val="24"/>
        </w:rPr>
      </w:pPr>
      <w:r>
        <w:rPr>
          <w:rFonts w:hint="eastAsia" w:ascii="宋体" w:hAnsi="宋体" w:cs="宋体"/>
          <w:sz w:val="24"/>
        </w:rPr>
        <w:t>（1）提供虚假材料谋取中标的；</w:t>
      </w:r>
    </w:p>
    <w:p>
      <w:pPr>
        <w:spacing w:line="276" w:lineRule="auto"/>
        <w:ind w:firstLine="480" w:firstLineChars="200"/>
        <w:jc w:val="left"/>
        <w:rPr>
          <w:rFonts w:ascii="宋体" w:hAnsi="宋体" w:cs="宋体"/>
          <w:sz w:val="24"/>
        </w:rPr>
      </w:pPr>
      <w:r>
        <w:rPr>
          <w:rFonts w:hint="eastAsia" w:ascii="宋体" w:hAnsi="宋体" w:cs="宋体"/>
          <w:sz w:val="24"/>
        </w:rPr>
        <w:t>（2）向采购人行贿或者提供其他不正当利益的。</w:t>
      </w:r>
    </w:p>
    <w:p>
      <w:pPr>
        <w:spacing w:line="276" w:lineRule="auto"/>
        <w:ind w:firstLine="480" w:firstLineChars="200"/>
        <w:jc w:val="left"/>
        <w:rPr>
          <w:rFonts w:ascii="宋体" w:hAnsi="宋体" w:cs="宋体"/>
          <w:sz w:val="24"/>
        </w:rPr>
      </w:pPr>
      <w:r>
        <w:rPr>
          <w:rFonts w:hint="eastAsia" w:ascii="宋体" w:hAnsi="宋体" w:cs="宋体"/>
          <w:sz w:val="24"/>
        </w:rPr>
        <w:t>（3）恶意竞争，投标总报价明显低于其自身合理成本且又无法提供证明的。</w:t>
      </w:r>
    </w:p>
    <w:p>
      <w:pPr>
        <w:spacing w:line="276" w:lineRule="auto"/>
        <w:ind w:firstLine="480" w:firstLineChars="200"/>
        <w:jc w:val="left"/>
        <w:rPr>
          <w:rFonts w:ascii="宋体" w:hAnsi="宋体" w:cs="宋体"/>
          <w:sz w:val="24"/>
        </w:rPr>
      </w:pPr>
      <w:r>
        <w:rPr>
          <w:rFonts w:hint="eastAsia" w:ascii="宋体" w:hAnsi="宋体" w:cs="宋体"/>
          <w:sz w:val="24"/>
        </w:rPr>
        <w:t>（4）属于本文件规定的无效条件，但在评标过程中又未被评委会发现的。</w:t>
      </w:r>
    </w:p>
    <w:p>
      <w:pPr>
        <w:spacing w:line="276" w:lineRule="auto"/>
        <w:ind w:firstLine="480" w:firstLineChars="200"/>
        <w:jc w:val="left"/>
        <w:rPr>
          <w:rFonts w:ascii="宋体" w:hAnsi="宋体" w:cs="宋体"/>
          <w:sz w:val="24"/>
        </w:rPr>
      </w:pPr>
      <w:r>
        <w:rPr>
          <w:rFonts w:hint="eastAsia" w:ascii="宋体" w:hAnsi="宋体" w:cs="宋体"/>
          <w:sz w:val="24"/>
        </w:rPr>
        <w:t>（5）与采购人或者其他供应商恶意串通的。</w:t>
      </w:r>
    </w:p>
    <w:p>
      <w:pPr>
        <w:spacing w:line="276" w:lineRule="auto"/>
        <w:ind w:firstLine="480" w:firstLineChars="200"/>
        <w:jc w:val="left"/>
        <w:rPr>
          <w:rFonts w:ascii="宋体" w:hAnsi="宋体" w:cs="宋体"/>
          <w:sz w:val="24"/>
        </w:rPr>
      </w:pPr>
      <w:r>
        <w:rPr>
          <w:rFonts w:hint="eastAsia" w:ascii="宋体" w:hAnsi="宋体" w:cs="宋体"/>
          <w:sz w:val="24"/>
        </w:rPr>
        <w:t>（6）采取不正当手段诋毁、排挤其他供应商的。</w:t>
      </w:r>
    </w:p>
    <w:p>
      <w:pPr>
        <w:spacing w:line="276" w:lineRule="auto"/>
        <w:ind w:firstLine="480" w:firstLineChars="200"/>
        <w:jc w:val="left"/>
        <w:rPr>
          <w:rFonts w:ascii="宋体" w:hAnsi="宋体" w:cs="宋体"/>
          <w:sz w:val="24"/>
        </w:rPr>
      </w:pPr>
      <w:r>
        <w:rPr>
          <w:rFonts w:hint="eastAsia" w:ascii="宋体" w:hAnsi="宋体" w:cs="宋体"/>
          <w:sz w:val="24"/>
        </w:rPr>
        <w:t>（7）不符合法律、法规的规定的。</w:t>
      </w:r>
    </w:p>
    <w:p>
      <w:pPr>
        <w:spacing w:line="276" w:lineRule="auto"/>
        <w:ind w:firstLine="482" w:firstLineChars="200"/>
        <w:jc w:val="left"/>
        <w:rPr>
          <w:rFonts w:ascii="宋体" w:hAnsi="宋体" w:cs="宋体"/>
          <w:b/>
          <w:sz w:val="24"/>
        </w:rPr>
      </w:pPr>
      <w:r>
        <w:rPr>
          <w:rFonts w:hint="eastAsia" w:ascii="宋体" w:hAnsi="宋体" w:cs="宋体"/>
          <w:b/>
          <w:sz w:val="24"/>
        </w:rPr>
        <w:t>（五）中标通知书</w:t>
      </w:r>
    </w:p>
    <w:p>
      <w:pPr>
        <w:pStyle w:val="6"/>
        <w:overflowPunct w:val="0"/>
        <w:spacing w:line="276" w:lineRule="auto"/>
        <w:ind w:firstLine="480" w:firstLineChars="200"/>
        <w:rPr>
          <w:rFonts w:hAnsi="宋体" w:cs="宋体"/>
        </w:rPr>
      </w:pPr>
      <w:r>
        <w:rPr>
          <w:rFonts w:hint="eastAsia" w:hAnsi="宋体" w:cs="宋体"/>
        </w:rPr>
        <w:t>1、中标人确定后，在公告成交结果的同时向中标人发出中标通知。</w:t>
      </w:r>
    </w:p>
    <w:p>
      <w:pPr>
        <w:pStyle w:val="6"/>
        <w:overflowPunct w:val="0"/>
        <w:spacing w:line="276" w:lineRule="auto"/>
        <w:ind w:firstLine="480" w:firstLineChars="200"/>
        <w:rPr>
          <w:rFonts w:hAnsi="宋体" w:cs="宋体"/>
        </w:rPr>
      </w:pPr>
      <w:r>
        <w:rPr>
          <w:rFonts w:hint="eastAsia" w:hAnsi="宋体" w:cs="宋体"/>
        </w:rPr>
        <w:t>2、中标通知对采购人和中标人具有法律约束力。中标通知书发出后，采购人改变成交结果或者中标单位放弃中标，均应当承担相应的法律责任，且不影响中标服务费的支付。</w:t>
      </w:r>
    </w:p>
    <w:p>
      <w:pPr>
        <w:pStyle w:val="6"/>
        <w:overflowPunct w:val="0"/>
        <w:spacing w:line="276" w:lineRule="auto"/>
        <w:ind w:firstLine="480" w:firstLineChars="200"/>
        <w:rPr>
          <w:rFonts w:hAnsi="宋体" w:cs="宋体"/>
        </w:rPr>
      </w:pPr>
      <w:r>
        <w:rPr>
          <w:rFonts w:hint="eastAsia" w:hAnsi="宋体" w:cs="宋体"/>
        </w:rPr>
        <w:t>3、采购人对未中标单位不承担解释未中标原因的义务。</w:t>
      </w:r>
    </w:p>
    <w:p>
      <w:pPr>
        <w:spacing w:line="276" w:lineRule="auto"/>
        <w:ind w:firstLine="422" w:firstLineChars="200"/>
        <w:rPr>
          <w:rFonts w:ascii="宋体" w:hAnsi="宋体" w:cs="宋体"/>
          <w:b/>
          <w:bCs/>
        </w:rPr>
      </w:pPr>
      <w:r>
        <w:rPr>
          <w:rFonts w:hint="eastAsia" w:ascii="宋体" w:hAnsi="宋体" w:cs="宋体"/>
          <w:b/>
          <w:bCs/>
        </w:rPr>
        <w:t>（七）履约保证金</w:t>
      </w:r>
    </w:p>
    <w:p>
      <w:pPr>
        <w:pStyle w:val="6"/>
        <w:overflowPunct w:val="0"/>
        <w:spacing w:line="276" w:lineRule="auto"/>
        <w:ind w:firstLine="480" w:firstLineChars="200"/>
        <w:rPr>
          <w:rFonts w:hAnsi="宋体" w:cs="宋体"/>
        </w:rPr>
      </w:pPr>
      <w:r>
        <w:rPr>
          <w:rFonts w:hint="eastAsia" w:hAnsi="宋体" w:cs="宋体"/>
        </w:rPr>
        <w:t>领取中标通知书时，中标人按招标文件要求向采购人交纳履约保证金，履约保证金在项目验收合格后退还，不计息。履约保证金缴纳数额详见前附表。</w:t>
      </w:r>
    </w:p>
    <w:p>
      <w:pPr>
        <w:spacing w:line="276" w:lineRule="auto"/>
        <w:ind w:firstLine="482" w:firstLineChars="200"/>
        <w:jc w:val="left"/>
        <w:rPr>
          <w:rFonts w:ascii="宋体" w:hAnsi="宋体" w:cs="宋体"/>
          <w:b/>
          <w:sz w:val="24"/>
        </w:rPr>
      </w:pPr>
      <w:r>
        <w:rPr>
          <w:rFonts w:hint="eastAsia" w:ascii="宋体" w:hAnsi="宋体" w:cs="宋体"/>
          <w:b/>
          <w:sz w:val="24"/>
        </w:rPr>
        <w:t>（八）签订合同</w:t>
      </w:r>
    </w:p>
    <w:p>
      <w:pPr>
        <w:spacing w:line="276" w:lineRule="auto"/>
        <w:ind w:firstLine="480" w:firstLineChars="200"/>
        <w:rPr>
          <w:rFonts w:ascii="宋体" w:hAnsi="宋体" w:cs="宋体"/>
          <w:sz w:val="24"/>
        </w:rPr>
      </w:pPr>
      <w:r>
        <w:rPr>
          <w:rFonts w:hint="eastAsia" w:ascii="宋体" w:hAnsi="宋体" w:cs="宋体"/>
          <w:sz w:val="24"/>
        </w:rPr>
        <w:t>采购人与中标人应当自中标通知书发出之日起三十日内，按照招标文件和中标人投标文件的约定，签订书面合同。所签订的合同不得对招标文件和中标人投标文件作实质性修改。采购人不得向中标人提出任何不合理的要求，作为签订合同的条件，不得与中标人私下订立背离合同实质性内容的协议。合同签订7个工作日内到常州市田家炳初级中学备案。</w:t>
      </w:r>
    </w:p>
    <w:p>
      <w:pPr>
        <w:spacing w:line="276" w:lineRule="auto"/>
        <w:ind w:firstLine="480" w:firstLineChars="200"/>
        <w:rPr>
          <w:rFonts w:ascii="宋体" w:hAnsi="宋体" w:cs="宋体"/>
          <w:sz w:val="24"/>
        </w:rPr>
      </w:pPr>
      <w:r>
        <w:rPr>
          <w:rFonts w:hint="eastAsia" w:ascii="宋体" w:hAnsi="宋体" w:cs="宋体"/>
          <w:sz w:val="24"/>
        </w:rPr>
        <w:t>中标人因不可抗力导致无法按期签订合同的，应当在不可抗力发生之日起5日内提出，并提供书面证据，采购人及中标人互不承担任何责任及损失。如中标人无正当理由未按期签订合同的，视为自动放弃中标资格，并承担违约责任，采购人可以与排位在中标人之后第一位的中标候选人签订合同或重新委托进行招标。</w:t>
      </w:r>
    </w:p>
    <w:p>
      <w:pPr>
        <w:spacing w:line="276" w:lineRule="auto"/>
        <w:ind w:firstLine="482" w:firstLineChars="200"/>
        <w:jc w:val="left"/>
        <w:rPr>
          <w:rFonts w:ascii="宋体" w:hAnsi="宋体" w:cs="宋体"/>
          <w:b/>
          <w:sz w:val="24"/>
        </w:rPr>
      </w:pPr>
      <w:r>
        <w:rPr>
          <w:rFonts w:hint="eastAsia" w:ascii="宋体" w:hAnsi="宋体" w:cs="宋体"/>
          <w:b/>
          <w:sz w:val="24"/>
        </w:rPr>
        <w:t>（九）保密</w:t>
      </w:r>
    </w:p>
    <w:p>
      <w:pPr>
        <w:spacing w:line="276" w:lineRule="auto"/>
        <w:ind w:firstLine="480" w:firstLineChars="200"/>
        <w:jc w:val="left"/>
        <w:rPr>
          <w:rFonts w:ascii="宋体" w:hAnsi="宋体" w:cs="宋体"/>
          <w:bCs/>
          <w:sz w:val="24"/>
        </w:rPr>
      </w:pPr>
      <w:r>
        <w:rPr>
          <w:rFonts w:hint="eastAsia" w:ascii="宋体" w:hAnsi="宋体" w:cs="宋体"/>
          <w:bCs/>
          <w:sz w:val="24"/>
        </w:rPr>
        <w:t xml:space="preserve">参与招标投标活动的当事人应对招标文件和投标文件中的商业秘密保密，违者应对由此造成的后果承担法律责任。 </w:t>
      </w:r>
    </w:p>
    <w:p>
      <w:pPr>
        <w:spacing w:line="276" w:lineRule="auto"/>
        <w:ind w:firstLine="482" w:firstLineChars="200"/>
        <w:jc w:val="left"/>
        <w:rPr>
          <w:rFonts w:ascii="宋体" w:hAnsi="宋体" w:cs="宋体"/>
          <w:b/>
          <w:sz w:val="24"/>
        </w:rPr>
      </w:pPr>
      <w:r>
        <w:rPr>
          <w:rFonts w:hint="eastAsia" w:ascii="宋体" w:hAnsi="宋体" w:cs="宋体"/>
          <w:b/>
          <w:sz w:val="24"/>
        </w:rPr>
        <w:t>（十）其他条款</w:t>
      </w:r>
    </w:p>
    <w:p>
      <w:pPr>
        <w:spacing w:line="276" w:lineRule="auto"/>
        <w:ind w:firstLine="480" w:firstLineChars="200"/>
        <w:jc w:val="left"/>
        <w:rPr>
          <w:rFonts w:ascii="宋体" w:hAnsi="宋体" w:cs="宋体"/>
          <w:bCs/>
          <w:sz w:val="24"/>
        </w:rPr>
      </w:pPr>
      <w:r>
        <w:rPr>
          <w:rFonts w:hint="eastAsia" w:ascii="宋体" w:hAnsi="宋体" w:cs="宋体"/>
          <w:bCs/>
          <w:sz w:val="24"/>
        </w:rPr>
        <w:t>1、不论招标过程和结果如何，投标人的投标文件均不退还；采购活动结束后，对于未中标人提供的样品，予以退还或者经未中标人同意后自行处理；对于中标人提供的样品，应当按照招标文件的规定进行保管、封存，并作为履约验收的参考。</w:t>
      </w:r>
    </w:p>
    <w:p>
      <w:pPr>
        <w:spacing w:line="276" w:lineRule="auto"/>
        <w:ind w:firstLine="480" w:firstLineChars="200"/>
        <w:jc w:val="left"/>
        <w:rPr>
          <w:rFonts w:ascii="宋体" w:hAnsi="宋体" w:cs="宋体"/>
          <w:bCs/>
          <w:sz w:val="24"/>
        </w:rPr>
      </w:pPr>
      <w:r>
        <w:rPr>
          <w:rFonts w:hint="eastAsia" w:ascii="宋体" w:hAnsi="宋体" w:cs="宋体"/>
          <w:bCs/>
          <w:sz w:val="24"/>
        </w:rPr>
        <w:t>2、除非有特殊要求，招标文件不单独提供项目所在地的自然环境、气候条件、公用设施等情况，投标人被视为熟悉上述与履行合同有关的一切情况。</w:t>
      </w:r>
    </w:p>
    <w:p>
      <w:pPr>
        <w:spacing w:line="276" w:lineRule="auto"/>
        <w:ind w:firstLine="482" w:firstLineChars="200"/>
        <w:jc w:val="left"/>
        <w:rPr>
          <w:rFonts w:ascii="宋体" w:hAnsi="宋体" w:cs="宋体"/>
          <w:b/>
          <w:sz w:val="24"/>
        </w:rPr>
      </w:pPr>
      <w:r>
        <w:rPr>
          <w:rFonts w:hint="eastAsia" w:ascii="宋体" w:hAnsi="宋体" w:cs="宋体"/>
          <w:b/>
          <w:bCs/>
          <w:sz w:val="24"/>
        </w:rPr>
        <w:t>六</w:t>
      </w:r>
      <w:r>
        <w:rPr>
          <w:rFonts w:hint="eastAsia" w:ascii="宋体" w:hAnsi="宋体" w:cs="宋体"/>
          <w:b/>
          <w:sz w:val="24"/>
        </w:rPr>
        <w:t>、质疑</w:t>
      </w:r>
    </w:p>
    <w:p>
      <w:pPr>
        <w:spacing w:line="276" w:lineRule="auto"/>
        <w:ind w:firstLine="480" w:firstLineChars="200"/>
        <w:jc w:val="left"/>
        <w:rPr>
          <w:rFonts w:ascii="宋体" w:hAnsi="宋体" w:cs="宋体"/>
          <w:sz w:val="24"/>
        </w:rPr>
      </w:pPr>
      <w:r>
        <w:rPr>
          <w:rFonts w:hint="eastAsia" w:ascii="宋体" w:hAnsi="宋体" w:cs="宋体"/>
          <w:sz w:val="24"/>
        </w:rPr>
        <w:t>1、供应商认为采购文件、采购过程和中标结果使自己的权益受到损害的，可以在知道或者应知其权益受到损害之日起七个工作日内，以书面形式向采购人提出质疑。</w:t>
      </w:r>
    </w:p>
    <w:p>
      <w:pPr>
        <w:spacing w:line="276" w:lineRule="auto"/>
        <w:ind w:firstLine="480" w:firstLineChars="200"/>
        <w:jc w:val="left"/>
        <w:rPr>
          <w:rFonts w:ascii="宋体" w:hAnsi="宋体" w:cs="宋体"/>
          <w:sz w:val="24"/>
        </w:rPr>
      </w:pPr>
      <w:r>
        <w:rPr>
          <w:rFonts w:hint="eastAsia" w:ascii="宋体" w:hAnsi="宋体" w:cs="宋体"/>
          <w:sz w:val="24"/>
        </w:rPr>
        <w:t>供应商对采购文件提出质疑的，应在采购公告期限届满之日起七个工作日内提出；供应商对采购过程提出质疑的，应在采购程序环节结束之日起七个工作日内提出；供应商对中标结果提出质疑的，应在中标结果公告期限届满之日起七个工作日内提出。</w:t>
      </w:r>
    </w:p>
    <w:p>
      <w:pPr>
        <w:spacing w:line="276" w:lineRule="auto"/>
        <w:ind w:firstLine="480" w:firstLineChars="200"/>
        <w:jc w:val="left"/>
        <w:rPr>
          <w:rFonts w:ascii="宋体" w:hAnsi="宋体" w:cs="宋体"/>
          <w:sz w:val="24"/>
        </w:rPr>
      </w:pPr>
      <w:r>
        <w:rPr>
          <w:rFonts w:hint="eastAsia" w:ascii="宋体" w:hAnsi="宋体" w:cs="宋体"/>
          <w:sz w:val="24"/>
        </w:rPr>
        <w:t xml:space="preserve">2、提出质疑的供应商应当是参与所质疑项目采购活动的供应商。提出质疑应当提交质疑函和必要的证明材料。质疑函应当包括下列内容： </w:t>
      </w:r>
    </w:p>
    <w:p>
      <w:pPr>
        <w:spacing w:line="276" w:lineRule="auto"/>
        <w:ind w:firstLine="480" w:firstLineChars="200"/>
        <w:jc w:val="left"/>
        <w:rPr>
          <w:rFonts w:ascii="宋体" w:hAnsi="宋体" w:cs="宋体"/>
          <w:sz w:val="24"/>
        </w:rPr>
      </w:pPr>
      <w:r>
        <w:rPr>
          <w:rFonts w:hint="eastAsia" w:ascii="宋体" w:hAnsi="宋体" w:cs="宋体"/>
          <w:sz w:val="24"/>
        </w:rPr>
        <w:t>（1）供应商的姓名或者名称、地址、邮编、联系人及联系电话；</w:t>
      </w:r>
    </w:p>
    <w:p>
      <w:pPr>
        <w:spacing w:line="276" w:lineRule="auto"/>
        <w:ind w:firstLine="480" w:firstLineChars="200"/>
        <w:jc w:val="left"/>
        <w:rPr>
          <w:rFonts w:ascii="宋体" w:hAnsi="宋体" w:cs="宋体"/>
          <w:sz w:val="24"/>
        </w:rPr>
      </w:pPr>
      <w:r>
        <w:rPr>
          <w:rFonts w:hint="eastAsia" w:ascii="宋体" w:hAnsi="宋体" w:cs="宋体"/>
          <w:sz w:val="24"/>
        </w:rPr>
        <w:t>（2）质疑项目的名称、编号；</w:t>
      </w:r>
    </w:p>
    <w:p>
      <w:pPr>
        <w:spacing w:line="276" w:lineRule="auto"/>
        <w:ind w:firstLine="480" w:firstLineChars="200"/>
        <w:jc w:val="left"/>
        <w:rPr>
          <w:rFonts w:ascii="宋体" w:hAnsi="宋体" w:cs="宋体"/>
          <w:sz w:val="24"/>
        </w:rPr>
      </w:pPr>
      <w:r>
        <w:rPr>
          <w:rFonts w:hint="eastAsia" w:ascii="宋体" w:hAnsi="宋体" w:cs="宋体"/>
          <w:sz w:val="24"/>
        </w:rPr>
        <w:t>（3）具体、明确的质疑事项和与质疑事项相关的请求；</w:t>
      </w:r>
    </w:p>
    <w:p>
      <w:pPr>
        <w:spacing w:line="276" w:lineRule="auto"/>
        <w:ind w:firstLine="480" w:firstLineChars="200"/>
        <w:jc w:val="left"/>
        <w:rPr>
          <w:rFonts w:ascii="宋体" w:hAnsi="宋体" w:cs="宋体"/>
          <w:sz w:val="24"/>
        </w:rPr>
      </w:pPr>
      <w:r>
        <w:rPr>
          <w:rFonts w:hint="eastAsia" w:ascii="宋体" w:hAnsi="宋体" w:cs="宋体"/>
          <w:sz w:val="24"/>
        </w:rPr>
        <w:t>（4）事实依据；</w:t>
      </w:r>
    </w:p>
    <w:p>
      <w:pPr>
        <w:spacing w:line="276" w:lineRule="auto"/>
        <w:ind w:firstLine="480" w:firstLineChars="200"/>
        <w:jc w:val="left"/>
        <w:rPr>
          <w:rFonts w:ascii="宋体" w:hAnsi="宋体" w:cs="宋体"/>
          <w:sz w:val="24"/>
        </w:rPr>
      </w:pPr>
      <w:r>
        <w:rPr>
          <w:rFonts w:hint="eastAsia" w:ascii="宋体" w:hAnsi="宋体" w:cs="宋体"/>
          <w:sz w:val="24"/>
        </w:rPr>
        <w:t>（5）必要的法律依据；</w:t>
      </w:r>
    </w:p>
    <w:p>
      <w:pPr>
        <w:spacing w:line="276" w:lineRule="auto"/>
        <w:ind w:firstLine="480" w:firstLineChars="200"/>
        <w:jc w:val="left"/>
        <w:rPr>
          <w:rFonts w:ascii="宋体" w:hAnsi="宋体" w:cs="宋体"/>
          <w:sz w:val="24"/>
        </w:rPr>
      </w:pPr>
      <w:r>
        <w:rPr>
          <w:rFonts w:hint="eastAsia" w:ascii="宋体" w:hAnsi="宋体" w:cs="宋体"/>
          <w:sz w:val="24"/>
        </w:rPr>
        <w:t>（6）提出质疑的日期。</w:t>
      </w:r>
    </w:p>
    <w:p>
      <w:pPr>
        <w:spacing w:line="276" w:lineRule="auto"/>
        <w:ind w:firstLine="480" w:firstLineChars="200"/>
        <w:jc w:val="left"/>
        <w:rPr>
          <w:rFonts w:ascii="宋体" w:hAnsi="宋体" w:cs="宋体"/>
          <w:sz w:val="24"/>
        </w:rPr>
      </w:pPr>
      <w:r>
        <w:rPr>
          <w:rFonts w:hint="eastAsia" w:ascii="宋体" w:hAnsi="宋体" w:cs="宋体"/>
          <w:sz w:val="24"/>
        </w:rPr>
        <w:t>供应商为自然人的，应当由本人签字；供应商为法人或者其他组织的，应当由法定代表人、主要负责人签字或者盖章，并加盖公章。供应商委托代理人提出质疑的，应当提交供应商签署的授权委托书。其授权委托书应当载明代理人的姓名或者名称、代理事项、具体权限、期限和相关事项。</w:t>
      </w:r>
    </w:p>
    <w:p>
      <w:pPr>
        <w:spacing w:line="276" w:lineRule="auto"/>
        <w:ind w:firstLine="480" w:firstLineChars="200"/>
        <w:jc w:val="left"/>
        <w:rPr>
          <w:rFonts w:ascii="宋体" w:hAnsi="宋体" w:cs="宋体"/>
          <w:sz w:val="24"/>
        </w:rPr>
      </w:pPr>
      <w:r>
        <w:rPr>
          <w:rFonts w:hint="eastAsia" w:ascii="宋体" w:hAnsi="宋体" w:cs="宋体"/>
          <w:sz w:val="24"/>
        </w:rPr>
        <w:t>（7）未按上述要求提交的质疑函（仅限于原件）采购人有权不予受理。</w:t>
      </w:r>
    </w:p>
    <w:p>
      <w:pPr>
        <w:spacing w:line="276" w:lineRule="auto"/>
        <w:ind w:firstLine="480" w:firstLineChars="200"/>
        <w:jc w:val="left"/>
        <w:rPr>
          <w:rFonts w:ascii="宋体" w:hAnsi="宋体" w:cs="宋体"/>
          <w:sz w:val="24"/>
        </w:rPr>
      </w:pPr>
      <w:r>
        <w:rPr>
          <w:rFonts w:hint="eastAsia" w:ascii="宋体" w:hAnsi="宋体" w:cs="宋体"/>
          <w:sz w:val="24"/>
        </w:rPr>
        <w:t>3、供应商提出书面质疑必须有理、有据，不得恶意质疑或提交虚假质疑。否则，一经查实，采购人有权依据有关规定，对该供应商进行相应的处罚。</w:t>
      </w:r>
    </w:p>
    <w:p>
      <w:pPr>
        <w:pStyle w:val="21"/>
        <w:spacing w:line="360" w:lineRule="auto"/>
        <w:rPr>
          <w:rFonts w:ascii="宋体" w:hAnsi="宋体" w:eastAsia="宋体" w:cs="宋体"/>
          <w:kern w:val="0"/>
          <w:sz w:val="24"/>
          <w:szCs w:val="24"/>
        </w:rPr>
      </w:pPr>
    </w:p>
    <w:p>
      <w:pPr>
        <w:pStyle w:val="21"/>
        <w:spacing w:line="360" w:lineRule="auto"/>
        <w:rPr>
          <w:rFonts w:ascii="宋体" w:hAnsi="宋体" w:eastAsia="宋体" w:cs="宋体"/>
          <w:kern w:val="0"/>
          <w:sz w:val="24"/>
          <w:szCs w:val="24"/>
        </w:rPr>
      </w:pPr>
    </w:p>
    <w:p>
      <w:pPr>
        <w:pStyle w:val="21"/>
        <w:spacing w:line="360" w:lineRule="auto"/>
        <w:rPr>
          <w:rFonts w:ascii="宋体" w:hAnsi="宋体" w:eastAsia="宋体" w:cs="宋体"/>
          <w:kern w:val="0"/>
          <w:sz w:val="24"/>
          <w:szCs w:val="24"/>
        </w:rPr>
      </w:pPr>
    </w:p>
    <w:p>
      <w:pPr>
        <w:pStyle w:val="21"/>
        <w:spacing w:line="360" w:lineRule="auto"/>
        <w:rPr>
          <w:rFonts w:ascii="宋体" w:hAnsi="宋体" w:eastAsia="宋体" w:cs="宋体"/>
          <w:kern w:val="0"/>
          <w:sz w:val="24"/>
          <w:szCs w:val="24"/>
        </w:rPr>
      </w:pPr>
    </w:p>
    <w:p>
      <w:pPr>
        <w:pStyle w:val="21"/>
        <w:spacing w:line="360" w:lineRule="auto"/>
        <w:rPr>
          <w:rFonts w:ascii="宋体" w:hAnsi="宋体" w:eastAsia="宋体" w:cs="宋体"/>
          <w:kern w:val="0"/>
          <w:sz w:val="24"/>
          <w:szCs w:val="24"/>
        </w:rPr>
      </w:pPr>
    </w:p>
    <w:p>
      <w:pPr>
        <w:pStyle w:val="21"/>
        <w:spacing w:line="360" w:lineRule="auto"/>
        <w:rPr>
          <w:rFonts w:ascii="宋体" w:hAnsi="宋体" w:eastAsia="宋体" w:cs="宋体"/>
          <w:kern w:val="0"/>
          <w:sz w:val="24"/>
          <w:szCs w:val="24"/>
        </w:rPr>
      </w:pPr>
    </w:p>
    <w:p>
      <w:pPr>
        <w:pStyle w:val="21"/>
        <w:spacing w:line="360" w:lineRule="auto"/>
        <w:rPr>
          <w:rFonts w:ascii="宋体" w:hAnsi="宋体" w:eastAsia="宋体" w:cs="宋体"/>
          <w:kern w:val="0"/>
          <w:sz w:val="24"/>
          <w:szCs w:val="24"/>
        </w:rPr>
      </w:pPr>
    </w:p>
    <w:p>
      <w:pPr>
        <w:pStyle w:val="21"/>
        <w:spacing w:line="360" w:lineRule="auto"/>
        <w:rPr>
          <w:rFonts w:ascii="宋体" w:hAnsi="宋体" w:eastAsia="宋体" w:cs="宋体"/>
          <w:kern w:val="0"/>
          <w:sz w:val="24"/>
          <w:szCs w:val="24"/>
        </w:rPr>
      </w:pPr>
    </w:p>
    <w:p>
      <w:pPr>
        <w:pStyle w:val="21"/>
        <w:spacing w:line="360" w:lineRule="auto"/>
        <w:rPr>
          <w:rFonts w:ascii="宋体" w:hAnsi="宋体" w:eastAsia="宋体" w:cs="宋体"/>
          <w:kern w:val="0"/>
          <w:sz w:val="24"/>
          <w:szCs w:val="24"/>
        </w:rPr>
      </w:pPr>
    </w:p>
    <w:p>
      <w:pPr>
        <w:pStyle w:val="21"/>
        <w:spacing w:line="360" w:lineRule="auto"/>
        <w:rPr>
          <w:rFonts w:ascii="宋体" w:hAnsi="宋体" w:eastAsia="宋体" w:cs="宋体"/>
          <w:kern w:val="0"/>
          <w:sz w:val="24"/>
          <w:szCs w:val="24"/>
        </w:rPr>
      </w:pPr>
    </w:p>
    <w:p>
      <w:pPr>
        <w:pStyle w:val="21"/>
        <w:spacing w:line="360" w:lineRule="auto"/>
        <w:rPr>
          <w:rFonts w:ascii="宋体" w:hAnsi="宋体" w:eastAsia="宋体" w:cs="宋体"/>
          <w:kern w:val="0"/>
          <w:sz w:val="24"/>
          <w:szCs w:val="24"/>
        </w:rPr>
      </w:pPr>
    </w:p>
    <w:p>
      <w:pPr>
        <w:pStyle w:val="21"/>
        <w:spacing w:line="360" w:lineRule="auto"/>
        <w:rPr>
          <w:rFonts w:ascii="宋体" w:hAnsi="宋体" w:eastAsia="宋体" w:cs="宋体"/>
          <w:kern w:val="0"/>
          <w:sz w:val="24"/>
          <w:szCs w:val="24"/>
        </w:rPr>
      </w:pPr>
    </w:p>
    <w:p>
      <w:pPr>
        <w:pStyle w:val="21"/>
        <w:spacing w:line="360" w:lineRule="auto"/>
        <w:rPr>
          <w:rFonts w:ascii="宋体" w:hAnsi="宋体" w:eastAsia="宋体" w:cs="宋体"/>
          <w:kern w:val="0"/>
          <w:sz w:val="24"/>
          <w:szCs w:val="24"/>
        </w:rPr>
      </w:pPr>
    </w:p>
    <w:p>
      <w:pPr>
        <w:pStyle w:val="21"/>
        <w:spacing w:line="360" w:lineRule="auto"/>
        <w:rPr>
          <w:rFonts w:ascii="宋体" w:hAnsi="宋体" w:eastAsia="宋体" w:cs="宋体"/>
          <w:kern w:val="0"/>
          <w:sz w:val="24"/>
          <w:szCs w:val="24"/>
        </w:rPr>
      </w:pPr>
    </w:p>
    <w:p>
      <w:pPr>
        <w:pStyle w:val="21"/>
        <w:spacing w:line="360" w:lineRule="auto"/>
        <w:rPr>
          <w:rFonts w:ascii="宋体" w:hAnsi="宋体" w:eastAsia="宋体" w:cs="宋体"/>
          <w:kern w:val="0"/>
          <w:sz w:val="24"/>
          <w:szCs w:val="24"/>
        </w:rPr>
      </w:pPr>
    </w:p>
    <w:p>
      <w:pPr>
        <w:pStyle w:val="21"/>
        <w:spacing w:line="360" w:lineRule="auto"/>
        <w:rPr>
          <w:rFonts w:ascii="宋体" w:hAnsi="宋体" w:eastAsia="宋体" w:cs="宋体"/>
          <w:kern w:val="0"/>
          <w:sz w:val="24"/>
          <w:szCs w:val="24"/>
        </w:rPr>
      </w:pPr>
    </w:p>
    <w:p>
      <w:pPr>
        <w:pStyle w:val="21"/>
        <w:spacing w:line="360" w:lineRule="auto"/>
        <w:rPr>
          <w:rFonts w:ascii="宋体" w:hAnsi="宋体" w:eastAsia="宋体" w:cs="宋体"/>
          <w:kern w:val="0"/>
          <w:sz w:val="24"/>
          <w:szCs w:val="24"/>
        </w:rPr>
      </w:pPr>
    </w:p>
    <w:p>
      <w:pPr>
        <w:pStyle w:val="21"/>
        <w:spacing w:line="360" w:lineRule="auto"/>
        <w:rPr>
          <w:rFonts w:ascii="宋体" w:hAnsi="宋体" w:eastAsia="宋体" w:cs="宋体"/>
          <w:kern w:val="0"/>
          <w:sz w:val="24"/>
          <w:szCs w:val="24"/>
        </w:rPr>
      </w:pPr>
    </w:p>
    <w:p>
      <w:pPr>
        <w:pStyle w:val="21"/>
        <w:spacing w:line="360" w:lineRule="auto"/>
        <w:rPr>
          <w:rFonts w:ascii="宋体" w:hAnsi="宋体" w:eastAsia="宋体" w:cs="宋体"/>
          <w:kern w:val="0"/>
          <w:sz w:val="24"/>
          <w:szCs w:val="24"/>
        </w:rPr>
      </w:pPr>
    </w:p>
    <w:p>
      <w:pPr>
        <w:pStyle w:val="21"/>
        <w:spacing w:line="360" w:lineRule="auto"/>
        <w:rPr>
          <w:rFonts w:ascii="宋体" w:hAnsi="宋体" w:eastAsia="宋体" w:cs="宋体"/>
          <w:kern w:val="0"/>
          <w:sz w:val="24"/>
          <w:szCs w:val="24"/>
        </w:rPr>
      </w:pPr>
      <w:bookmarkStart w:id="20" w:name="_Toc120261233"/>
      <w:r>
        <w:rPr>
          <w:rFonts w:hint="eastAsia" w:ascii="宋体" w:hAnsi="宋体" w:eastAsia="宋体" w:cs="宋体"/>
          <w:kern w:val="0"/>
          <w:sz w:val="24"/>
          <w:szCs w:val="24"/>
        </w:rPr>
        <w:t>第四章　项目要求和有关说明</w:t>
      </w:r>
      <w:bookmarkEnd w:id="20"/>
    </w:p>
    <w:p>
      <w:pPr>
        <w:spacing w:line="360" w:lineRule="auto"/>
        <w:jc w:val="left"/>
        <w:rPr>
          <w:rFonts w:ascii="宋体" w:hAnsi="宋体" w:cs="宋体"/>
          <w:bCs/>
          <w:sz w:val="24"/>
        </w:rPr>
      </w:pPr>
      <w:bookmarkStart w:id="21" w:name="_Toc14512124"/>
      <w:r>
        <w:rPr>
          <w:rFonts w:hint="eastAsia" w:ascii="宋体" w:hAnsi="宋体" w:cs="宋体"/>
          <w:b/>
          <w:sz w:val="24"/>
        </w:rPr>
        <w:t>一、采购项目：</w:t>
      </w:r>
      <w:r>
        <w:rPr>
          <w:rFonts w:hint="eastAsia" w:ascii="宋体" w:hAnsi="宋体" w:cs="宋体"/>
          <w:b/>
          <w:bCs/>
          <w:sz w:val="24"/>
          <w:szCs w:val="22"/>
        </w:rPr>
        <w:t>常州市田家炳初级中学改扩建项目竣工结算审计（复审）</w:t>
      </w:r>
    </w:p>
    <w:p>
      <w:pPr>
        <w:spacing w:line="360" w:lineRule="auto"/>
        <w:jc w:val="left"/>
        <w:rPr>
          <w:rFonts w:ascii="宋体" w:hAnsi="宋体" w:cs="宋体"/>
          <w:b/>
          <w:sz w:val="24"/>
        </w:rPr>
      </w:pPr>
      <w:r>
        <w:rPr>
          <w:rFonts w:hint="eastAsia" w:ascii="宋体" w:hAnsi="宋体" w:cs="宋体"/>
          <w:b/>
          <w:sz w:val="24"/>
        </w:rPr>
        <w:t>二、项目内容及要求：</w:t>
      </w:r>
    </w:p>
    <w:p>
      <w:pPr>
        <w:snapToGrid w:val="0"/>
        <w:spacing w:line="360" w:lineRule="auto"/>
        <w:ind w:firstLine="482" w:firstLineChars="200"/>
        <w:rPr>
          <w:rFonts w:ascii="宋体" w:hAnsi="宋体" w:cs="宋体"/>
          <w:sz w:val="24"/>
          <w:szCs w:val="22"/>
        </w:rPr>
      </w:pPr>
      <w:r>
        <w:rPr>
          <w:rFonts w:hint="eastAsia" w:ascii="宋体" w:hAnsi="宋体" w:cs="宋体"/>
          <w:b/>
          <w:sz w:val="24"/>
          <w:szCs w:val="22"/>
        </w:rPr>
        <w:t>项目概况：</w:t>
      </w:r>
      <w:r>
        <w:rPr>
          <w:rFonts w:hint="eastAsia" w:ascii="宋体" w:hAnsi="宋体" w:cs="宋体"/>
          <w:bCs/>
          <w:sz w:val="24"/>
          <w:szCs w:val="22"/>
        </w:rPr>
        <w:t>本项目为常州市田家炳初级中学改扩建项目竣工结算审计（复审）项目。</w:t>
      </w:r>
    </w:p>
    <w:p>
      <w:pPr>
        <w:snapToGrid w:val="0"/>
        <w:spacing w:line="360" w:lineRule="auto"/>
        <w:ind w:firstLine="482" w:firstLineChars="200"/>
        <w:rPr>
          <w:rFonts w:ascii="宋体" w:hAnsi="宋体" w:cs="宋体"/>
          <w:bCs/>
          <w:sz w:val="24"/>
          <w:szCs w:val="22"/>
        </w:rPr>
      </w:pPr>
      <w:r>
        <w:rPr>
          <w:rFonts w:hint="eastAsia" w:ascii="宋体" w:hAnsi="宋体" w:cs="宋体"/>
          <w:b/>
          <w:sz w:val="24"/>
          <w:szCs w:val="22"/>
        </w:rPr>
        <w:t>合同履行期限：</w:t>
      </w:r>
      <w:r>
        <w:rPr>
          <w:rFonts w:hint="eastAsia" w:ascii="宋体" w:hAnsi="宋体" w:cs="宋体"/>
          <w:bCs/>
          <w:sz w:val="24"/>
          <w:szCs w:val="22"/>
        </w:rPr>
        <w:t>自合同签订之日起30天内完成竣工结算审计复审</w:t>
      </w:r>
    </w:p>
    <w:p>
      <w:pPr>
        <w:spacing w:line="360" w:lineRule="auto"/>
        <w:jc w:val="left"/>
        <w:rPr>
          <w:rFonts w:cs="宋体" w:asciiTheme="minorEastAsia" w:hAnsiTheme="minorEastAsia"/>
          <w:b/>
          <w:kern w:val="0"/>
          <w:sz w:val="24"/>
          <w:lang w:bidi="zh-CN"/>
        </w:rPr>
      </w:pPr>
      <w:r>
        <w:rPr>
          <w:rFonts w:hint="eastAsia" w:ascii="宋体" w:hAnsi="宋体" w:cs="宋体"/>
          <w:b/>
          <w:sz w:val="24"/>
        </w:rPr>
        <w:t>三、</w:t>
      </w:r>
      <w:r>
        <w:rPr>
          <w:rFonts w:hint="eastAsia" w:cs="宋体" w:asciiTheme="minorEastAsia" w:hAnsiTheme="minorEastAsia"/>
          <w:b/>
          <w:kern w:val="0"/>
          <w:sz w:val="24"/>
          <w:lang w:bidi="zh-CN"/>
        </w:rPr>
        <w:t>服务要求</w:t>
      </w:r>
    </w:p>
    <w:p>
      <w:pPr>
        <w:spacing w:line="360" w:lineRule="auto"/>
        <w:ind w:firstLine="480" w:firstLineChars="200"/>
        <w:jc w:val="left"/>
        <w:rPr>
          <w:rFonts w:cs="宋体" w:asciiTheme="minorEastAsia" w:hAnsiTheme="minorEastAsia"/>
          <w:kern w:val="0"/>
          <w:sz w:val="24"/>
          <w:lang w:bidi="zh-CN"/>
        </w:rPr>
      </w:pPr>
      <w:r>
        <w:rPr>
          <w:rFonts w:cs="宋体" w:asciiTheme="minorEastAsia" w:hAnsiTheme="minorEastAsia"/>
          <w:kern w:val="0"/>
          <w:sz w:val="24"/>
          <w:lang w:bidi="zh-CN"/>
        </w:rPr>
        <w:t>1</w:t>
      </w:r>
      <w:r>
        <w:rPr>
          <w:rFonts w:hint="eastAsia" w:cs="宋体" w:asciiTheme="minorEastAsia" w:hAnsiTheme="minorEastAsia"/>
          <w:kern w:val="0"/>
          <w:sz w:val="24"/>
          <w:lang w:bidi="zh-CN"/>
        </w:rPr>
        <w:t>、投标单位应严格按照国家、行业、地方有关技术标准、规范、政策执行。并按照《江苏省工程造价咨询业务指导规程》、《委托合同》开展业务，按照相关规定提交符合格式要求的审查成果报告及档案；</w:t>
      </w:r>
    </w:p>
    <w:p>
      <w:pPr>
        <w:spacing w:line="360" w:lineRule="auto"/>
        <w:ind w:firstLine="480" w:firstLineChars="200"/>
        <w:jc w:val="left"/>
        <w:rPr>
          <w:rFonts w:cs="宋体" w:asciiTheme="minorEastAsia" w:hAnsiTheme="minorEastAsia"/>
          <w:kern w:val="0"/>
          <w:sz w:val="24"/>
          <w:lang w:bidi="zh-CN"/>
        </w:rPr>
      </w:pPr>
      <w:r>
        <w:rPr>
          <w:rFonts w:cs="宋体" w:asciiTheme="minorEastAsia" w:hAnsiTheme="minorEastAsia"/>
          <w:kern w:val="0"/>
          <w:sz w:val="24"/>
          <w:lang w:bidi="zh-CN"/>
        </w:rPr>
        <w:t>2</w:t>
      </w:r>
      <w:r>
        <w:rPr>
          <w:rFonts w:hint="eastAsia" w:cs="宋体" w:asciiTheme="minorEastAsia" w:hAnsiTheme="minorEastAsia"/>
          <w:kern w:val="0"/>
          <w:sz w:val="24"/>
          <w:lang w:bidi="zh-CN"/>
        </w:rPr>
        <w:t>、分析制定审查实施方案，明确审查目标，确定审查重点；</w:t>
      </w:r>
    </w:p>
    <w:p>
      <w:pPr>
        <w:spacing w:line="360" w:lineRule="auto"/>
        <w:ind w:firstLine="480" w:firstLineChars="200"/>
        <w:jc w:val="left"/>
        <w:rPr>
          <w:rFonts w:cs="宋体" w:asciiTheme="minorEastAsia" w:hAnsiTheme="minorEastAsia"/>
          <w:kern w:val="0"/>
          <w:sz w:val="24"/>
          <w:lang w:bidi="zh-CN"/>
        </w:rPr>
      </w:pPr>
      <w:r>
        <w:rPr>
          <w:rFonts w:hint="eastAsia" w:cs="宋体" w:asciiTheme="minorEastAsia" w:hAnsiTheme="minorEastAsia"/>
          <w:kern w:val="0"/>
          <w:sz w:val="24"/>
          <w:lang w:bidi="zh-CN"/>
        </w:rPr>
        <w:t>3出具审查报告；</w:t>
      </w:r>
    </w:p>
    <w:p>
      <w:pPr>
        <w:spacing w:line="360" w:lineRule="auto"/>
        <w:ind w:firstLine="480" w:firstLineChars="200"/>
        <w:jc w:val="left"/>
        <w:rPr>
          <w:rFonts w:cs="宋体" w:asciiTheme="minorEastAsia" w:hAnsiTheme="minorEastAsia"/>
          <w:kern w:val="0"/>
          <w:sz w:val="24"/>
          <w:lang w:bidi="zh-CN"/>
        </w:rPr>
      </w:pPr>
      <w:r>
        <w:rPr>
          <w:rFonts w:hint="eastAsia" w:cs="宋体" w:asciiTheme="minorEastAsia" w:hAnsiTheme="minorEastAsia"/>
          <w:kern w:val="0"/>
          <w:sz w:val="24"/>
          <w:lang w:bidi="zh-CN"/>
        </w:rPr>
        <w:t>4采购人要求的其他工作。</w:t>
      </w:r>
    </w:p>
    <w:p>
      <w:pPr>
        <w:spacing w:line="360" w:lineRule="auto"/>
        <w:jc w:val="left"/>
        <w:rPr>
          <w:rFonts w:cs="宋体" w:asciiTheme="minorEastAsia" w:hAnsiTheme="minorEastAsia"/>
          <w:b/>
          <w:kern w:val="0"/>
          <w:sz w:val="24"/>
        </w:rPr>
      </w:pPr>
      <w:r>
        <w:rPr>
          <w:rFonts w:hint="eastAsia" w:cs="宋体" w:asciiTheme="minorEastAsia" w:hAnsiTheme="minorEastAsia"/>
          <w:b/>
          <w:kern w:val="0"/>
          <w:sz w:val="24"/>
        </w:rPr>
        <w:t>四、人员要求</w:t>
      </w:r>
    </w:p>
    <w:p>
      <w:pPr>
        <w:autoSpaceDE w:val="0"/>
        <w:autoSpaceDN w:val="0"/>
        <w:spacing w:line="360" w:lineRule="auto"/>
        <w:ind w:firstLine="480" w:firstLineChars="200"/>
        <w:jc w:val="left"/>
        <w:rPr>
          <w:rFonts w:cs="宋体" w:asciiTheme="minorEastAsia" w:hAnsiTheme="minorEastAsia"/>
          <w:kern w:val="0"/>
          <w:sz w:val="24"/>
          <w:lang w:val="zh-CN" w:bidi="zh-CN"/>
        </w:rPr>
      </w:pPr>
      <w:r>
        <w:rPr>
          <w:rFonts w:hint="eastAsia" w:cs="宋体" w:asciiTheme="minorEastAsia" w:hAnsiTheme="minorEastAsia"/>
          <w:kern w:val="0"/>
          <w:sz w:val="24"/>
          <w:lang w:val="zh-CN" w:bidi="zh-CN"/>
        </w:rPr>
        <w:t>项目负责人（1名）：具有丰富的审计服务工作经验且具备一级注册造价工程师（或国家注册造价工程师）执业资格；项目组成员（除项目负责人以外）另配备3名及以上专职人员。</w:t>
      </w:r>
    </w:p>
    <w:p>
      <w:pPr>
        <w:spacing w:line="360" w:lineRule="auto"/>
        <w:jc w:val="left"/>
        <w:rPr>
          <w:rFonts w:cs="宋体" w:asciiTheme="minorEastAsia" w:hAnsiTheme="minorEastAsia"/>
          <w:b/>
          <w:kern w:val="0"/>
          <w:sz w:val="24"/>
        </w:rPr>
      </w:pPr>
      <w:r>
        <w:rPr>
          <w:rFonts w:hint="eastAsia" w:cs="宋体" w:asciiTheme="minorEastAsia" w:hAnsiTheme="minorEastAsia"/>
          <w:b/>
          <w:kern w:val="0"/>
          <w:sz w:val="24"/>
        </w:rPr>
        <w:t>五、付款方式与说明</w:t>
      </w:r>
    </w:p>
    <w:p>
      <w:pPr>
        <w:spacing w:line="360" w:lineRule="auto"/>
        <w:ind w:firstLine="480" w:firstLineChars="200"/>
        <w:jc w:val="left"/>
        <w:rPr>
          <w:rFonts w:cs="宋体" w:asciiTheme="minorEastAsia" w:hAnsiTheme="minorEastAsia"/>
          <w:kern w:val="0"/>
          <w:sz w:val="24"/>
          <w:lang w:bidi="zh-CN"/>
        </w:rPr>
      </w:pPr>
      <w:r>
        <w:rPr>
          <w:rFonts w:hint="eastAsia" w:cs="宋体" w:asciiTheme="minorEastAsia" w:hAnsiTheme="minorEastAsia"/>
          <w:kern w:val="0"/>
          <w:sz w:val="24"/>
          <w:lang w:bidi="zh-CN"/>
        </w:rPr>
        <w:t>1、最终审计费用以复审核减额为基数乘以中标费率；</w:t>
      </w:r>
    </w:p>
    <w:p>
      <w:pPr>
        <w:spacing w:line="360" w:lineRule="auto"/>
        <w:ind w:firstLine="480" w:firstLineChars="200"/>
        <w:jc w:val="left"/>
        <w:rPr>
          <w:rFonts w:cs="宋体" w:asciiTheme="minorEastAsia" w:hAnsiTheme="minorEastAsia"/>
          <w:kern w:val="0"/>
          <w:sz w:val="24"/>
          <w:lang w:bidi="zh-CN"/>
        </w:rPr>
      </w:pPr>
      <w:r>
        <w:rPr>
          <w:rFonts w:hint="eastAsia" w:cs="宋体" w:asciiTheme="minorEastAsia" w:hAnsiTheme="minorEastAsia"/>
          <w:kern w:val="0"/>
          <w:sz w:val="24"/>
          <w:lang w:bidi="zh-CN"/>
        </w:rPr>
        <w:t>2、中标单位出具项目最终审计报告，并提交审计资料电子档案，采购人一次性支付审计服务费，中标单位提供等额发票。</w:t>
      </w:r>
    </w:p>
    <w:p>
      <w:pPr>
        <w:pStyle w:val="21"/>
        <w:spacing w:line="360" w:lineRule="auto"/>
        <w:rPr>
          <w:rFonts w:ascii="宋体" w:hAnsi="宋体" w:eastAsia="宋体" w:cs="宋体"/>
          <w:kern w:val="0"/>
          <w:sz w:val="24"/>
          <w:szCs w:val="24"/>
        </w:rPr>
      </w:pPr>
    </w:p>
    <w:p>
      <w:pPr>
        <w:pStyle w:val="21"/>
        <w:spacing w:line="360" w:lineRule="auto"/>
        <w:rPr>
          <w:rFonts w:ascii="宋体" w:hAnsi="宋体" w:eastAsia="宋体" w:cs="宋体"/>
          <w:kern w:val="0"/>
          <w:sz w:val="24"/>
          <w:szCs w:val="24"/>
        </w:rPr>
      </w:pPr>
    </w:p>
    <w:p/>
    <w:p/>
    <w:p/>
    <w:p/>
    <w:p/>
    <w:p>
      <w:pPr>
        <w:pStyle w:val="21"/>
        <w:spacing w:line="360" w:lineRule="auto"/>
        <w:rPr>
          <w:rFonts w:ascii="宋体" w:hAnsi="宋体" w:eastAsia="宋体" w:cs="宋体"/>
          <w:kern w:val="0"/>
          <w:sz w:val="24"/>
          <w:szCs w:val="24"/>
        </w:rPr>
      </w:pPr>
    </w:p>
    <w:p>
      <w:pPr>
        <w:pStyle w:val="21"/>
        <w:spacing w:line="360" w:lineRule="auto"/>
        <w:rPr>
          <w:rFonts w:ascii="宋体" w:hAnsi="宋体" w:eastAsia="宋体" w:cs="宋体"/>
          <w:kern w:val="0"/>
          <w:sz w:val="24"/>
          <w:szCs w:val="24"/>
        </w:rPr>
      </w:pPr>
      <w:bookmarkStart w:id="22" w:name="_Toc120261234"/>
      <w:r>
        <w:rPr>
          <w:rFonts w:hint="eastAsia" w:ascii="宋体" w:hAnsi="宋体" w:eastAsia="宋体" w:cs="宋体"/>
          <w:kern w:val="0"/>
          <w:sz w:val="24"/>
          <w:szCs w:val="24"/>
        </w:rPr>
        <w:t>第五章   评标方法和评标标准</w:t>
      </w:r>
      <w:bookmarkEnd w:id="21"/>
      <w:bookmarkEnd w:id="22"/>
    </w:p>
    <w:p>
      <w:pPr>
        <w:spacing w:line="360" w:lineRule="auto"/>
        <w:jc w:val="left"/>
        <w:rPr>
          <w:rFonts w:cs="宋体" w:asciiTheme="minorEastAsia" w:hAnsiTheme="minorEastAsia" w:eastAsiaTheme="minorEastAsia"/>
          <w:bCs/>
          <w:sz w:val="24"/>
          <w:szCs w:val="21"/>
        </w:rPr>
      </w:pPr>
      <w:bookmarkStart w:id="23" w:name="_Toc15987"/>
      <w:bookmarkStart w:id="24" w:name="_Toc11595"/>
      <w:bookmarkStart w:id="25" w:name="_Toc20949"/>
      <w:bookmarkStart w:id="26" w:name="_Toc393194384"/>
      <w:bookmarkStart w:id="27" w:name="_Toc14512125"/>
      <w:r>
        <w:rPr>
          <w:rFonts w:hint="eastAsia" w:cs="宋体" w:asciiTheme="minorEastAsia" w:hAnsiTheme="minorEastAsia" w:eastAsiaTheme="minorEastAsia"/>
          <w:bCs/>
          <w:sz w:val="24"/>
          <w:szCs w:val="21"/>
        </w:rPr>
        <w:t xml:space="preserve">一、评标办法：本次评审采用最低评标价法。 </w:t>
      </w:r>
    </w:p>
    <w:p>
      <w:pPr>
        <w:spacing w:line="360" w:lineRule="auto"/>
        <w:jc w:val="left"/>
        <w:rPr>
          <w:rFonts w:cs="宋体" w:asciiTheme="minorEastAsia" w:hAnsiTheme="minorEastAsia" w:eastAsiaTheme="minorEastAsia"/>
          <w:bCs/>
          <w:sz w:val="24"/>
          <w:szCs w:val="21"/>
        </w:rPr>
      </w:pPr>
      <w:r>
        <w:rPr>
          <w:rFonts w:hint="eastAsia" w:cs="宋体" w:asciiTheme="minorEastAsia" w:hAnsiTheme="minorEastAsia" w:eastAsiaTheme="minorEastAsia"/>
          <w:bCs/>
          <w:sz w:val="24"/>
          <w:szCs w:val="21"/>
        </w:rPr>
        <w:t>二、</w:t>
      </w:r>
      <w:r>
        <w:rPr>
          <w:rFonts w:hint="eastAsia" w:cs="宋体" w:asciiTheme="minorEastAsia" w:hAnsiTheme="minorEastAsia" w:eastAsiaTheme="minorEastAsia"/>
          <w:b/>
          <w:bCs/>
          <w:sz w:val="24"/>
          <w:szCs w:val="21"/>
        </w:rPr>
        <w:t>投标报价不超过招标控制价的为有效报价。</w:t>
      </w:r>
      <w:r>
        <w:rPr>
          <w:rFonts w:hint="eastAsia" w:cs="宋体" w:asciiTheme="minorEastAsia" w:hAnsiTheme="minorEastAsia" w:eastAsiaTheme="minorEastAsia"/>
          <w:bCs/>
          <w:sz w:val="24"/>
          <w:szCs w:val="21"/>
        </w:rPr>
        <w:t>超出此范围的报价为无效报价。无效报价的投标文件不进行评审，也不得中标。本次招标采用最低评标价法，在满足招标文件实质性要求，并符合采购需求、质量和服务相等的前提下，以提出最低报价的投标单位作为中标单位。</w:t>
      </w:r>
    </w:p>
    <w:p>
      <w:pPr>
        <w:spacing w:line="360"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 w:val="24"/>
          <w:szCs w:val="21"/>
        </w:rPr>
        <w:t>三、如两家或两家以上投标单位的有效报价相同且都为最低投标报价，则由上述投标报价相同的单位进行抽签。先抽顺序签，按所抽顺序签由小到大的顺序再抽“有”“无”签，抽到“有”的投标单位即确定为第一中标侯选人。第二中标候选人为投标价格次低的有效投标人，以此类推。</w:t>
      </w:r>
    </w:p>
    <w:p>
      <w:pPr>
        <w:spacing w:line="360" w:lineRule="auto"/>
        <w:jc w:val="left"/>
        <w:rPr>
          <w:rFonts w:cs="宋体" w:asciiTheme="minorEastAsia" w:hAnsiTheme="minorEastAsia" w:eastAsiaTheme="minorEastAsia"/>
          <w:bCs/>
          <w:szCs w:val="21"/>
        </w:rPr>
      </w:pPr>
    </w:p>
    <w:p>
      <w:pPr>
        <w:spacing w:line="360" w:lineRule="auto"/>
        <w:jc w:val="left"/>
        <w:rPr>
          <w:rFonts w:cs="宋体" w:asciiTheme="minorEastAsia" w:hAnsiTheme="minorEastAsia" w:eastAsiaTheme="minorEastAsia"/>
          <w:bCs/>
          <w:szCs w:val="21"/>
        </w:rPr>
      </w:pPr>
    </w:p>
    <w:p>
      <w:pPr>
        <w:spacing w:line="360" w:lineRule="auto"/>
        <w:jc w:val="left"/>
        <w:rPr>
          <w:rFonts w:cs="宋体" w:asciiTheme="minorEastAsia" w:hAnsiTheme="minorEastAsia" w:eastAsiaTheme="minorEastAsia"/>
          <w:bCs/>
          <w:szCs w:val="21"/>
        </w:rPr>
      </w:pPr>
    </w:p>
    <w:p>
      <w:pPr>
        <w:spacing w:line="360" w:lineRule="auto"/>
        <w:jc w:val="left"/>
        <w:rPr>
          <w:rFonts w:cs="宋体" w:asciiTheme="minorEastAsia" w:hAnsiTheme="minorEastAsia" w:eastAsiaTheme="minorEastAsia"/>
          <w:bCs/>
          <w:szCs w:val="21"/>
        </w:rPr>
      </w:pPr>
    </w:p>
    <w:p>
      <w:pPr>
        <w:spacing w:line="360" w:lineRule="auto"/>
        <w:jc w:val="left"/>
        <w:rPr>
          <w:rFonts w:cs="宋体" w:asciiTheme="minorEastAsia" w:hAnsiTheme="minorEastAsia" w:eastAsiaTheme="minorEastAsia"/>
          <w:bCs/>
          <w:szCs w:val="21"/>
        </w:rPr>
      </w:pPr>
    </w:p>
    <w:p>
      <w:pPr>
        <w:spacing w:line="360" w:lineRule="auto"/>
        <w:jc w:val="left"/>
        <w:rPr>
          <w:rFonts w:cs="宋体" w:asciiTheme="minorEastAsia" w:hAnsiTheme="minorEastAsia" w:eastAsiaTheme="minorEastAsia"/>
          <w:bCs/>
          <w:szCs w:val="21"/>
        </w:rPr>
      </w:pPr>
    </w:p>
    <w:p>
      <w:pPr>
        <w:spacing w:line="360" w:lineRule="auto"/>
        <w:jc w:val="left"/>
        <w:rPr>
          <w:rFonts w:cs="宋体" w:asciiTheme="minorEastAsia" w:hAnsiTheme="minorEastAsia" w:eastAsiaTheme="minorEastAsia"/>
          <w:bCs/>
          <w:szCs w:val="21"/>
        </w:rPr>
      </w:pPr>
    </w:p>
    <w:p>
      <w:pPr>
        <w:spacing w:line="360" w:lineRule="auto"/>
        <w:jc w:val="left"/>
        <w:rPr>
          <w:rFonts w:cs="宋体" w:asciiTheme="minorEastAsia" w:hAnsiTheme="minorEastAsia" w:eastAsiaTheme="minorEastAsia"/>
          <w:bCs/>
          <w:szCs w:val="21"/>
        </w:rPr>
      </w:pPr>
    </w:p>
    <w:p>
      <w:pPr>
        <w:spacing w:line="360" w:lineRule="auto"/>
        <w:jc w:val="left"/>
        <w:rPr>
          <w:rFonts w:cs="宋体" w:asciiTheme="minorEastAsia" w:hAnsiTheme="minorEastAsia" w:eastAsiaTheme="minorEastAsia"/>
          <w:bCs/>
          <w:szCs w:val="21"/>
        </w:rPr>
      </w:pPr>
    </w:p>
    <w:p>
      <w:pPr>
        <w:spacing w:line="360" w:lineRule="auto"/>
        <w:jc w:val="left"/>
        <w:rPr>
          <w:rFonts w:cs="宋体" w:asciiTheme="minorEastAsia" w:hAnsiTheme="minorEastAsia" w:eastAsiaTheme="minorEastAsia"/>
          <w:bCs/>
          <w:szCs w:val="21"/>
        </w:rPr>
      </w:pPr>
    </w:p>
    <w:p>
      <w:pPr>
        <w:spacing w:line="360" w:lineRule="auto"/>
        <w:jc w:val="left"/>
        <w:rPr>
          <w:rFonts w:cs="宋体" w:asciiTheme="minorEastAsia" w:hAnsiTheme="minorEastAsia" w:eastAsiaTheme="minorEastAsia"/>
          <w:bCs/>
          <w:szCs w:val="21"/>
        </w:rPr>
      </w:pPr>
    </w:p>
    <w:p>
      <w:pPr>
        <w:spacing w:line="360" w:lineRule="auto"/>
        <w:jc w:val="left"/>
        <w:rPr>
          <w:rFonts w:cs="宋体" w:asciiTheme="minorEastAsia" w:hAnsiTheme="minorEastAsia" w:eastAsiaTheme="minorEastAsia"/>
          <w:bCs/>
          <w:szCs w:val="21"/>
        </w:rPr>
      </w:pPr>
    </w:p>
    <w:p>
      <w:pPr>
        <w:spacing w:line="360" w:lineRule="auto"/>
        <w:jc w:val="left"/>
        <w:rPr>
          <w:rFonts w:cs="宋体" w:asciiTheme="minorEastAsia" w:hAnsiTheme="minorEastAsia" w:eastAsiaTheme="minorEastAsia"/>
          <w:bCs/>
          <w:szCs w:val="21"/>
        </w:rPr>
      </w:pPr>
    </w:p>
    <w:p>
      <w:pPr>
        <w:spacing w:line="360" w:lineRule="auto"/>
        <w:jc w:val="left"/>
        <w:rPr>
          <w:rFonts w:cs="宋体" w:asciiTheme="minorEastAsia" w:hAnsiTheme="minorEastAsia" w:eastAsiaTheme="minorEastAsia"/>
          <w:bCs/>
          <w:szCs w:val="21"/>
        </w:rPr>
      </w:pPr>
    </w:p>
    <w:p>
      <w:pPr>
        <w:spacing w:line="360" w:lineRule="auto"/>
        <w:jc w:val="left"/>
        <w:rPr>
          <w:rFonts w:cs="宋体" w:asciiTheme="minorEastAsia" w:hAnsiTheme="minorEastAsia" w:eastAsiaTheme="minorEastAsia"/>
          <w:bCs/>
          <w:szCs w:val="21"/>
        </w:rPr>
      </w:pPr>
    </w:p>
    <w:p>
      <w:pPr>
        <w:spacing w:line="360" w:lineRule="auto"/>
        <w:jc w:val="left"/>
        <w:rPr>
          <w:rFonts w:cs="宋体" w:asciiTheme="minorEastAsia" w:hAnsiTheme="minorEastAsia" w:eastAsiaTheme="minorEastAsia"/>
          <w:bCs/>
          <w:szCs w:val="21"/>
        </w:rPr>
      </w:pPr>
    </w:p>
    <w:p>
      <w:pPr>
        <w:spacing w:line="360" w:lineRule="auto"/>
        <w:jc w:val="left"/>
        <w:rPr>
          <w:rFonts w:cs="宋体" w:asciiTheme="minorEastAsia" w:hAnsiTheme="minorEastAsia" w:eastAsiaTheme="minorEastAsia"/>
          <w:bCs/>
          <w:szCs w:val="21"/>
        </w:rPr>
      </w:pPr>
    </w:p>
    <w:p>
      <w:pPr>
        <w:spacing w:line="360" w:lineRule="auto"/>
        <w:jc w:val="left"/>
        <w:rPr>
          <w:rFonts w:cs="宋体" w:asciiTheme="minorEastAsia" w:hAnsiTheme="minorEastAsia" w:eastAsiaTheme="minorEastAsia"/>
          <w:bCs/>
          <w:szCs w:val="21"/>
        </w:rPr>
      </w:pPr>
    </w:p>
    <w:p>
      <w:pPr>
        <w:spacing w:line="360" w:lineRule="auto"/>
        <w:jc w:val="left"/>
        <w:rPr>
          <w:rFonts w:cs="宋体" w:asciiTheme="minorEastAsia" w:hAnsiTheme="minorEastAsia" w:eastAsiaTheme="minorEastAsia"/>
          <w:bCs/>
          <w:szCs w:val="21"/>
        </w:rPr>
      </w:pPr>
    </w:p>
    <w:p>
      <w:pPr>
        <w:pStyle w:val="21"/>
        <w:spacing w:line="360" w:lineRule="auto"/>
        <w:rPr>
          <w:rFonts w:ascii="宋体" w:hAnsi="宋体" w:eastAsia="宋体" w:cs="宋体"/>
          <w:kern w:val="0"/>
          <w:sz w:val="24"/>
          <w:szCs w:val="24"/>
        </w:rPr>
      </w:pPr>
      <w:bookmarkStart w:id="28" w:name="_Toc120261235"/>
      <w:r>
        <w:rPr>
          <w:rFonts w:hint="eastAsia" w:ascii="宋体" w:hAnsi="宋体" w:eastAsia="宋体" w:cs="宋体"/>
          <w:kern w:val="0"/>
          <w:sz w:val="24"/>
          <w:szCs w:val="24"/>
        </w:rPr>
        <w:t>第六章  采购合同（格式）</w:t>
      </w:r>
      <w:bookmarkEnd w:id="28"/>
    </w:p>
    <w:p>
      <w:pPr>
        <w:jc w:val="center"/>
        <w:rPr>
          <w:rFonts w:asciiTheme="minorEastAsia" w:hAnsiTheme="minorEastAsia" w:eastAsiaTheme="minorEastAsia" w:cstheme="minorEastAsia"/>
          <w:b/>
          <w:sz w:val="48"/>
          <w:szCs w:val="48"/>
        </w:rPr>
      </w:pPr>
      <w:r>
        <w:rPr>
          <w:rFonts w:hint="eastAsia" w:asciiTheme="minorEastAsia" w:hAnsiTheme="minorEastAsia" w:eastAsiaTheme="minorEastAsia" w:cstheme="minorEastAsia"/>
          <w:b/>
          <w:sz w:val="48"/>
          <w:szCs w:val="48"/>
        </w:rPr>
        <w:t>江苏省建设工程造价咨询合同</w:t>
      </w: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44"/>
          <w:szCs w:val="44"/>
        </w:rPr>
      </w:pP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spacing w:line="720" w:lineRule="exact"/>
        <w:ind w:left="1925" w:leftChars="50" w:hanging="1820" w:hangingChars="65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项 目 名 称：</w:t>
      </w:r>
      <w:r>
        <w:rPr>
          <w:rFonts w:hint="eastAsia" w:asciiTheme="minorEastAsia" w:hAnsiTheme="minorEastAsia" w:eastAsiaTheme="minorEastAsia" w:cstheme="minorEastAsia"/>
          <w:sz w:val="28"/>
          <w:szCs w:val="28"/>
          <w:u w:val="single"/>
        </w:rPr>
        <w:t xml:space="preserve">   </w:t>
      </w:r>
    </w:p>
    <w:p>
      <w:pPr>
        <w:spacing w:line="720" w:lineRule="exact"/>
        <w:ind w:firstLine="140" w:firstLineChars="50"/>
        <w:rPr>
          <w:rFonts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sz w:val="28"/>
          <w:szCs w:val="28"/>
        </w:rPr>
        <w:t>建 设 地 点</w:t>
      </w:r>
      <w:r>
        <w:rPr>
          <w:rFonts w:hint="eastAsia" w:asciiTheme="minorEastAsia" w:hAnsiTheme="minorEastAsia" w:eastAsiaTheme="minorEastAsia" w:cstheme="minorEastAsia"/>
          <w:b/>
          <w:sz w:val="28"/>
          <w:szCs w:val="28"/>
        </w:rPr>
        <w:t>：</w:t>
      </w:r>
      <w:r>
        <w:rPr>
          <w:rFonts w:hint="eastAsia" w:asciiTheme="minorEastAsia" w:hAnsiTheme="minorEastAsia" w:eastAsiaTheme="minorEastAsia" w:cstheme="minorEastAsia"/>
          <w:b/>
          <w:sz w:val="28"/>
          <w:szCs w:val="28"/>
          <w:u w:val="single"/>
        </w:rPr>
        <w:t xml:space="preserve">                                 </w:t>
      </w:r>
    </w:p>
    <w:p>
      <w:pPr>
        <w:spacing w:line="720" w:lineRule="exact"/>
        <w:ind w:firstLine="140" w:firstLineChars="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 同 编 号：</w:t>
      </w:r>
      <w:r>
        <w:rPr>
          <w:rFonts w:hint="eastAsia" w:asciiTheme="minorEastAsia" w:hAnsiTheme="minorEastAsia" w:eastAsiaTheme="minorEastAsia" w:cstheme="minorEastAsia"/>
          <w:sz w:val="28"/>
          <w:szCs w:val="28"/>
          <w:u w:val="single"/>
        </w:rPr>
        <w:t xml:space="preserve">                                   </w:t>
      </w:r>
    </w:p>
    <w:p>
      <w:pPr>
        <w:spacing w:line="720" w:lineRule="exact"/>
        <w:ind w:firstLine="140" w:firstLineChars="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咨 询 类 型：</w:t>
      </w:r>
      <w:r>
        <w:rPr>
          <w:rFonts w:hint="eastAsia" w:asciiTheme="minorEastAsia" w:hAnsiTheme="minorEastAsia" w:eastAsiaTheme="minorEastAsia" w:cstheme="minorEastAsia"/>
          <w:sz w:val="28"/>
          <w:szCs w:val="28"/>
          <w:u w:val="single"/>
        </w:rPr>
        <w:t xml:space="preserve">竣工结算审计（复审）             </w:t>
      </w: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tbl>
      <w:tblPr>
        <w:tblStyle w:val="26"/>
        <w:tblW w:w="0" w:type="auto"/>
        <w:jc w:val="center"/>
        <w:tblLayout w:type="fixed"/>
        <w:tblCellMar>
          <w:top w:w="0" w:type="dxa"/>
          <w:left w:w="108" w:type="dxa"/>
          <w:bottom w:w="0" w:type="dxa"/>
          <w:right w:w="108" w:type="dxa"/>
        </w:tblCellMar>
      </w:tblPr>
      <w:tblGrid>
        <w:gridCol w:w="3348"/>
        <w:gridCol w:w="1080"/>
      </w:tblGrid>
      <w:tr>
        <w:tblPrEx>
          <w:tblCellMar>
            <w:top w:w="0" w:type="dxa"/>
            <w:left w:w="108" w:type="dxa"/>
            <w:bottom w:w="0" w:type="dxa"/>
            <w:right w:w="108" w:type="dxa"/>
          </w:tblCellMar>
        </w:tblPrEx>
        <w:trPr>
          <w:trHeight w:val="451" w:hRule="atLeast"/>
          <w:jc w:val="center"/>
        </w:trPr>
        <w:tc>
          <w:tcPr>
            <w:tcW w:w="3348" w:type="dxa"/>
            <w:noWrap/>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 w:val="28"/>
                <w:szCs w:val="28"/>
              </w:rPr>
              <w:t>江苏省住房和城乡建设厅</w:t>
            </w:r>
          </w:p>
        </w:tc>
        <w:tc>
          <w:tcPr>
            <w:tcW w:w="1080" w:type="dxa"/>
            <w:vMerge w:val="restart"/>
            <w:noWrap/>
            <w:vAlign w:val="center"/>
          </w:tcPr>
          <w:p>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制定</w:t>
            </w:r>
          </w:p>
        </w:tc>
      </w:tr>
      <w:tr>
        <w:tblPrEx>
          <w:tblCellMar>
            <w:top w:w="0" w:type="dxa"/>
            <w:left w:w="108" w:type="dxa"/>
            <w:bottom w:w="0" w:type="dxa"/>
            <w:right w:w="108" w:type="dxa"/>
          </w:tblCellMar>
        </w:tblPrEx>
        <w:trPr>
          <w:jc w:val="center"/>
        </w:trPr>
        <w:tc>
          <w:tcPr>
            <w:tcW w:w="3348" w:type="dxa"/>
            <w:noWrap/>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pacing w:val="12"/>
                <w:sz w:val="28"/>
                <w:szCs w:val="28"/>
              </w:rPr>
              <w:t>江苏省工商行政管理</w:t>
            </w:r>
            <w:r>
              <w:rPr>
                <w:rFonts w:hint="eastAsia" w:asciiTheme="minorEastAsia" w:hAnsiTheme="minorEastAsia" w:eastAsiaTheme="minorEastAsia" w:cstheme="minorEastAsia"/>
                <w:sz w:val="28"/>
                <w:szCs w:val="28"/>
              </w:rPr>
              <w:t>局</w:t>
            </w:r>
          </w:p>
        </w:tc>
        <w:tc>
          <w:tcPr>
            <w:tcW w:w="1080" w:type="dxa"/>
            <w:vMerge w:val="continue"/>
            <w:noWrap/>
            <w:vAlign w:val="center"/>
          </w:tcPr>
          <w:p>
            <w:pPr>
              <w:jc w:val="center"/>
              <w:rPr>
                <w:rFonts w:asciiTheme="minorEastAsia" w:hAnsiTheme="minorEastAsia" w:eastAsiaTheme="minorEastAsia" w:cstheme="minorEastAsia"/>
              </w:rPr>
            </w:pPr>
          </w:p>
        </w:tc>
      </w:tr>
      <w:tr>
        <w:tblPrEx>
          <w:tblCellMar>
            <w:top w:w="0" w:type="dxa"/>
            <w:left w:w="108" w:type="dxa"/>
            <w:bottom w:w="0" w:type="dxa"/>
            <w:right w:w="108" w:type="dxa"/>
          </w:tblCellMar>
        </w:tblPrEx>
        <w:trPr>
          <w:jc w:val="center"/>
        </w:trPr>
        <w:tc>
          <w:tcPr>
            <w:tcW w:w="3348" w:type="dxa"/>
            <w:noWrap/>
            <w:vAlign w:val="center"/>
          </w:tcPr>
          <w:p>
            <w:pPr>
              <w:jc w:val="center"/>
              <w:rPr>
                <w:rFonts w:asciiTheme="minorEastAsia" w:hAnsiTheme="minorEastAsia" w:eastAsiaTheme="minorEastAsia" w:cstheme="minorEastAsia"/>
                <w:spacing w:val="12"/>
                <w:sz w:val="28"/>
                <w:szCs w:val="28"/>
              </w:rPr>
            </w:pPr>
          </w:p>
          <w:p>
            <w:pPr>
              <w:jc w:val="center"/>
              <w:rPr>
                <w:rFonts w:asciiTheme="minorEastAsia" w:hAnsiTheme="minorEastAsia" w:eastAsiaTheme="minorEastAsia" w:cstheme="minorEastAsia"/>
                <w:spacing w:val="12"/>
                <w:sz w:val="28"/>
                <w:szCs w:val="28"/>
              </w:rPr>
            </w:pPr>
          </w:p>
        </w:tc>
        <w:tc>
          <w:tcPr>
            <w:tcW w:w="1080" w:type="dxa"/>
            <w:noWrap/>
            <w:vAlign w:val="center"/>
          </w:tcPr>
          <w:p>
            <w:pPr>
              <w:jc w:val="center"/>
              <w:rPr>
                <w:rFonts w:asciiTheme="minorEastAsia" w:hAnsiTheme="minorEastAsia" w:eastAsiaTheme="minorEastAsia" w:cstheme="minorEastAsia"/>
              </w:rPr>
            </w:pPr>
          </w:p>
          <w:p>
            <w:pPr>
              <w:jc w:val="center"/>
              <w:rPr>
                <w:rFonts w:asciiTheme="minorEastAsia" w:hAnsiTheme="minorEastAsia" w:eastAsiaTheme="minorEastAsia" w:cstheme="minorEastAsia"/>
              </w:rPr>
            </w:pPr>
          </w:p>
          <w:p>
            <w:pPr>
              <w:jc w:val="center"/>
              <w:rPr>
                <w:rFonts w:asciiTheme="minorEastAsia" w:hAnsiTheme="minorEastAsia" w:eastAsiaTheme="minorEastAsia" w:cstheme="minorEastAsia"/>
              </w:rPr>
            </w:pPr>
          </w:p>
          <w:p>
            <w:pPr>
              <w:jc w:val="center"/>
              <w:rPr>
                <w:rFonts w:asciiTheme="minorEastAsia" w:hAnsiTheme="minorEastAsia" w:eastAsiaTheme="minorEastAsia" w:cstheme="minorEastAsia"/>
              </w:rPr>
            </w:pPr>
          </w:p>
          <w:p>
            <w:pPr>
              <w:jc w:val="center"/>
              <w:rPr>
                <w:rFonts w:asciiTheme="minorEastAsia" w:hAnsiTheme="minorEastAsia" w:eastAsiaTheme="minorEastAsia" w:cstheme="minorEastAsia"/>
              </w:rPr>
            </w:pPr>
          </w:p>
          <w:p>
            <w:pPr>
              <w:jc w:val="center"/>
              <w:rPr>
                <w:rFonts w:asciiTheme="minorEastAsia" w:hAnsiTheme="minorEastAsia" w:eastAsiaTheme="minorEastAsia" w:cstheme="minorEastAsia"/>
              </w:rPr>
            </w:pPr>
          </w:p>
          <w:p>
            <w:pPr>
              <w:jc w:val="center"/>
              <w:rPr>
                <w:rFonts w:asciiTheme="minorEastAsia" w:hAnsiTheme="minorEastAsia" w:eastAsiaTheme="minorEastAsia" w:cstheme="minorEastAsia"/>
              </w:rPr>
            </w:pPr>
          </w:p>
        </w:tc>
      </w:tr>
    </w:tbl>
    <w:p>
      <w:pPr>
        <w:jc w:val="center"/>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第一部分　建设工程造价咨询协议书</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委托人：</w:t>
      </w:r>
      <w:r>
        <w:rPr>
          <w:rFonts w:hint="eastAsia" w:asciiTheme="minorEastAsia" w:hAnsiTheme="minorEastAsia" w:eastAsiaTheme="minorEastAsia" w:cstheme="minorEastAsia"/>
          <w:szCs w:val="21"/>
          <w:u w:val="single"/>
        </w:rPr>
        <w:t>　   　　　　　　　　　　　　　　　　　　　　</w:t>
      </w:r>
    </w:p>
    <w:p>
      <w:pPr>
        <w:spacing w:line="360" w:lineRule="auto"/>
        <w:ind w:left="1050" w:hanging="1050" w:hangingChars="5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咨询人：</w:t>
      </w:r>
      <w:r>
        <w:rPr>
          <w:rFonts w:hint="eastAsia" w:asciiTheme="minorEastAsia" w:hAnsiTheme="minorEastAsia" w:eastAsiaTheme="minorEastAsia" w:cstheme="minorEastAsia"/>
          <w:szCs w:val="21"/>
          <w:u w:val="single"/>
        </w:rPr>
        <w:t>　   　　　　　　　　　　　　　　　　　　　　　</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依</w:t>
      </w:r>
      <w:r>
        <w:rPr>
          <w:rFonts w:hint="eastAsia"/>
          <w:color w:val="000000"/>
          <w:sz w:val="24"/>
        </w:rPr>
        <w:t>依据《中华人民共和国民法典》及工程造价相关管理规定，经过双方协商一致，签订本工程造价咨询合同</w:t>
      </w:r>
      <w:r>
        <w:rPr>
          <w:rFonts w:hint="eastAsia" w:asciiTheme="minorEastAsia" w:hAnsiTheme="minorEastAsia" w:eastAsiaTheme="minorEastAsia" w:cstheme="minorEastAsia"/>
          <w:szCs w:val="21"/>
        </w:rPr>
        <w:t>。</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一、委托人委托咨询人为以下项目提供建设工程造价咨询服务：</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1．项目名称：</w:t>
      </w:r>
      <w:r>
        <w:rPr>
          <w:rFonts w:hint="eastAsia" w:asciiTheme="minorEastAsia" w:hAnsiTheme="minorEastAsia" w:eastAsiaTheme="minorEastAsia" w:cstheme="minorEastAsia"/>
          <w:szCs w:val="21"/>
          <w:u w:val="single"/>
        </w:rPr>
        <w:t>　</w:t>
      </w:r>
      <w:r>
        <w:rPr>
          <w:rFonts w:hint="eastAsia" w:ascii="宋体" w:hAnsi="宋体" w:cs="宋体"/>
          <w:bCs/>
          <w:szCs w:val="21"/>
          <w:u w:val="single"/>
        </w:rPr>
        <w:t xml:space="preserve">常州市田家炳初级中学改扩建项目      </w:t>
      </w:r>
      <w:r>
        <w:rPr>
          <w:rFonts w:hint="eastAsia" w:asciiTheme="minorEastAsia" w:hAnsiTheme="minorEastAsia" w:eastAsiaTheme="minorEastAsia" w:cstheme="minorEastAsia"/>
          <w:szCs w:val="21"/>
          <w:u w:val="single"/>
        </w:rPr>
        <w:t xml:space="preserve"> </w:t>
      </w:r>
    </w:p>
    <w:p>
      <w:pPr>
        <w:spacing w:line="360" w:lineRule="auto"/>
        <w:ind w:firstLine="42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2．建设地点：</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
          <w:bCs/>
          <w:szCs w:val="21"/>
          <w:u w:val="single"/>
        </w:rPr>
        <w:t xml:space="preserve">      </w:t>
      </w:r>
      <w:r>
        <w:rPr>
          <w:rFonts w:hint="eastAsia" w:asciiTheme="minorEastAsia" w:hAnsiTheme="minorEastAsia" w:eastAsiaTheme="minorEastAsia" w:cstheme="minorEastAsia"/>
          <w:szCs w:val="21"/>
          <w:u w:val="single"/>
        </w:rPr>
        <w:t xml:space="preserve">                     </w:t>
      </w:r>
    </w:p>
    <w:p>
      <w:pPr>
        <w:spacing w:line="360" w:lineRule="auto"/>
        <w:ind w:firstLine="42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3．资金来源：</w:t>
      </w:r>
      <w:r>
        <w:rPr>
          <w:rFonts w:hint="eastAsia" w:asciiTheme="minorEastAsia" w:hAnsiTheme="minorEastAsia" w:eastAsiaTheme="minorEastAsia" w:cstheme="minorEastAsia"/>
          <w:szCs w:val="21"/>
          <w:u w:val="single"/>
        </w:rPr>
        <w:t xml:space="preserve">　　                                            </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4．工程用途：</w:t>
      </w:r>
      <w:r>
        <w:rPr>
          <w:rFonts w:hint="eastAsia" w:asciiTheme="minorEastAsia" w:hAnsiTheme="minorEastAsia" w:eastAsiaTheme="minorEastAsia" w:cstheme="minorEastAsia"/>
          <w:szCs w:val="21"/>
          <w:u w:val="single"/>
        </w:rPr>
        <w:t>　　　　　　　　　　　　　　　　　　　　　　　　　　</w:t>
      </w:r>
    </w:p>
    <w:p>
      <w:pPr>
        <w:spacing w:line="360" w:lineRule="auto"/>
        <w:ind w:firstLine="42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5．项目规模：总投资额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万元，</w:t>
      </w:r>
      <w:r>
        <w:rPr>
          <w:rFonts w:hint="eastAsia" w:ascii="宋体" w:hAnsi="宋体" w:cs="宋体"/>
          <w:bCs/>
          <w:szCs w:val="21"/>
          <w:u w:val="single"/>
        </w:rPr>
        <w:t>常州市田家炳初级中学改扩建项目</w:t>
      </w:r>
      <w:r>
        <w:rPr>
          <w:rFonts w:hint="eastAsia" w:ascii="宋体" w:hAnsi="宋体" w:cs="宋体"/>
          <w:szCs w:val="21"/>
        </w:rPr>
        <w:t>。</w:t>
      </w:r>
    </w:p>
    <w:p>
      <w:pPr>
        <w:spacing w:line="360" w:lineRule="auto"/>
        <w:ind w:firstLine="28"/>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   6．咨询业务范围及内容：</w:t>
      </w:r>
      <w:r>
        <w:rPr>
          <w:rFonts w:hint="eastAsia" w:asciiTheme="minorEastAsia" w:hAnsiTheme="minorEastAsia" w:eastAsiaTheme="minorEastAsia" w:cstheme="minorEastAsia"/>
          <w:szCs w:val="21"/>
          <w:u w:val="single"/>
        </w:rPr>
        <w:t>　</w:t>
      </w:r>
      <w:r>
        <w:rPr>
          <w:rFonts w:hint="eastAsia" w:ascii="宋体" w:hAnsi="宋体" w:cs="宋体"/>
          <w:b/>
          <w:bCs/>
          <w:szCs w:val="21"/>
          <w:u w:val="single"/>
        </w:rPr>
        <w:t>常州市田家炳初级中学改扩建项目竣工结算审计（复审）</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二、本协议书的措词和用语与所属建设工程造价咨询合同通用条款赋予的定义相同。　　</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三、本合同的组成部分及解释顺序为：</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1．建设工程造价咨询协议书；</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建设工程造价咨询合同专用条款；</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3．建设工程造价咨询合同通用条款；</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4、建设工程造价咨询合同履行中共同签署的补充文件；</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5、通过招标方式获得咨询业务的，还包括下列资料：</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（1）招标文件；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（2）投标书及其附件；</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（3）中标通知书。</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四</w:t>
      </w:r>
      <w:r>
        <w:rPr>
          <w:rFonts w:hint="eastAsia" w:asciiTheme="minorEastAsia" w:hAnsiTheme="minorEastAsia" w:eastAsiaTheme="minorEastAsia" w:cstheme="minorEastAsia"/>
          <w:szCs w:val="21"/>
        </w:rPr>
        <w:t>、咨询人同意按照本合同的约定，承担本合同专用条款中约定范围内的建设工程造价咨询业务。</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五、委托人同意按照专用条款中约定的期限、方式、币种和额度向咨询人支付酬金。   </w:t>
      </w:r>
    </w:p>
    <w:p>
      <w:pPr>
        <w:widowControl/>
        <w:spacing w:line="420" w:lineRule="atLeas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六、本合同的建设工程造价咨询业务自2022年    月    日开始实施，至委托项目实施完毕，出具符合规定要求的审计报告后终止（项目因故暂停或暂缓开工以及项目因故终止的，合同另有约定）。</w:t>
      </w:r>
      <w:r>
        <w:rPr>
          <w:rFonts w:hint="eastAsia" w:asciiTheme="minorEastAsia" w:hAnsiTheme="minorEastAsia" w:eastAsiaTheme="minorEastAsia" w:cstheme="minorEastAsia"/>
          <w:bCs/>
          <w:kern w:val="0"/>
          <w:szCs w:val="21"/>
        </w:rPr>
        <w:t>若项目建设单位提供咨询资料延后则时间相应顺延，若增加工作内容具体完成时间另行约定。</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七、本合同正本</w:t>
      </w:r>
      <w:r>
        <w:rPr>
          <w:rFonts w:hint="eastAsia" w:asciiTheme="minorEastAsia" w:hAnsiTheme="minorEastAsia" w:eastAsiaTheme="minorEastAsia" w:cstheme="minorEastAsia"/>
          <w:szCs w:val="21"/>
          <w:u w:val="single"/>
        </w:rPr>
        <w:t xml:space="preserve"> 叁 </w:t>
      </w:r>
      <w:r>
        <w:rPr>
          <w:rFonts w:hint="eastAsia" w:asciiTheme="minorEastAsia" w:hAnsiTheme="minorEastAsia" w:eastAsiaTheme="minorEastAsia" w:cstheme="minorEastAsia"/>
          <w:szCs w:val="21"/>
        </w:rPr>
        <w:t>份，委托人、咨询人各执</w:t>
      </w:r>
      <w:r>
        <w:rPr>
          <w:rFonts w:hint="eastAsia" w:asciiTheme="minorEastAsia" w:hAnsiTheme="minorEastAsia" w:eastAsiaTheme="minorEastAsia" w:cstheme="minorEastAsia"/>
          <w:szCs w:val="21"/>
          <w:u w:val="single"/>
        </w:rPr>
        <w:t xml:space="preserve"> 壹 </w:t>
      </w:r>
      <w:r>
        <w:rPr>
          <w:rFonts w:hint="eastAsia" w:asciiTheme="minorEastAsia" w:hAnsiTheme="minorEastAsia" w:eastAsiaTheme="minorEastAsia" w:cstheme="minorEastAsia"/>
          <w:szCs w:val="21"/>
        </w:rPr>
        <w:t>份，采购代理</w:t>
      </w:r>
      <w:r>
        <w:rPr>
          <w:rFonts w:hint="eastAsia" w:asciiTheme="minorEastAsia" w:hAnsiTheme="minorEastAsia" w:eastAsiaTheme="minorEastAsia" w:cstheme="minorEastAsia"/>
          <w:szCs w:val="21"/>
          <w:u w:val="single"/>
        </w:rPr>
        <w:t xml:space="preserve"> 壹 </w:t>
      </w:r>
      <w:r>
        <w:rPr>
          <w:rFonts w:hint="eastAsia" w:asciiTheme="minorEastAsia" w:hAnsiTheme="minorEastAsia" w:eastAsiaTheme="minorEastAsia" w:cstheme="minorEastAsia"/>
          <w:szCs w:val="21"/>
        </w:rPr>
        <w:t>份，副本</w:t>
      </w:r>
      <w:r>
        <w:rPr>
          <w:rFonts w:hint="eastAsia" w:asciiTheme="minorEastAsia" w:hAnsiTheme="minorEastAsia" w:eastAsiaTheme="minorEastAsia" w:cstheme="minorEastAsia"/>
          <w:szCs w:val="21"/>
          <w:u w:val="single"/>
        </w:rPr>
        <w:t xml:space="preserve">  壹  </w:t>
      </w:r>
      <w:r>
        <w:rPr>
          <w:rFonts w:hint="eastAsia" w:asciiTheme="minorEastAsia" w:hAnsiTheme="minorEastAsia" w:eastAsiaTheme="minorEastAsia" w:cstheme="minorEastAsia"/>
          <w:szCs w:val="21"/>
        </w:rPr>
        <w:t>份，委托人</w:t>
      </w:r>
      <w:r>
        <w:rPr>
          <w:rFonts w:hint="eastAsia" w:asciiTheme="minorEastAsia" w:hAnsiTheme="minorEastAsia" w:eastAsiaTheme="minorEastAsia" w:cstheme="minorEastAsia"/>
          <w:szCs w:val="21"/>
          <w:u w:val="single"/>
        </w:rPr>
        <w:t>壹</w:t>
      </w:r>
      <w:r>
        <w:rPr>
          <w:rFonts w:hint="eastAsia" w:asciiTheme="minorEastAsia" w:hAnsiTheme="minorEastAsia" w:eastAsiaTheme="minorEastAsia" w:cstheme="minorEastAsia"/>
          <w:szCs w:val="21"/>
        </w:rPr>
        <w:t>份，咨询人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委　托　人：（盖章）                       咨　询　人：（盖章）</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                              法定代表人或</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委托代理人：（签字）                       委托代理人：（签字）</w:t>
      </w:r>
    </w:p>
    <w:p>
      <w:pPr>
        <w:spacing w:line="360" w:lineRule="auto"/>
        <w:ind w:left="279" w:leftChars="133" w:firstLine="16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住　　所：　　　　　　　　　　　　　　　　住　　所：</w:t>
      </w:r>
    </w:p>
    <w:p>
      <w:pPr>
        <w:spacing w:line="360" w:lineRule="auto"/>
        <w:ind w:firstLine="420"/>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开户银行：　　　　　　　　　　　　　　　　开户银行：</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帐　　号：　　　　　　　　　　　　　　　　帐　　号：</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电　　话：　　　　　　　　　　　　　　　　电　　话：</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传　　真：　　　　　　　　　　　　　　　　传　　真：</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电子邮箱：　　　　　　　　　　　　　　　　电子邮箱：</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邮政编码：　　　　　　　　　　　　　　　　邮政编码：</w:t>
      </w:r>
    </w:p>
    <w:p>
      <w:pPr>
        <w:spacing w:line="360" w:lineRule="auto"/>
        <w:ind w:firstLine="315" w:firstLineChars="150"/>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　　月　　日                           　年　　月　　日</w:t>
      </w:r>
    </w:p>
    <w:p>
      <w:pPr>
        <w:spacing w:line="360" w:lineRule="auto"/>
        <w:jc w:val="center"/>
        <w:rPr>
          <w:rFonts w:asciiTheme="minorEastAsia" w:hAnsiTheme="minorEastAsia" w:eastAsiaTheme="minorEastAsia" w:cstheme="minorEastAsia"/>
          <w:b/>
        </w:rPr>
      </w:pPr>
    </w:p>
    <w:p>
      <w:pPr>
        <w:spacing w:line="360" w:lineRule="auto"/>
        <w:jc w:val="center"/>
        <w:rPr>
          <w:rFonts w:asciiTheme="minorEastAsia" w:hAnsiTheme="minorEastAsia" w:eastAsiaTheme="minorEastAsia" w:cstheme="minorEastAsia"/>
          <w:b/>
        </w:rPr>
      </w:pPr>
    </w:p>
    <w:p>
      <w:pPr>
        <w:spacing w:line="360" w:lineRule="auto"/>
        <w:jc w:val="center"/>
        <w:rPr>
          <w:rFonts w:asciiTheme="minorEastAsia" w:hAnsiTheme="minorEastAsia" w:eastAsiaTheme="minorEastAsia" w:cstheme="minorEastAsia"/>
          <w:b/>
        </w:rPr>
      </w:pPr>
    </w:p>
    <w:p>
      <w:pPr>
        <w:spacing w:line="360" w:lineRule="auto"/>
        <w:jc w:val="cente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r>
        <w:rPr>
          <w:rFonts w:hint="eastAsia" w:asciiTheme="minorEastAsia" w:hAnsiTheme="minorEastAsia" w:eastAsiaTheme="minorEastAsia" w:cstheme="minorEastAsia"/>
          <w:b/>
          <w:sz w:val="30"/>
          <w:szCs w:val="30"/>
        </w:rPr>
        <w:t>第二部分　建设工程造价咨询合同通用条款</w:t>
      </w:r>
    </w:p>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rPr>
        <w:t>略</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b/>
          <w:sz w:val="30"/>
          <w:szCs w:val="30"/>
        </w:rPr>
        <w:t>第三部分　建设工程造价咨询合同专用条款</w:t>
      </w:r>
    </w:p>
    <w:p>
      <w:pPr>
        <w:spacing w:line="360" w:lineRule="auto"/>
        <w:rPr>
          <w:rFonts w:asciiTheme="minorEastAsia" w:hAnsiTheme="minorEastAsia" w:eastAsiaTheme="minorEastAsia" w:cstheme="minorEastAsia"/>
          <w:sz w:val="24"/>
        </w:rPr>
      </w:pPr>
    </w:p>
    <w:p>
      <w:pPr>
        <w:tabs>
          <w:tab w:val="left" w:pos="1260"/>
        </w:tabs>
        <w:adjustRightInd w:val="0"/>
        <w:snapToGrid w:val="0"/>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 xml:space="preserve">第一条 </w:t>
      </w:r>
      <w:r>
        <w:rPr>
          <w:rFonts w:hint="eastAsia" w:asciiTheme="minorEastAsia" w:hAnsiTheme="minorEastAsia" w:eastAsiaTheme="minorEastAsia" w:cstheme="minorEastAsia"/>
          <w:szCs w:val="21"/>
        </w:rPr>
        <w:t>本合同适用的法律、法规及工程造价计价办法和规定</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1．适用法律和法规：</w:t>
      </w:r>
      <w:r>
        <w:rPr>
          <w:rFonts w:hint="eastAsia" w:asciiTheme="minorEastAsia" w:hAnsiTheme="minorEastAsia" w:eastAsiaTheme="minorEastAsia" w:cstheme="minorEastAsia"/>
          <w:szCs w:val="21"/>
          <w:u w:val="single"/>
        </w:rPr>
        <w:t>《中华人民共和国民法典》、《中华人民共和国建筑法》、《中华人民共和国招标投标法》及其他有关法律、法规。  　</w:t>
      </w:r>
    </w:p>
    <w:p>
      <w:pPr>
        <w:adjustRightInd w:val="0"/>
        <w:snapToGrid w:val="0"/>
        <w:spacing w:line="360" w:lineRule="auto"/>
        <w:ind w:firstLine="420" w:firstLineChars="200"/>
        <w:rPr>
          <w:rFonts w:asciiTheme="minorEastAsia" w:hAnsiTheme="minorEastAsia" w:eastAsiaTheme="minorEastAsia" w:cstheme="minorEastAsia"/>
          <w:b/>
          <w:szCs w:val="21"/>
          <w:u w:val="single"/>
        </w:rPr>
      </w:pPr>
      <w:r>
        <w:rPr>
          <w:rFonts w:hint="eastAsia" w:asciiTheme="minorEastAsia" w:hAnsiTheme="minorEastAsia" w:eastAsiaTheme="minorEastAsia" w:cstheme="minorEastAsia"/>
          <w:szCs w:val="21"/>
        </w:rPr>
        <w:t>2．工程造价计价办法：</w:t>
      </w:r>
      <w:r>
        <w:rPr>
          <w:rFonts w:hint="eastAsia" w:asciiTheme="minorEastAsia" w:hAnsiTheme="minorEastAsia" w:eastAsiaTheme="minorEastAsia" w:cstheme="minorEastAsia"/>
          <w:szCs w:val="21"/>
          <w:u w:val="single"/>
        </w:rPr>
        <w:t>　2014年《江苏省建筑与装饰工程计价定额》、2014年《江苏省安装工程计价定额》、2014年《江苏省市政工程计价定额》、2007年《江苏省仿古建筑与园林工程计价表》、2009年《江苏省房屋修缮工程计价表》、2014年《江苏省建设工程费用定额》、《管道更新施工定额》及其它相关计价文件规定。</w:t>
      </w:r>
    </w:p>
    <w:p>
      <w:pPr>
        <w:adjustRightInd w:val="0"/>
        <w:snapToGrid w:val="0"/>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3.标准规范：</w:t>
      </w:r>
      <w:r>
        <w:rPr>
          <w:rFonts w:hint="eastAsia" w:asciiTheme="minorEastAsia" w:hAnsiTheme="minorEastAsia" w:eastAsiaTheme="minorEastAsia" w:cstheme="minorEastAsia"/>
          <w:szCs w:val="21"/>
          <w:u w:val="single"/>
        </w:rPr>
        <w:t xml:space="preserve">《建设工程工程量清单计价规范》（GB50500—2013）、《房屋建筑与装饰工程工程量计算规范》（GB50854—2013）、《通用安装工程工程量计算规范》（GB50856—2013）、《市政工程工程量计算规范》（GB50857—2013）、《园林绿化工程工程量计算规范》（GB50858—2013）等。 </w:t>
      </w:r>
    </w:p>
    <w:p>
      <w:pPr>
        <w:adjustRightInd w:val="0"/>
        <w:snapToGrid w:val="0"/>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 xml:space="preserve">第二条 </w:t>
      </w:r>
      <w:r>
        <w:rPr>
          <w:rFonts w:hint="eastAsia" w:asciiTheme="minorEastAsia" w:hAnsiTheme="minorEastAsia" w:eastAsiaTheme="minorEastAsia" w:cstheme="minorEastAsia"/>
          <w:szCs w:val="21"/>
        </w:rPr>
        <w:t xml:space="preserve"> 本合同咨询项目负责人由</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担任，负责本咨询项目的具体实施及与委托方的联系等事宜。 项目负责人和技术人员必须在投标书中明确的拟派人员范围中选定。</w:t>
      </w:r>
    </w:p>
    <w:p>
      <w:pPr>
        <w:adjustRightInd w:val="0"/>
        <w:snapToGrid w:val="0"/>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第三条</w:t>
      </w:r>
      <w:r>
        <w:rPr>
          <w:rFonts w:hint="eastAsia" w:asciiTheme="minorEastAsia" w:hAnsiTheme="minorEastAsia" w:eastAsiaTheme="minorEastAsia" w:cstheme="minorEastAsia"/>
          <w:szCs w:val="21"/>
        </w:rPr>
        <w:t>　建设工程造价咨询业务范围及内容</w:t>
      </w:r>
    </w:p>
    <w:p>
      <w:pPr>
        <w:adjustRightInd w:val="0"/>
        <w:snapToGrid w:val="0"/>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1．委托工程造价咨询的工程范围：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b/>
          <w:bCs/>
          <w:szCs w:val="21"/>
          <w:u w:val="single"/>
        </w:rPr>
        <w:t xml:space="preserve"> </w:t>
      </w:r>
      <w:r>
        <w:rPr>
          <w:rFonts w:hint="eastAsia" w:asciiTheme="minorEastAsia" w:hAnsiTheme="minorEastAsia" w:eastAsiaTheme="minorEastAsia" w:cstheme="minorEastAsia"/>
          <w:szCs w:val="21"/>
        </w:rPr>
        <w:t>工程的竣工结算审计复审。</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2.委托工程造价咨询业务的内容（下列内容有委托的在□中打√）：　                                  </w:t>
      </w:r>
    </w:p>
    <w:p>
      <w:pPr>
        <w:adjustRightInd w:val="0"/>
        <w:snapToGrid w:val="0"/>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2.1 建设工程造价咨询业务</w:t>
      </w:r>
    </w:p>
    <w:p>
      <w:pPr>
        <w:adjustRightInd w:val="0"/>
        <w:snapToGrid w:val="0"/>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投资决策阶段</w:t>
      </w:r>
    </w:p>
    <w:p>
      <w:pPr>
        <w:tabs>
          <w:tab w:val="left" w:pos="0"/>
        </w:tabs>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□编制建设工程投资估算       审核建设工程投资估算</w:t>
      </w:r>
    </w:p>
    <w:p>
      <w:pPr>
        <w:tabs>
          <w:tab w:val="left" w:pos="476"/>
        </w:tabs>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□建设工程项目经济评价       其它</w:t>
      </w:r>
    </w:p>
    <w:p>
      <w:pPr>
        <w:adjustRightInd w:val="0"/>
        <w:snapToGrid w:val="0"/>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工程设计阶段</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□编制建设工程概算        □审核建设工程概算</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vanish/>
          <w:szCs w:val="21"/>
        </w:rPr>
        <w:t>□</w:t>
      </w:r>
      <w:r>
        <w:rPr>
          <w:rFonts w:hint="eastAsia" w:asciiTheme="minorEastAsia" w:hAnsiTheme="minorEastAsia" w:eastAsiaTheme="minorEastAsia" w:cstheme="minorEastAsia"/>
          <w:szCs w:val="21"/>
        </w:rPr>
        <w:t>设计方案经济比较        其它</w:t>
      </w:r>
    </w:p>
    <w:p>
      <w:pPr>
        <w:adjustRightInd w:val="0"/>
        <w:snapToGrid w:val="0"/>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工程发承包/招投标阶段</w:t>
      </w:r>
    </w:p>
    <w:p>
      <w:pPr>
        <w:tabs>
          <w:tab w:val="left" w:pos="0"/>
        </w:tabs>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□审核招标文件造价控制条款</w:t>
      </w:r>
    </w:p>
    <w:p>
      <w:pPr>
        <w:tabs>
          <w:tab w:val="left" w:pos="0"/>
        </w:tabs>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□编制工程量清单   □编制招标控制价/发包工程预算（标底）              </w:t>
      </w:r>
    </w:p>
    <w:p>
      <w:pPr>
        <w:tabs>
          <w:tab w:val="left" w:pos="0"/>
        </w:tabs>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□审核工程量清单   □审核招标控制价/发包工程预算（标底）</w:t>
      </w:r>
    </w:p>
    <w:p>
      <w:pPr>
        <w:tabs>
          <w:tab w:val="left" w:pos="0"/>
        </w:tabs>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□参与审查经济标   □审核合同条款</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□其它             </w:t>
      </w:r>
    </w:p>
    <w:p>
      <w:pPr>
        <w:adjustRightInd w:val="0"/>
        <w:snapToGrid w:val="0"/>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工程施工阶段</w:t>
      </w:r>
    </w:p>
    <w:p>
      <w:pPr>
        <w:tabs>
          <w:tab w:val="left" w:pos="0"/>
        </w:tabs>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□分析合同价款（投标报价/发包工程预算），确定工程造价控制目标，编制资金使用计划       □审核工程计量与价款支付        □审核工程索赔与签证费用</w:t>
      </w:r>
    </w:p>
    <w:p>
      <w:pPr>
        <w:tabs>
          <w:tab w:val="left" w:pos="0"/>
        </w:tabs>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□审核工程价款调整     □业主分包的专业工程招标咨询，材料设备询价</w:t>
      </w:r>
    </w:p>
    <w:p>
      <w:pPr>
        <w:tabs>
          <w:tab w:val="left" w:pos="0"/>
        </w:tabs>
        <w:adjustRightInd w:val="0"/>
        <w:snapToGrid w:val="0"/>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□分析工程投资偏差，调整工程造价控制目标      </w:t>
      </w:r>
      <w:r>
        <w:rPr>
          <w:rFonts w:hint="eastAsia" w:asciiTheme="minorEastAsia" w:hAnsiTheme="minorEastAsia" w:eastAsiaTheme="minorEastAsia" w:cstheme="minorEastAsia"/>
          <w:szCs w:val="21"/>
        </w:rPr>
        <w:sym w:font="Wingdings 2" w:char="F052"/>
      </w:r>
      <w:r>
        <w:rPr>
          <w:rFonts w:hint="eastAsia" w:asciiTheme="minorEastAsia" w:hAnsiTheme="minorEastAsia" w:eastAsiaTheme="minorEastAsia" w:cstheme="minorEastAsia"/>
          <w:szCs w:val="21"/>
        </w:rPr>
        <w:t xml:space="preserve">其它             </w:t>
      </w:r>
    </w:p>
    <w:p>
      <w:pPr>
        <w:adjustRightInd w:val="0"/>
        <w:snapToGrid w:val="0"/>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工程竣工阶段</w:t>
      </w:r>
    </w:p>
    <w:p>
      <w:pPr>
        <w:tabs>
          <w:tab w:val="left" w:pos="0"/>
        </w:tabs>
        <w:adjustRightInd w:val="0"/>
        <w:snapToGrid w:val="0"/>
        <w:spacing w:line="360"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 xml:space="preserve">□编制工程竣工结算书    □审核工程竣工结算     </w:t>
      </w:r>
      <w:r>
        <w:rPr>
          <w:rFonts w:hint="eastAsia" w:asciiTheme="minorEastAsia" w:hAnsiTheme="minorEastAsia" w:eastAsiaTheme="minorEastAsia" w:cstheme="minorEastAsia"/>
          <w:szCs w:val="21"/>
        </w:rPr>
        <w:sym w:font="Wingdings 2" w:char="F052"/>
      </w:r>
      <w:r>
        <w:rPr>
          <w:rFonts w:hint="eastAsia" w:asciiTheme="minorEastAsia" w:hAnsiTheme="minorEastAsia" w:eastAsiaTheme="minorEastAsia" w:cstheme="minorEastAsia"/>
          <w:szCs w:val="21"/>
        </w:rPr>
        <w:t xml:space="preserve">其它            </w:t>
      </w:r>
    </w:p>
    <w:p>
      <w:pPr>
        <w:adjustRightInd w:val="0"/>
        <w:snapToGrid w:val="0"/>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2.2 造价咨询其它业务</w:t>
      </w:r>
    </w:p>
    <w:p>
      <w:pPr>
        <w:tabs>
          <w:tab w:val="left" w:pos="0"/>
        </w:tabs>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□工程造价鉴定及仲裁咨询      □编制工程造价计价依据</w:t>
      </w:r>
    </w:p>
    <w:p>
      <w:pPr>
        <w:tabs>
          <w:tab w:val="left" w:pos="0"/>
        </w:tabs>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□提供工程造价信息服务        </w:t>
      </w:r>
      <w:r>
        <w:rPr>
          <w:rFonts w:hint="eastAsia" w:asciiTheme="minorEastAsia" w:hAnsiTheme="minorEastAsia" w:eastAsiaTheme="minorEastAsia" w:cstheme="minorEastAsia"/>
          <w:szCs w:val="21"/>
        </w:rPr>
        <w:sym w:font="Wingdings 2" w:char="F052"/>
      </w:r>
      <w:r>
        <w:rPr>
          <w:rFonts w:hint="eastAsia" w:asciiTheme="minorEastAsia" w:hAnsiTheme="minorEastAsia" w:eastAsiaTheme="minorEastAsia" w:cstheme="minorEastAsia"/>
          <w:szCs w:val="21"/>
        </w:rPr>
        <w:t>其它：工程结算审计复审</w:t>
      </w:r>
    </w:p>
    <w:p>
      <w:pPr>
        <w:tabs>
          <w:tab w:val="left" w:pos="0"/>
        </w:tabs>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3.委托工程造价咨询业务的内容</w:t>
      </w:r>
    </w:p>
    <w:p>
      <w:pPr>
        <w:tabs>
          <w:tab w:val="left" w:pos="0"/>
        </w:tabs>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3.1工程跟踪审计</w:t>
      </w:r>
    </w:p>
    <w:p>
      <w:pPr>
        <w:tabs>
          <w:tab w:val="left" w:pos="0"/>
        </w:tabs>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3.1.1招标采购环节：重点是审查招标文件制订；清单及标底编制；拦标价设置；合同主要条款等。                                              </w:t>
      </w:r>
    </w:p>
    <w:p>
      <w:pPr>
        <w:tabs>
          <w:tab w:val="left" w:pos="0"/>
        </w:tabs>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3.1.2合同签订环节：重点审查合同要素是否齐全；与招标要求相比有无实质性变动；中标单位的投标承诺有无体现。                              </w:t>
      </w:r>
    </w:p>
    <w:p>
      <w:pPr>
        <w:tabs>
          <w:tab w:val="left" w:pos="0"/>
        </w:tabs>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3.1.3变更、签证环节：重点审查变更程序和手续的完备性；签证工程量、价格计算的正确性。                                                  </w:t>
      </w:r>
    </w:p>
    <w:p>
      <w:pPr>
        <w:tabs>
          <w:tab w:val="left" w:pos="0"/>
        </w:tabs>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3.1.4工程计量环节：重点审查申报内容、额度是否符合项目实际和合同约定；数量、价格计算是否正确。</w:t>
      </w:r>
    </w:p>
    <w:p>
      <w:pPr>
        <w:tabs>
          <w:tab w:val="left" w:pos="0"/>
        </w:tabs>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3.1.5工程结算环节：重点审查是否符合结算条件；是否严格执行合同约定的结算原则和相关计价规定；计价依据是否充分；计算是否正确；工期、质量等是否达到合同要求；合同约定的奖罚条款是否落实。</w:t>
      </w:r>
    </w:p>
    <w:p>
      <w:pPr>
        <w:tabs>
          <w:tab w:val="left" w:pos="0"/>
        </w:tabs>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3.1.6审核合同价、概算价的执行情况，在跟踪过程中要随时对照分析，对可能导致投资额超过合同价5%的工程变更、采用新工艺、新材料等情况应及时向委托人、建设单位及其主管部门报告，并督促项目建设单位及时办理变更报批手续。</w:t>
      </w:r>
    </w:p>
    <w:p>
      <w:pPr>
        <w:tabs>
          <w:tab w:val="left" w:pos="0"/>
        </w:tabs>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3.1.7项目审计完成后，出具综合审计报告，并按照造价咨询档案管理的规定整理和装订项目审计档案。</w:t>
      </w:r>
    </w:p>
    <w:p>
      <w:pPr>
        <w:tabs>
          <w:tab w:val="left" w:pos="0"/>
        </w:tabs>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3.1.8提供其他与本工程投资造价控制相关的咨询服务；现行工程审计相关的法律、法规、规章及有关规定要求审计的其它内容。   </w:t>
      </w:r>
    </w:p>
    <w:p>
      <w:pPr>
        <w:adjustRightInd w:val="0"/>
        <w:snapToGrid w:val="0"/>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第四条</w:t>
      </w:r>
      <w:r>
        <w:rPr>
          <w:rFonts w:hint="eastAsia" w:asciiTheme="minorEastAsia" w:hAnsiTheme="minorEastAsia" w:eastAsiaTheme="minorEastAsia" w:cstheme="minorEastAsia"/>
          <w:szCs w:val="21"/>
        </w:rPr>
        <w:t xml:space="preserve">  实施工程施工阶段造价咨询业务，要求咨询人常驻施工现场时，由委托人提供下列必要的办公条件：</w:t>
      </w:r>
      <w:r>
        <w:rPr>
          <w:rFonts w:hint="eastAsia" w:asciiTheme="minorEastAsia" w:hAnsiTheme="minorEastAsia" w:eastAsiaTheme="minorEastAsia" w:cstheme="minorEastAsia"/>
          <w:szCs w:val="21"/>
          <w:u w:val="single"/>
        </w:rPr>
        <w:t xml:space="preserve"> /                                     </w:t>
      </w:r>
    </w:p>
    <w:p>
      <w:pPr>
        <w:adjustRightInd w:val="0"/>
        <w:snapToGrid w:val="0"/>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第五条</w:t>
      </w:r>
      <w:r>
        <w:rPr>
          <w:rFonts w:hint="eastAsia" w:asciiTheme="minorEastAsia" w:hAnsiTheme="minorEastAsia" w:eastAsiaTheme="minorEastAsia" w:cstheme="minorEastAsia"/>
          <w:szCs w:val="21"/>
        </w:rPr>
        <w:t>　双方约定的委托人和咨询人应提供的建设工程造价咨询材料及提供时间：</w:t>
      </w:r>
    </w:p>
    <w:p>
      <w:pPr>
        <w:adjustRightInd w:val="0"/>
        <w:snapToGrid w:val="0"/>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i/>
          <w:kern w:val="0"/>
          <w:szCs w:val="21"/>
          <w:u w:val="single"/>
        </w:rPr>
        <w:t>　</w:t>
      </w:r>
      <w:r>
        <w:rPr>
          <w:rFonts w:hint="eastAsia" w:asciiTheme="minorEastAsia" w:hAnsiTheme="minorEastAsia" w:eastAsiaTheme="minorEastAsia" w:cstheme="minorEastAsia"/>
          <w:kern w:val="0"/>
          <w:szCs w:val="21"/>
          <w:u w:val="single"/>
        </w:rPr>
        <w:t>1.委托人提供图纸、招标文件、投标文件、施工合同等，</w:t>
      </w:r>
      <w:r>
        <w:rPr>
          <w:rFonts w:hint="eastAsia" w:asciiTheme="minorEastAsia" w:hAnsiTheme="minorEastAsia" w:eastAsiaTheme="minorEastAsia" w:cstheme="minorEastAsia"/>
          <w:bCs/>
          <w:szCs w:val="21"/>
          <w:u w:val="single"/>
        </w:rPr>
        <w:t>及时按审计要求提供工程概算审查和跟踪审计所需资料，提供时间以不影响审计工作开展为前提。</w:t>
      </w:r>
      <w:r>
        <w:rPr>
          <w:rFonts w:hint="eastAsia" w:asciiTheme="minorEastAsia" w:hAnsiTheme="minorEastAsia" w:eastAsiaTheme="minorEastAsia" w:cstheme="minorEastAsia"/>
          <w:szCs w:val="21"/>
          <w:u w:val="single"/>
        </w:rPr>
        <w:t>　　　　　　　　　　　　　　　　　　　　　　　　　　　　　　　　</w:t>
      </w:r>
    </w:p>
    <w:p>
      <w:pPr>
        <w:adjustRightInd w:val="0"/>
        <w:snapToGrid w:val="0"/>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u w:val="single"/>
        </w:rPr>
        <w:t>　 2.咨询人在委托项目实施过程中，咨询人应按照规定和委托人要求及时完成各项审计工作。</w:t>
      </w:r>
    </w:p>
    <w:p>
      <w:pPr>
        <w:adjustRightInd w:val="0"/>
        <w:snapToGrid w:val="0"/>
        <w:spacing w:line="360" w:lineRule="auto"/>
        <w:ind w:firstLine="422"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第六条</w:t>
      </w:r>
      <w:r>
        <w:rPr>
          <w:rFonts w:hint="eastAsia" w:asciiTheme="minorEastAsia" w:hAnsiTheme="minorEastAsia" w:eastAsiaTheme="minorEastAsia" w:cstheme="minorEastAsia"/>
          <w:szCs w:val="21"/>
        </w:rPr>
        <w:t>　委托人应在</w:t>
      </w:r>
      <w:r>
        <w:rPr>
          <w:rFonts w:hint="eastAsia" w:asciiTheme="minorEastAsia" w:hAnsiTheme="minorEastAsia" w:eastAsiaTheme="minorEastAsia" w:cstheme="minorEastAsia"/>
          <w:szCs w:val="21"/>
          <w:u w:val="single"/>
        </w:rPr>
        <w:t xml:space="preserve">　3  </w:t>
      </w:r>
      <w:r>
        <w:rPr>
          <w:rFonts w:hint="eastAsia" w:asciiTheme="minorEastAsia" w:hAnsiTheme="minorEastAsia" w:eastAsiaTheme="minorEastAsia" w:cstheme="minorEastAsia"/>
          <w:szCs w:val="21"/>
        </w:rPr>
        <w:t>日内对咨询人书面提交并要求做出答复的事宜做出书面答复。</w:t>
      </w:r>
    </w:p>
    <w:p>
      <w:pPr>
        <w:adjustRightInd w:val="0"/>
        <w:snapToGrid w:val="0"/>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第七条</w:t>
      </w:r>
      <w:r>
        <w:rPr>
          <w:rFonts w:hint="eastAsia" w:asciiTheme="minorEastAsia" w:hAnsiTheme="minorEastAsia" w:eastAsiaTheme="minorEastAsia" w:cstheme="minorEastAsia"/>
          <w:szCs w:val="21"/>
        </w:rPr>
        <w:t xml:space="preserve">  委托人授权</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为本咨询业务的代表，负责与咨询人联系。</w:t>
      </w:r>
    </w:p>
    <w:p>
      <w:pPr>
        <w:adjustRightInd w:val="0"/>
        <w:snapToGrid w:val="0"/>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第八条</w:t>
      </w:r>
      <w:r>
        <w:rPr>
          <w:rFonts w:hint="eastAsia" w:asciiTheme="minorEastAsia" w:hAnsiTheme="minorEastAsia" w:eastAsiaTheme="minorEastAsia" w:cstheme="minorEastAsia"/>
          <w:szCs w:val="21"/>
        </w:rPr>
        <w:t>　咨询人在其责任期内如果因自身原因给委托方造成经济损失时，同意按以下办法承担责任，向委托方支付赔偿金：</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赔偿金=直接经济损失　× 酬金比率（扣除税金）。</w:t>
      </w:r>
    </w:p>
    <w:p>
      <w:pPr>
        <w:adjustRightInd w:val="0"/>
        <w:snapToGrid w:val="0"/>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第九条</w:t>
      </w:r>
      <w:r>
        <w:rPr>
          <w:rFonts w:hint="eastAsia" w:asciiTheme="minorEastAsia" w:hAnsiTheme="minorEastAsia" w:eastAsiaTheme="minorEastAsia" w:cstheme="minorEastAsia"/>
          <w:szCs w:val="21"/>
        </w:rPr>
        <w:t xml:space="preserve">  委托人对其提供资料的真实性、完整性和有效性负责，由此造成的咨询人工作的缺陷或失误及额外工作由委托人负责对咨询人进行赔偿。 本合同约定的资料完整提供时间为</w:t>
      </w:r>
      <w:r>
        <w:rPr>
          <w:rFonts w:hint="eastAsia" w:asciiTheme="minorEastAsia" w:hAnsiTheme="minorEastAsia" w:eastAsiaTheme="minorEastAsia" w:cstheme="minorEastAsia"/>
          <w:szCs w:val="21"/>
          <w:u w:val="single"/>
        </w:rPr>
        <w:t xml:space="preserve"> 2022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adjustRightInd w:val="0"/>
        <w:snapToGrid w:val="0"/>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第十条</w:t>
      </w:r>
      <w:r>
        <w:rPr>
          <w:rFonts w:hint="eastAsia" w:asciiTheme="minorEastAsia" w:hAnsiTheme="minorEastAsia" w:eastAsiaTheme="minorEastAsia" w:cstheme="minorEastAsia"/>
          <w:szCs w:val="21"/>
        </w:rPr>
        <w:t xml:space="preserve">  咨询人发生额外工作包括：</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□由于委托人提供的图纸等条件资料不全或发生变化，咨询人根据变化的条件资料发生的重复咨询工作；</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□实施工程施工阶段造价咨询业务，由于委托人或第三人的原因工程建设周期延长；</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□其它。</w:t>
      </w:r>
    </w:p>
    <w:p>
      <w:pPr>
        <w:adjustRightInd w:val="0"/>
        <w:snapToGrid w:val="0"/>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第十一条</w:t>
      </w:r>
      <w:r>
        <w:rPr>
          <w:rFonts w:hint="eastAsia" w:asciiTheme="minorEastAsia" w:hAnsiTheme="minorEastAsia" w:eastAsiaTheme="minorEastAsia" w:cstheme="minorEastAsia"/>
          <w:szCs w:val="21"/>
        </w:rPr>
        <w:t>　委托人同意按以下的计算方法、支付时间与金额，支付咨询人的正常服务酬金：</w:t>
      </w:r>
    </w:p>
    <w:p>
      <w:pPr>
        <w:pStyle w:val="42"/>
        <w:numPr>
          <w:ilvl w:val="0"/>
          <w:numId w:val="1"/>
        </w:numPr>
        <w:adjustRightInd w:val="0"/>
        <w:snapToGrid w:val="0"/>
        <w:spacing w:line="360" w:lineRule="auto"/>
        <w:ind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正常酬金计算方法</w:t>
      </w:r>
    </w:p>
    <w:p>
      <w:pPr>
        <w:adjustRightInd w:val="0"/>
        <w:snapToGrid w:val="0"/>
        <w:spacing w:line="360" w:lineRule="auto"/>
        <w:ind w:firstLine="420" w:firstLineChars="200"/>
        <w:rPr>
          <w:rFonts w:asciiTheme="minorEastAsia" w:hAnsiTheme="minorEastAsia" w:eastAsiaTheme="minorEastAsia" w:cstheme="minorEastAsia"/>
          <w:bCs/>
          <w:szCs w:val="21"/>
          <w:u w:val="single"/>
        </w:rPr>
      </w:pPr>
      <w:r>
        <w:rPr>
          <w:rFonts w:hint="eastAsia" w:ascii="宋体" w:hAnsi="宋体" w:cs="宋体"/>
          <w:bCs/>
          <w:szCs w:val="21"/>
          <w:u w:val="single"/>
        </w:rPr>
        <w:t xml:space="preserve">           </w:t>
      </w:r>
      <w:r>
        <w:rPr>
          <w:rFonts w:hint="eastAsia" w:asciiTheme="minorEastAsia" w:hAnsiTheme="minorEastAsia" w:eastAsiaTheme="minorEastAsia" w:cstheme="minorEastAsia"/>
          <w:bCs/>
          <w:szCs w:val="21"/>
          <w:u w:val="single"/>
        </w:rPr>
        <w:t xml:space="preserve">                                   </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2、正常酬金支付方式</w:t>
      </w:r>
    </w:p>
    <w:p>
      <w:pPr>
        <w:adjustRightInd w:val="0"/>
        <w:snapToGrid w:val="0"/>
        <w:spacing w:line="380" w:lineRule="exact"/>
        <w:ind w:firstLine="420" w:firstLineChars="200"/>
        <w:rPr>
          <w:rFonts w:asciiTheme="minorEastAsia" w:hAnsiTheme="minorEastAsia" w:eastAsiaTheme="minorEastAsia" w:cstheme="minorEastAsia"/>
          <w:bCs/>
          <w:szCs w:val="21"/>
          <w:u w:val="single"/>
        </w:rPr>
      </w:pPr>
      <w:r>
        <w:rPr>
          <w:rFonts w:hint="eastAsia" w:asciiTheme="minorEastAsia" w:hAnsiTheme="minorEastAsia" w:eastAsiaTheme="minorEastAsia" w:cstheme="minorEastAsia"/>
          <w:bCs/>
          <w:szCs w:val="21"/>
          <w:u w:val="single"/>
        </w:rPr>
        <w:t>咨询人出具项目最终审计报告，并提交审计资料电子档案，委托人一次性支付审计服务费，咨询人提供等额发票。</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3、其他约定</w:t>
      </w:r>
    </w:p>
    <w:p>
      <w:pPr>
        <w:adjustRightInd w:val="0"/>
        <w:snapToGrid w:val="0"/>
        <w:spacing w:line="380" w:lineRule="exact"/>
        <w:ind w:firstLine="420" w:firstLineChars="200"/>
        <w:rPr>
          <w:rFonts w:asciiTheme="minorEastAsia" w:hAnsiTheme="minorEastAsia" w:eastAsiaTheme="minorEastAsia" w:cstheme="minorEastAsia"/>
          <w:bCs/>
          <w:szCs w:val="21"/>
          <w:u w:val="single"/>
        </w:rPr>
      </w:pPr>
      <w:r>
        <w:rPr>
          <w:rFonts w:hint="eastAsia" w:asciiTheme="minorEastAsia" w:hAnsiTheme="minorEastAsia" w:eastAsiaTheme="minorEastAsia" w:cstheme="minorEastAsia"/>
          <w:szCs w:val="21"/>
        </w:rPr>
        <w:t>　附加服务酬金</w:t>
      </w:r>
      <w:r>
        <w:rPr>
          <w:rFonts w:hint="eastAsia" w:asciiTheme="minorEastAsia" w:hAnsiTheme="minorEastAsia" w:eastAsiaTheme="minorEastAsia" w:cstheme="minorEastAsia"/>
          <w:bCs/>
          <w:szCs w:val="21"/>
          <w:u w:val="single"/>
        </w:rPr>
        <w:t>：/</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额外服务酬金：</w:t>
      </w:r>
      <w:r>
        <w:rPr>
          <w:rFonts w:hint="eastAsia" w:asciiTheme="minorEastAsia" w:hAnsiTheme="minorEastAsia" w:eastAsiaTheme="minorEastAsia" w:cstheme="minorEastAsia"/>
          <w:szCs w:val="21"/>
          <w:u w:val="single"/>
        </w:rPr>
        <w:t xml:space="preserve">   /                                                          </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pPr>
        <w:adjustRightInd w:val="0"/>
        <w:snapToGrid w:val="0"/>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第十二条</w:t>
      </w:r>
      <w:r>
        <w:rPr>
          <w:rFonts w:hint="eastAsia" w:asciiTheme="minorEastAsia" w:hAnsiTheme="minorEastAsia" w:eastAsiaTheme="minorEastAsia" w:cstheme="minorEastAsia"/>
          <w:szCs w:val="21"/>
        </w:rPr>
        <w:t>　双方同意用</w:t>
      </w:r>
      <w:r>
        <w:rPr>
          <w:rFonts w:hint="eastAsia" w:asciiTheme="minorEastAsia" w:hAnsiTheme="minorEastAsia" w:eastAsiaTheme="minorEastAsia" w:cstheme="minorEastAsia"/>
          <w:szCs w:val="21"/>
          <w:u w:val="single"/>
        </w:rPr>
        <w:t>　</w:t>
      </w:r>
      <w:r>
        <w:rPr>
          <w:rFonts w:hint="eastAsia" w:ascii="宋体" w:hAnsi="宋体"/>
          <w:b/>
          <w:color w:val="000000"/>
          <w:u w:val="single"/>
        </w:rPr>
        <w:t>人民币（转账支票或现金）</w:t>
      </w:r>
      <w:r>
        <w:rPr>
          <w:rFonts w:hint="eastAsia" w:asciiTheme="minorEastAsia" w:hAnsiTheme="minorEastAsia" w:eastAsiaTheme="minorEastAsia" w:cstheme="minorEastAsia"/>
          <w:szCs w:val="21"/>
          <w:u w:val="single"/>
        </w:rPr>
        <w:t>　</w:t>
      </w:r>
      <w:r>
        <w:rPr>
          <w:rFonts w:hint="eastAsia" w:asciiTheme="minorEastAsia" w:hAnsiTheme="minorEastAsia" w:eastAsiaTheme="minorEastAsia" w:cstheme="minorEastAsia"/>
          <w:szCs w:val="21"/>
        </w:rPr>
        <w:t>支付酬金。</w:t>
      </w:r>
    </w:p>
    <w:p>
      <w:pPr>
        <w:adjustRightInd w:val="0"/>
        <w:snapToGrid w:val="0"/>
        <w:spacing w:line="360" w:lineRule="auto"/>
        <w:ind w:firstLine="422" w:firstLineChars="200"/>
        <w:rPr>
          <w:rFonts w:asciiTheme="minorEastAsia" w:hAnsiTheme="minorEastAsia" w:eastAsiaTheme="minorEastAsia" w:cstheme="minorEastAsia"/>
          <w:bCs/>
          <w:szCs w:val="21"/>
          <w:u w:val="single"/>
        </w:rPr>
      </w:pPr>
      <w:r>
        <w:rPr>
          <w:rFonts w:hint="eastAsia" w:asciiTheme="minorEastAsia" w:hAnsiTheme="minorEastAsia" w:eastAsiaTheme="minorEastAsia" w:cstheme="minorEastAsia"/>
          <w:b/>
          <w:szCs w:val="21"/>
        </w:rPr>
        <w:t>第十三条</w:t>
      </w:r>
      <w:r>
        <w:rPr>
          <w:rFonts w:hint="eastAsia" w:asciiTheme="minorEastAsia" w:hAnsiTheme="minorEastAsia" w:eastAsiaTheme="minorEastAsia" w:cstheme="minorEastAsia"/>
          <w:szCs w:val="21"/>
        </w:rPr>
        <w:t xml:space="preserve">  咨询人依据造价行业主管部门及国家的有关规定及要求开展造价咨询工作，咨询质量满足委托方及行业主管的要求。咨询人提交的咨询成果报告须文字清晰整齐，有较强的可复查性。为保证咨询质量，委托人与咨询人约定，时间、质量奖罚条款如下：</w:t>
      </w: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u w:val="single"/>
        </w:rPr>
        <w:t xml:space="preserve">     </w:t>
      </w:r>
    </w:p>
    <w:p>
      <w:pPr>
        <w:adjustRightInd w:val="0"/>
        <w:snapToGrid w:val="0"/>
        <w:spacing w:line="380" w:lineRule="exact"/>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Cs/>
          <w:szCs w:val="21"/>
          <w:u w:val="single"/>
        </w:rPr>
        <w:t xml:space="preserve">/                    </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r>
        <w:rPr>
          <w:rFonts w:hint="eastAsia" w:asciiTheme="minorEastAsia" w:hAnsiTheme="minorEastAsia" w:eastAsiaTheme="minorEastAsia" w:cstheme="minorEastAsia"/>
          <w:b/>
          <w:szCs w:val="21"/>
        </w:rPr>
        <w:t>第十四条</w:t>
      </w:r>
      <w:r>
        <w:rPr>
          <w:rFonts w:hint="eastAsia" w:asciiTheme="minorEastAsia" w:hAnsiTheme="minorEastAsia" w:eastAsiaTheme="minorEastAsia" w:cstheme="minorEastAsia"/>
          <w:szCs w:val="21"/>
        </w:rPr>
        <w:t>　建设工程造价咨询合同在履行过程中发生争议，委托人与咨询人应及时协商解决；如未能达成一致，可提交有关主管部门调解；协商或调解不成的，按下列第</w:t>
      </w:r>
      <w:r>
        <w:rPr>
          <w:rFonts w:hint="eastAsia" w:asciiTheme="minorEastAsia" w:hAnsiTheme="minorEastAsia" w:eastAsiaTheme="minorEastAsia" w:cstheme="minorEastAsia"/>
          <w:szCs w:val="21"/>
          <w:u w:val="single"/>
        </w:rPr>
        <w:t xml:space="preserve">  1     </w:t>
      </w:r>
      <w:r>
        <w:rPr>
          <w:rFonts w:hint="eastAsia" w:asciiTheme="minorEastAsia" w:hAnsiTheme="minorEastAsia" w:eastAsiaTheme="minorEastAsia" w:cstheme="minorEastAsia"/>
          <w:szCs w:val="21"/>
        </w:rPr>
        <w:t>种方式解决：</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1、提交</w:t>
      </w:r>
      <w:r>
        <w:rPr>
          <w:rFonts w:hint="eastAsia" w:asciiTheme="minorEastAsia" w:hAnsiTheme="minorEastAsia" w:eastAsiaTheme="minorEastAsia" w:cstheme="minorEastAsia"/>
          <w:szCs w:val="21"/>
          <w:u w:val="single"/>
        </w:rPr>
        <w:t>　　常州　　</w:t>
      </w:r>
      <w:r>
        <w:rPr>
          <w:rFonts w:hint="eastAsia" w:asciiTheme="minorEastAsia" w:hAnsiTheme="minorEastAsia" w:eastAsiaTheme="minorEastAsia" w:cstheme="minorEastAsia"/>
          <w:szCs w:val="21"/>
        </w:rPr>
        <w:t>仲裁委员会仲裁；</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2、依法向天宁人民法院起诉。</w:t>
      </w:r>
    </w:p>
    <w:p>
      <w:pPr>
        <w:adjustRightInd w:val="0"/>
        <w:snapToGrid w:val="0"/>
        <w:spacing w:line="52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第十五条 其它附加条款</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（一）在合同执行期间咨询人应保证派出人员稳定，不经委托人同意不得随意撤换审计人员。咨询人不能保证派出人员稳定且撤换人员不能胜任审计工作影响审计质量和进度的，委托方有权终止合同。</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（二）在合同执行期间，如发现咨询人有以下违约行为之一的，委托人有权终止合同，并按有关法律法规追究其相应责任：</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1.提供虚假信息误导或欺骗委托人，以谋取非法利益；</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2．提交的成果严重不实、严重滞后、不能满足委托人要求的；</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3．违反了诚实信用原则，不严格执行相关质量、服务和收费标准，损害委托人或相关用户单位的利益；</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4．拒绝接受委托部门及相关部门监督、检查、再评价的；</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5．出现信用危机、财务危机、生产经营危机甚至破产、倒闭，无法继续履行合同的；</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6．资质被降级或吊销的；</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（三）违反有关廉洁从业规定，接受被审计项目相关单位贿赂或者其它不正当利益，导致影响审计结果公正性，经查实，终止合同，涉及犯罪按有关规定移交司法机关依法处理。</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如本项目因故暂停（缓）开工，自本合同生效之日起超过一年后，审计工作仍无法开展的，本委托合同自行终止，双方互不产生违约费用；如本项目因故终止，审计费用按审定结果进行结算，不产生其他费用。</w:t>
      </w:r>
    </w:p>
    <w:p/>
    <w:p/>
    <w:p/>
    <w:p/>
    <w:p/>
    <w:p/>
    <w:p/>
    <w:p/>
    <w:p/>
    <w:p/>
    <w:p/>
    <w:p/>
    <w:p/>
    <w:p/>
    <w:p>
      <w:pPr>
        <w:pStyle w:val="21"/>
        <w:spacing w:line="360" w:lineRule="auto"/>
        <w:rPr>
          <w:rFonts w:ascii="宋体" w:hAnsi="宋体" w:eastAsia="宋体" w:cs="宋体"/>
          <w:kern w:val="0"/>
          <w:sz w:val="24"/>
          <w:szCs w:val="24"/>
        </w:rPr>
      </w:pPr>
      <w:bookmarkStart w:id="29" w:name="_Toc120261236"/>
      <w:bookmarkStart w:id="30" w:name="_Toc15898125"/>
      <w:r>
        <w:rPr>
          <w:rFonts w:hint="eastAsia" w:ascii="宋体" w:hAnsi="宋体" w:eastAsia="宋体" w:cs="宋体"/>
          <w:kern w:val="0"/>
          <w:sz w:val="24"/>
          <w:szCs w:val="24"/>
        </w:rPr>
        <w:t>第七章</w:t>
      </w:r>
      <w:bookmarkEnd w:id="23"/>
      <w:bookmarkEnd w:id="24"/>
      <w:bookmarkEnd w:id="25"/>
      <w:bookmarkEnd w:id="26"/>
      <w:r>
        <w:rPr>
          <w:rFonts w:hint="eastAsia" w:ascii="宋体" w:hAnsi="宋体" w:eastAsia="宋体" w:cs="宋体"/>
          <w:kern w:val="0"/>
          <w:sz w:val="24"/>
          <w:szCs w:val="24"/>
        </w:rPr>
        <w:t xml:space="preserve">   投标文件的组成</w:t>
      </w:r>
      <w:bookmarkEnd w:id="27"/>
      <w:bookmarkEnd w:id="29"/>
      <w:bookmarkEnd w:id="30"/>
    </w:p>
    <w:p>
      <w:pPr>
        <w:numPr>
          <w:ilvl w:val="0"/>
          <w:numId w:val="2"/>
        </w:numPr>
        <w:spacing w:line="360" w:lineRule="auto"/>
        <w:rPr>
          <w:rFonts w:ascii="宋体" w:hAnsi="宋体" w:cs="宋体"/>
          <w:bCs/>
          <w:sz w:val="24"/>
          <w:szCs w:val="24"/>
        </w:rPr>
      </w:pPr>
      <w:r>
        <w:rPr>
          <w:rFonts w:hint="eastAsia" w:ascii="宋体" w:hAnsi="宋体" w:cs="宋体"/>
          <w:bCs/>
          <w:sz w:val="24"/>
          <w:szCs w:val="24"/>
        </w:rPr>
        <w:t>投标文件封面</w:t>
      </w:r>
    </w:p>
    <w:p>
      <w:pPr>
        <w:numPr>
          <w:ilvl w:val="0"/>
          <w:numId w:val="2"/>
        </w:numPr>
        <w:spacing w:line="360" w:lineRule="auto"/>
        <w:rPr>
          <w:rFonts w:ascii="宋体" w:hAnsi="宋体" w:cs="宋体"/>
          <w:bCs/>
          <w:sz w:val="24"/>
          <w:szCs w:val="24"/>
        </w:rPr>
      </w:pPr>
      <w:r>
        <w:rPr>
          <w:rFonts w:hint="eastAsia" w:ascii="宋体" w:hAnsi="宋体" w:cs="宋体"/>
          <w:bCs/>
          <w:sz w:val="24"/>
          <w:szCs w:val="24"/>
        </w:rPr>
        <w:t>投标函</w:t>
      </w:r>
    </w:p>
    <w:p>
      <w:pPr>
        <w:numPr>
          <w:ilvl w:val="0"/>
          <w:numId w:val="2"/>
        </w:numPr>
        <w:spacing w:line="360" w:lineRule="auto"/>
        <w:rPr>
          <w:rFonts w:ascii="宋体" w:hAnsi="宋体" w:cs="宋体"/>
          <w:bCs/>
          <w:sz w:val="24"/>
          <w:szCs w:val="24"/>
        </w:rPr>
      </w:pPr>
      <w:r>
        <w:rPr>
          <w:rFonts w:hint="eastAsia" w:ascii="宋体" w:hAnsi="宋体" w:cs="宋体"/>
          <w:bCs/>
          <w:sz w:val="24"/>
          <w:szCs w:val="24"/>
        </w:rPr>
        <w:t>开标一览表</w:t>
      </w:r>
    </w:p>
    <w:p>
      <w:pPr>
        <w:numPr>
          <w:ilvl w:val="0"/>
          <w:numId w:val="2"/>
        </w:numPr>
        <w:spacing w:line="360" w:lineRule="auto"/>
        <w:rPr>
          <w:rFonts w:ascii="宋体" w:hAnsi="宋体" w:cs="宋体"/>
          <w:bCs/>
          <w:sz w:val="24"/>
          <w:szCs w:val="24"/>
        </w:rPr>
      </w:pPr>
      <w:r>
        <w:rPr>
          <w:rFonts w:hint="eastAsia" w:ascii="宋体" w:hAnsi="宋体" w:cs="宋体"/>
          <w:bCs/>
          <w:sz w:val="24"/>
          <w:szCs w:val="24"/>
        </w:rPr>
        <w:t>报价明细表</w:t>
      </w:r>
    </w:p>
    <w:p>
      <w:pPr>
        <w:numPr>
          <w:ilvl w:val="0"/>
          <w:numId w:val="2"/>
        </w:numPr>
        <w:spacing w:line="360" w:lineRule="auto"/>
        <w:rPr>
          <w:rFonts w:ascii="宋体" w:hAnsi="宋体" w:cs="宋体"/>
          <w:bCs/>
          <w:sz w:val="24"/>
          <w:szCs w:val="24"/>
        </w:rPr>
      </w:pPr>
      <w:r>
        <w:rPr>
          <w:rFonts w:hint="eastAsia" w:ascii="宋体" w:hAnsi="宋体" w:cs="宋体"/>
          <w:bCs/>
          <w:sz w:val="24"/>
          <w:szCs w:val="24"/>
        </w:rPr>
        <w:t>偏离表</w:t>
      </w:r>
    </w:p>
    <w:p>
      <w:pPr>
        <w:numPr>
          <w:ilvl w:val="0"/>
          <w:numId w:val="2"/>
        </w:numPr>
        <w:spacing w:line="360" w:lineRule="auto"/>
        <w:rPr>
          <w:rFonts w:ascii="宋体" w:hAnsi="宋体" w:cs="宋体"/>
          <w:bCs/>
          <w:sz w:val="24"/>
          <w:szCs w:val="24"/>
        </w:rPr>
      </w:pPr>
      <w:r>
        <w:rPr>
          <w:rFonts w:hint="eastAsia" w:ascii="宋体" w:hAnsi="宋体" w:cs="宋体"/>
          <w:bCs/>
          <w:sz w:val="24"/>
          <w:szCs w:val="24"/>
        </w:rPr>
        <w:t>拟投入人员汇总表</w:t>
      </w:r>
    </w:p>
    <w:p>
      <w:pPr>
        <w:numPr>
          <w:ilvl w:val="0"/>
          <w:numId w:val="2"/>
        </w:numPr>
        <w:spacing w:line="360" w:lineRule="auto"/>
        <w:rPr>
          <w:rFonts w:ascii="宋体" w:hAnsi="宋体" w:cs="宋体"/>
          <w:bCs/>
          <w:sz w:val="24"/>
          <w:szCs w:val="24"/>
        </w:rPr>
      </w:pPr>
      <w:r>
        <w:rPr>
          <w:rFonts w:hint="eastAsia" w:ascii="宋体" w:hAnsi="宋体" w:cs="宋体"/>
          <w:bCs/>
          <w:sz w:val="24"/>
          <w:szCs w:val="24"/>
        </w:rPr>
        <w:t>资格审查材料</w:t>
      </w:r>
    </w:p>
    <w:p>
      <w:pPr>
        <w:numPr>
          <w:ilvl w:val="0"/>
          <w:numId w:val="2"/>
        </w:numPr>
        <w:spacing w:line="360" w:lineRule="auto"/>
        <w:rPr>
          <w:rFonts w:ascii="宋体" w:hAnsi="宋体" w:cs="宋体"/>
          <w:bCs/>
          <w:sz w:val="24"/>
          <w:szCs w:val="24"/>
        </w:rPr>
      </w:pPr>
      <w:r>
        <w:rPr>
          <w:rFonts w:hint="eastAsia" w:ascii="宋体" w:hAnsi="宋体" w:cs="宋体"/>
          <w:bCs/>
          <w:sz w:val="24"/>
          <w:szCs w:val="24"/>
        </w:rPr>
        <w:t>投标人认为有必要提供的和评分所涉及的其他材料</w:t>
      </w:r>
    </w:p>
    <w:p>
      <w:pPr>
        <w:widowControl/>
        <w:spacing w:line="360" w:lineRule="auto"/>
        <w:ind w:firstLine="480" w:firstLineChars="200"/>
        <w:jc w:val="left"/>
        <w:rPr>
          <w:rFonts w:ascii="宋体" w:hAnsi="宋体" w:cs="宋体"/>
          <w:bCs/>
          <w:kern w:val="0"/>
          <w:sz w:val="24"/>
          <w:szCs w:val="24"/>
          <w:u w:val="single"/>
        </w:rPr>
      </w:pPr>
      <w:r>
        <w:rPr>
          <w:rFonts w:hint="eastAsia" w:ascii="宋体" w:hAnsi="宋体" w:cs="宋体"/>
          <w:bCs/>
          <w:kern w:val="0"/>
          <w:sz w:val="24"/>
          <w:szCs w:val="24"/>
          <w:u w:val="single"/>
        </w:rPr>
        <w:t>以上材料中投标文件封面、投标函、开标一览表必须按照格式要求填写，否则将作无效标处理。</w:t>
      </w:r>
    </w:p>
    <w:p>
      <w:pPr>
        <w:widowControl/>
        <w:spacing w:line="360" w:lineRule="auto"/>
        <w:ind w:firstLine="480" w:firstLineChars="200"/>
        <w:jc w:val="left"/>
        <w:rPr>
          <w:rFonts w:ascii="宋体" w:hAnsi="宋体" w:cs="宋体"/>
          <w:bCs/>
          <w:kern w:val="0"/>
          <w:sz w:val="24"/>
          <w:szCs w:val="24"/>
          <w:u w:val="single"/>
        </w:rPr>
      </w:pPr>
    </w:p>
    <w:p>
      <w:pPr>
        <w:widowControl/>
        <w:spacing w:line="360" w:lineRule="auto"/>
        <w:ind w:firstLine="480" w:firstLineChars="200"/>
        <w:jc w:val="left"/>
        <w:rPr>
          <w:rFonts w:ascii="宋体" w:hAnsi="宋体" w:cs="宋体"/>
          <w:bCs/>
          <w:kern w:val="0"/>
          <w:sz w:val="24"/>
          <w:szCs w:val="24"/>
          <w:u w:val="single"/>
        </w:rPr>
      </w:pPr>
    </w:p>
    <w:p>
      <w:pPr>
        <w:widowControl/>
        <w:spacing w:line="360" w:lineRule="auto"/>
        <w:ind w:firstLine="480" w:firstLineChars="200"/>
        <w:jc w:val="left"/>
        <w:rPr>
          <w:rFonts w:ascii="宋体" w:hAnsi="宋体" w:cs="宋体"/>
          <w:bCs/>
          <w:kern w:val="0"/>
          <w:sz w:val="24"/>
          <w:szCs w:val="24"/>
          <w:u w:val="single"/>
        </w:rPr>
      </w:pPr>
    </w:p>
    <w:p>
      <w:pPr>
        <w:widowControl/>
        <w:spacing w:line="360" w:lineRule="auto"/>
        <w:ind w:firstLine="480" w:firstLineChars="200"/>
        <w:jc w:val="left"/>
        <w:rPr>
          <w:rFonts w:ascii="宋体" w:hAnsi="宋体" w:cs="宋体"/>
          <w:bCs/>
          <w:kern w:val="0"/>
          <w:sz w:val="24"/>
          <w:szCs w:val="24"/>
          <w:u w:val="single"/>
        </w:rPr>
      </w:pPr>
    </w:p>
    <w:p>
      <w:pPr>
        <w:widowControl/>
        <w:spacing w:line="360" w:lineRule="auto"/>
        <w:ind w:firstLine="480" w:firstLineChars="200"/>
        <w:jc w:val="left"/>
        <w:rPr>
          <w:rFonts w:ascii="宋体" w:hAnsi="宋体" w:cs="宋体"/>
          <w:bCs/>
          <w:kern w:val="0"/>
          <w:sz w:val="24"/>
          <w:szCs w:val="24"/>
          <w:u w:val="single"/>
        </w:rPr>
      </w:pPr>
    </w:p>
    <w:p>
      <w:pPr>
        <w:widowControl/>
        <w:spacing w:line="360" w:lineRule="auto"/>
        <w:ind w:firstLine="480" w:firstLineChars="200"/>
        <w:jc w:val="left"/>
        <w:rPr>
          <w:rFonts w:ascii="宋体" w:hAnsi="宋体" w:cs="宋体"/>
          <w:bCs/>
          <w:kern w:val="0"/>
          <w:sz w:val="24"/>
          <w:szCs w:val="24"/>
          <w:u w:val="single"/>
        </w:rPr>
      </w:pPr>
    </w:p>
    <w:p>
      <w:pPr>
        <w:widowControl/>
        <w:spacing w:line="360" w:lineRule="auto"/>
        <w:ind w:firstLine="480" w:firstLineChars="200"/>
        <w:jc w:val="left"/>
        <w:rPr>
          <w:rFonts w:ascii="宋体" w:hAnsi="宋体" w:cs="宋体"/>
          <w:bCs/>
          <w:kern w:val="0"/>
          <w:sz w:val="24"/>
          <w:szCs w:val="24"/>
          <w:u w:val="single"/>
        </w:rPr>
      </w:pPr>
    </w:p>
    <w:p>
      <w:pPr>
        <w:widowControl/>
        <w:spacing w:line="360" w:lineRule="auto"/>
        <w:ind w:firstLine="480" w:firstLineChars="200"/>
        <w:jc w:val="left"/>
        <w:rPr>
          <w:rFonts w:ascii="宋体" w:hAnsi="宋体" w:cs="宋体"/>
          <w:bCs/>
          <w:kern w:val="0"/>
          <w:sz w:val="24"/>
          <w:szCs w:val="24"/>
          <w:u w:val="single"/>
        </w:rPr>
      </w:pPr>
    </w:p>
    <w:p>
      <w:pPr>
        <w:widowControl/>
        <w:spacing w:line="360" w:lineRule="auto"/>
        <w:ind w:firstLine="480" w:firstLineChars="200"/>
        <w:jc w:val="left"/>
        <w:rPr>
          <w:rFonts w:ascii="宋体" w:hAnsi="宋体" w:cs="宋体"/>
          <w:bCs/>
          <w:kern w:val="0"/>
          <w:sz w:val="24"/>
          <w:szCs w:val="24"/>
          <w:u w:val="single"/>
        </w:rPr>
      </w:pPr>
    </w:p>
    <w:p>
      <w:pPr>
        <w:widowControl/>
        <w:spacing w:line="360" w:lineRule="auto"/>
        <w:ind w:firstLine="480" w:firstLineChars="200"/>
        <w:jc w:val="left"/>
        <w:rPr>
          <w:rFonts w:ascii="宋体" w:hAnsi="宋体" w:cs="宋体"/>
          <w:bCs/>
          <w:kern w:val="0"/>
          <w:sz w:val="24"/>
          <w:szCs w:val="24"/>
          <w:u w:val="single"/>
        </w:rPr>
      </w:pPr>
    </w:p>
    <w:p>
      <w:pPr>
        <w:widowControl/>
        <w:spacing w:line="360" w:lineRule="auto"/>
        <w:ind w:firstLine="480" w:firstLineChars="200"/>
        <w:jc w:val="left"/>
        <w:rPr>
          <w:rFonts w:ascii="宋体" w:hAnsi="宋体" w:cs="宋体"/>
          <w:bCs/>
          <w:kern w:val="0"/>
          <w:sz w:val="24"/>
          <w:szCs w:val="24"/>
          <w:u w:val="single"/>
        </w:rPr>
      </w:pPr>
    </w:p>
    <w:p>
      <w:pPr>
        <w:widowControl/>
        <w:spacing w:line="360" w:lineRule="auto"/>
        <w:ind w:firstLine="480" w:firstLineChars="200"/>
        <w:jc w:val="left"/>
        <w:rPr>
          <w:rFonts w:ascii="宋体" w:hAnsi="宋体" w:cs="宋体"/>
          <w:bCs/>
          <w:kern w:val="0"/>
          <w:sz w:val="24"/>
          <w:szCs w:val="24"/>
          <w:u w:val="single"/>
        </w:rPr>
      </w:pPr>
    </w:p>
    <w:p>
      <w:pPr>
        <w:widowControl/>
        <w:spacing w:line="360" w:lineRule="auto"/>
        <w:ind w:firstLine="480" w:firstLineChars="200"/>
        <w:jc w:val="left"/>
        <w:rPr>
          <w:rFonts w:ascii="宋体" w:hAnsi="宋体" w:cs="宋体"/>
          <w:bCs/>
          <w:kern w:val="0"/>
          <w:sz w:val="24"/>
          <w:szCs w:val="24"/>
          <w:u w:val="single"/>
        </w:rPr>
      </w:pPr>
    </w:p>
    <w:p>
      <w:pPr>
        <w:widowControl/>
        <w:spacing w:line="360" w:lineRule="auto"/>
        <w:ind w:firstLine="480" w:firstLineChars="200"/>
        <w:jc w:val="left"/>
        <w:rPr>
          <w:rFonts w:ascii="宋体" w:hAnsi="宋体" w:cs="宋体"/>
          <w:bCs/>
          <w:kern w:val="0"/>
          <w:sz w:val="24"/>
          <w:szCs w:val="24"/>
          <w:u w:val="single"/>
        </w:rPr>
      </w:pPr>
    </w:p>
    <w:p>
      <w:pPr>
        <w:widowControl/>
        <w:spacing w:line="360" w:lineRule="auto"/>
        <w:ind w:firstLine="480" w:firstLineChars="200"/>
        <w:jc w:val="left"/>
        <w:rPr>
          <w:rFonts w:ascii="宋体" w:hAnsi="宋体" w:cs="宋体"/>
          <w:bCs/>
          <w:kern w:val="0"/>
          <w:sz w:val="24"/>
          <w:szCs w:val="24"/>
          <w:u w:val="single"/>
        </w:rPr>
      </w:pPr>
    </w:p>
    <w:p>
      <w:pPr>
        <w:widowControl/>
        <w:spacing w:line="360" w:lineRule="auto"/>
        <w:ind w:firstLine="480" w:firstLineChars="200"/>
        <w:jc w:val="left"/>
        <w:rPr>
          <w:rFonts w:ascii="宋体" w:hAnsi="宋体" w:cs="宋体"/>
          <w:bCs/>
          <w:kern w:val="0"/>
          <w:sz w:val="24"/>
          <w:szCs w:val="24"/>
          <w:u w:val="single"/>
        </w:rPr>
      </w:pPr>
    </w:p>
    <w:p>
      <w:pPr>
        <w:widowControl/>
        <w:spacing w:line="360" w:lineRule="auto"/>
        <w:ind w:firstLine="480" w:firstLineChars="200"/>
        <w:jc w:val="left"/>
        <w:rPr>
          <w:rFonts w:ascii="宋体" w:hAnsi="宋体" w:cs="宋体"/>
          <w:bCs/>
          <w:kern w:val="0"/>
          <w:sz w:val="24"/>
          <w:szCs w:val="24"/>
          <w:u w:val="single"/>
        </w:rPr>
      </w:pPr>
    </w:p>
    <w:p>
      <w:pPr>
        <w:widowControl/>
        <w:spacing w:line="360" w:lineRule="auto"/>
        <w:ind w:firstLine="480" w:firstLineChars="200"/>
        <w:jc w:val="left"/>
        <w:rPr>
          <w:rFonts w:ascii="宋体" w:hAnsi="宋体" w:cs="宋体"/>
          <w:bCs/>
          <w:kern w:val="0"/>
          <w:sz w:val="24"/>
          <w:szCs w:val="24"/>
          <w:u w:val="single"/>
        </w:rPr>
      </w:pPr>
    </w:p>
    <w:p>
      <w:pPr>
        <w:pStyle w:val="21"/>
        <w:spacing w:line="360" w:lineRule="auto"/>
        <w:rPr>
          <w:rFonts w:ascii="宋体" w:hAnsi="宋体" w:eastAsia="宋体" w:cs="宋体"/>
          <w:kern w:val="0"/>
          <w:sz w:val="24"/>
          <w:szCs w:val="24"/>
        </w:rPr>
      </w:pPr>
      <w:bookmarkStart w:id="31" w:name="_Toc14512126"/>
      <w:bookmarkStart w:id="32" w:name="_Toc15898126"/>
      <w:bookmarkStart w:id="33" w:name="_Toc120261237"/>
      <w:r>
        <w:rPr>
          <w:rFonts w:hint="eastAsia" w:ascii="宋体" w:hAnsi="宋体" w:eastAsia="宋体" w:cs="宋体"/>
          <w:kern w:val="0"/>
          <w:sz w:val="24"/>
          <w:szCs w:val="24"/>
        </w:rPr>
        <w:t>第八章   投标文件的格式</w:t>
      </w:r>
      <w:bookmarkEnd w:id="31"/>
      <w:bookmarkEnd w:id="32"/>
      <w:bookmarkEnd w:id="33"/>
    </w:p>
    <w:p>
      <w:pPr>
        <w:autoSpaceDE w:val="0"/>
        <w:autoSpaceDN w:val="0"/>
        <w:spacing w:line="360" w:lineRule="auto"/>
        <w:rPr>
          <w:rFonts w:ascii="宋体" w:hAnsi="宋体" w:cs="宋体"/>
          <w:sz w:val="32"/>
        </w:rPr>
      </w:pPr>
      <w:r>
        <w:rPr>
          <w:rFonts w:hint="eastAsia" w:ascii="宋体" w:hAnsi="宋体" w:cs="宋体"/>
          <w:sz w:val="32"/>
        </w:rPr>
        <w:t>封面</w:t>
      </w:r>
    </w:p>
    <w:p>
      <w:pPr>
        <w:spacing w:line="360" w:lineRule="auto"/>
        <w:jc w:val="center"/>
        <w:rPr>
          <w:rFonts w:ascii="宋体" w:hAnsi="宋体" w:cs="宋体"/>
          <w:sz w:val="44"/>
          <w:szCs w:val="44"/>
        </w:rPr>
      </w:pPr>
      <w:r>
        <w:rPr>
          <w:rFonts w:hint="eastAsia" w:ascii="宋体" w:hAnsi="宋体" w:cs="宋体"/>
          <w:sz w:val="36"/>
          <w:szCs w:val="36"/>
          <w:u w:val="single"/>
        </w:rPr>
        <w:t xml:space="preserve">                            项目</w:t>
      </w:r>
    </w:p>
    <w:p>
      <w:pPr>
        <w:spacing w:line="360" w:lineRule="auto"/>
        <w:jc w:val="center"/>
        <w:rPr>
          <w:rFonts w:ascii="宋体" w:hAnsi="宋体" w:cs="宋体"/>
          <w:sz w:val="72"/>
          <w:szCs w:val="72"/>
        </w:rPr>
      </w:pPr>
    </w:p>
    <w:p>
      <w:pPr>
        <w:spacing w:line="360" w:lineRule="auto"/>
        <w:jc w:val="center"/>
        <w:rPr>
          <w:rFonts w:ascii="宋体" w:hAnsi="宋体" w:cs="宋体"/>
          <w:sz w:val="72"/>
          <w:szCs w:val="72"/>
        </w:rPr>
      </w:pPr>
      <w:r>
        <w:rPr>
          <w:rFonts w:hint="eastAsia" w:ascii="宋体" w:hAnsi="宋体" w:cs="宋体"/>
          <w:sz w:val="72"/>
          <w:szCs w:val="72"/>
        </w:rPr>
        <w:t>投</w:t>
      </w:r>
    </w:p>
    <w:p>
      <w:pPr>
        <w:spacing w:line="360" w:lineRule="auto"/>
        <w:jc w:val="center"/>
        <w:rPr>
          <w:rFonts w:ascii="宋体" w:hAnsi="宋体" w:cs="宋体"/>
          <w:sz w:val="72"/>
          <w:szCs w:val="72"/>
        </w:rPr>
      </w:pPr>
    </w:p>
    <w:p>
      <w:pPr>
        <w:spacing w:line="360" w:lineRule="auto"/>
        <w:jc w:val="center"/>
        <w:rPr>
          <w:rFonts w:ascii="宋体" w:hAnsi="宋体" w:cs="宋体"/>
          <w:sz w:val="72"/>
          <w:szCs w:val="72"/>
        </w:rPr>
      </w:pPr>
      <w:r>
        <w:rPr>
          <w:rFonts w:hint="eastAsia" w:ascii="宋体" w:hAnsi="宋体" w:cs="宋体"/>
          <w:sz w:val="72"/>
          <w:szCs w:val="72"/>
        </w:rPr>
        <w:t>标</w:t>
      </w:r>
    </w:p>
    <w:p>
      <w:pPr>
        <w:spacing w:line="360" w:lineRule="auto"/>
        <w:jc w:val="center"/>
        <w:rPr>
          <w:rFonts w:ascii="宋体" w:hAnsi="宋体" w:cs="宋体"/>
          <w:sz w:val="72"/>
          <w:szCs w:val="72"/>
        </w:rPr>
      </w:pPr>
    </w:p>
    <w:p>
      <w:pPr>
        <w:spacing w:line="360" w:lineRule="auto"/>
        <w:jc w:val="center"/>
        <w:rPr>
          <w:rFonts w:ascii="宋体" w:hAnsi="宋体" w:cs="宋体"/>
          <w:sz w:val="44"/>
          <w:szCs w:val="44"/>
        </w:rPr>
      </w:pPr>
      <w:r>
        <w:rPr>
          <w:rFonts w:hint="eastAsia" w:ascii="宋体" w:hAnsi="宋体" w:cs="宋体"/>
          <w:sz w:val="72"/>
          <w:szCs w:val="72"/>
        </w:rPr>
        <w:t>书</w:t>
      </w:r>
    </w:p>
    <w:p>
      <w:pPr>
        <w:spacing w:line="360" w:lineRule="auto"/>
        <w:rPr>
          <w:rFonts w:ascii="宋体" w:hAnsi="宋体" w:cs="宋体"/>
          <w:sz w:val="44"/>
          <w:szCs w:val="44"/>
        </w:rPr>
      </w:pPr>
    </w:p>
    <w:p>
      <w:pPr>
        <w:spacing w:line="360" w:lineRule="auto"/>
        <w:rPr>
          <w:rFonts w:ascii="宋体" w:hAnsi="宋体" w:cs="宋体"/>
          <w:sz w:val="44"/>
          <w:szCs w:val="44"/>
        </w:rPr>
      </w:pPr>
    </w:p>
    <w:p>
      <w:pPr>
        <w:spacing w:line="360" w:lineRule="auto"/>
        <w:ind w:firstLine="1200" w:firstLineChars="400"/>
        <w:rPr>
          <w:rFonts w:ascii="宋体" w:hAnsi="宋体" w:cs="宋体"/>
          <w:sz w:val="30"/>
        </w:rPr>
      </w:pPr>
      <w:r>
        <w:rPr>
          <w:rFonts w:hint="eastAsia" w:ascii="宋体" w:hAnsi="宋体" w:cs="宋体"/>
          <w:sz w:val="30"/>
        </w:rPr>
        <w:t>采购编号：</w:t>
      </w:r>
    </w:p>
    <w:p>
      <w:pPr>
        <w:spacing w:line="360" w:lineRule="auto"/>
        <w:ind w:firstLine="1200" w:firstLineChars="400"/>
        <w:rPr>
          <w:rFonts w:ascii="宋体" w:hAnsi="宋体" w:cs="宋体"/>
          <w:kern w:val="0"/>
          <w:sz w:val="30"/>
        </w:rPr>
      </w:pPr>
      <w:r>
        <w:rPr>
          <w:rFonts w:hint="eastAsia" w:ascii="宋体" w:hAnsi="宋体" w:cs="宋体"/>
          <w:sz w:val="30"/>
        </w:rPr>
        <w:t>项目名称：</w:t>
      </w:r>
    </w:p>
    <w:p>
      <w:pPr>
        <w:tabs>
          <w:tab w:val="left" w:pos="840"/>
          <w:tab w:val="left" w:pos="8280"/>
        </w:tabs>
        <w:spacing w:line="360" w:lineRule="auto"/>
        <w:ind w:firstLine="1185" w:firstLineChars="395"/>
        <w:rPr>
          <w:rFonts w:ascii="宋体" w:hAnsi="宋体" w:cs="宋体"/>
          <w:sz w:val="30"/>
        </w:rPr>
      </w:pPr>
      <w:r>
        <w:rPr>
          <w:rFonts w:hint="eastAsia" w:ascii="宋体" w:hAnsi="宋体" w:cs="宋体"/>
          <w:sz w:val="30"/>
        </w:rPr>
        <w:t xml:space="preserve">投标单位（盖章）： </w:t>
      </w:r>
    </w:p>
    <w:p>
      <w:pPr>
        <w:tabs>
          <w:tab w:val="left" w:pos="840"/>
          <w:tab w:val="left" w:pos="8280"/>
        </w:tabs>
        <w:spacing w:line="360" w:lineRule="auto"/>
        <w:ind w:firstLine="1185" w:firstLineChars="395"/>
        <w:rPr>
          <w:rFonts w:ascii="宋体" w:hAnsi="宋体" w:cs="宋体"/>
          <w:sz w:val="30"/>
        </w:rPr>
      </w:pPr>
      <w:r>
        <w:rPr>
          <w:rFonts w:hint="eastAsia" w:ascii="宋体" w:hAnsi="宋体" w:cs="宋体"/>
          <w:sz w:val="30"/>
        </w:rPr>
        <w:t xml:space="preserve">法定代表人或被授权委托人（签名或盖章）： </w:t>
      </w:r>
    </w:p>
    <w:p>
      <w:pPr>
        <w:spacing w:line="360" w:lineRule="auto"/>
        <w:rPr>
          <w:rFonts w:ascii="宋体" w:hAnsi="宋体" w:cs="宋体"/>
          <w:sz w:val="32"/>
          <w:szCs w:val="32"/>
        </w:rPr>
      </w:pPr>
    </w:p>
    <w:p>
      <w:pPr>
        <w:spacing w:line="360" w:lineRule="auto"/>
        <w:ind w:firstLine="3360" w:firstLineChars="1050"/>
        <w:rPr>
          <w:rFonts w:ascii="宋体" w:hAnsi="宋体" w:cs="宋体"/>
          <w:sz w:val="32"/>
          <w:szCs w:val="32"/>
        </w:rPr>
      </w:pPr>
      <w:r>
        <w:rPr>
          <w:rFonts w:hint="eastAsia" w:ascii="宋体" w:hAnsi="宋体" w:cs="宋体"/>
          <w:sz w:val="32"/>
          <w:szCs w:val="32"/>
        </w:rPr>
        <w:t>二○　 年  月  日</w:t>
      </w:r>
    </w:p>
    <w:p>
      <w:pPr>
        <w:tabs>
          <w:tab w:val="left" w:pos="1269"/>
        </w:tabs>
        <w:spacing w:line="360" w:lineRule="auto"/>
        <w:ind w:firstLine="720" w:firstLineChars="300"/>
        <w:rPr>
          <w:rFonts w:ascii="宋体" w:hAnsi="宋体" w:cs="宋体"/>
          <w:bCs/>
          <w:sz w:val="24"/>
        </w:rPr>
      </w:pPr>
    </w:p>
    <w:p>
      <w:pPr>
        <w:rPr>
          <w:rFonts w:ascii="宋体" w:hAnsi="宋体" w:cs="宋体"/>
          <w:b/>
          <w:kern w:val="44"/>
          <w:sz w:val="30"/>
          <w:szCs w:val="30"/>
        </w:rPr>
      </w:pPr>
    </w:p>
    <w:p>
      <w:pPr>
        <w:pStyle w:val="21"/>
        <w:spacing w:line="360" w:lineRule="auto"/>
        <w:rPr>
          <w:rFonts w:ascii="宋体" w:hAnsi="宋体" w:eastAsia="宋体" w:cs="宋体"/>
          <w:kern w:val="0"/>
          <w:sz w:val="24"/>
          <w:szCs w:val="24"/>
        </w:rPr>
      </w:pPr>
      <w:bookmarkStart w:id="34" w:name="_Toc120261238"/>
      <w:bookmarkStart w:id="35" w:name="_Toc15898127"/>
      <w:bookmarkStart w:id="36" w:name="_Toc14512127"/>
      <w:r>
        <w:rPr>
          <w:rFonts w:hint="eastAsia" w:ascii="宋体" w:hAnsi="宋体" w:eastAsia="宋体" w:cs="宋体"/>
          <w:kern w:val="0"/>
          <w:sz w:val="24"/>
          <w:szCs w:val="24"/>
        </w:rPr>
        <w:t>一、投标函</w:t>
      </w:r>
      <w:bookmarkEnd w:id="34"/>
      <w:bookmarkEnd w:id="35"/>
      <w:bookmarkEnd w:id="36"/>
    </w:p>
    <w:p>
      <w:pPr>
        <w:pStyle w:val="37"/>
        <w:spacing w:line="360" w:lineRule="auto"/>
        <w:rPr>
          <w:rFonts w:cs="宋体"/>
          <w:sz w:val="24"/>
          <w:szCs w:val="24"/>
        </w:rPr>
      </w:pPr>
      <w:r>
        <w:rPr>
          <w:rFonts w:hint="eastAsia" w:cs="宋体"/>
          <w:sz w:val="24"/>
          <w:szCs w:val="24"/>
        </w:rPr>
        <w:t>致：</w:t>
      </w:r>
      <w:r>
        <w:rPr>
          <w:rFonts w:hint="eastAsia" w:cs="宋体"/>
          <w:sz w:val="24"/>
          <w:szCs w:val="24"/>
          <w:u w:val="single"/>
        </w:rPr>
        <w:t>常州市田家炳初级中学</w:t>
      </w:r>
      <w:r>
        <w:rPr>
          <w:rFonts w:hint="eastAsia" w:cs="宋体"/>
          <w:sz w:val="24"/>
          <w:szCs w:val="24"/>
        </w:rPr>
        <w:t>：</w:t>
      </w:r>
    </w:p>
    <w:p>
      <w:pPr>
        <w:pStyle w:val="37"/>
        <w:spacing w:line="360" w:lineRule="auto"/>
        <w:ind w:firstLine="420"/>
        <w:jc w:val="left"/>
        <w:rPr>
          <w:rFonts w:cs="宋体"/>
          <w:sz w:val="24"/>
          <w:szCs w:val="24"/>
        </w:rPr>
      </w:pPr>
      <w:r>
        <w:rPr>
          <w:rFonts w:hint="eastAsia" w:cs="宋体"/>
          <w:sz w:val="24"/>
          <w:szCs w:val="24"/>
        </w:rPr>
        <w:t>我单位收到贵单位招标文件后，经仔细阅读和研究，我们决定参加本项目的投标。为此，我方郑重声明以下诸点，并负法律责任。</w:t>
      </w:r>
    </w:p>
    <w:p>
      <w:pPr>
        <w:spacing w:line="360" w:lineRule="auto"/>
        <w:ind w:firstLine="480" w:firstLineChars="200"/>
        <w:rPr>
          <w:rFonts w:ascii="宋体" w:hAnsi="宋体" w:cs="宋体"/>
          <w:sz w:val="24"/>
          <w:szCs w:val="24"/>
        </w:rPr>
      </w:pPr>
      <w:r>
        <w:rPr>
          <w:rFonts w:hint="eastAsia" w:ascii="宋体" w:hAnsi="宋体" w:cs="宋体"/>
          <w:sz w:val="24"/>
          <w:szCs w:val="24"/>
        </w:rPr>
        <w:t>1.愿意按照招标文件的一切要求，承接项目。一旦我方中标，我方保证在</w:t>
      </w:r>
      <w:r>
        <w:rPr>
          <w:rFonts w:hint="eastAsia" w:ascii="宋体" w:hAnsi="宋体" w:cs="宋体"/>
          <w:sz w:val="24"/>
          <w:szCs w:val="24"/>
          <w:u w:val="single"/>
        </w:rPr>
        <w:t>合同签订后</w:t>
      </w:r>
      <w:r>
        <w:rPr>
          <w:rFonts w:hint="eastAsia" w:ascii="宋体" w:hAnsi="宋体" w:cs="宋体"/>
          <w:sz w:val="24"/>
          <w:szCs w:val="24"/>
        </w:rPr>
        <w:t>立即履行合同约定的内容。</w:t>
      </w:r>
    </w:p>
    <w:p>
      <w:pPr>
        <w:pStyle w:val="37"/>
        <w:spacing w:line="360" w:lineRule="auto"/>
        <w:ind w:firstLine="420"/>
        <w:jc w:val="left"/>
        <w:rPr>
          <w:rFonts w:cs="宋体"/>
          <w:sz w:val="24"/>
          <w:szCs w:val="24"/>
        </w:rPr>
      </w:pPr>
      <w:r>
        <w:rPr>
          <w:rFonts w:hint="eastAsia" w:cs="宋体"/>
          <w:sz w:val="24"/>
          <w:szCs w:val="24"/>
        </w:rPr>
        <w:t>2.如果我们的投标文件被接受，愿按《中华人民共和国民法典》履行自己的全部责任，同时严格履行邀请招标文件中规定的每一项要求，按期、按质、按量履行合同的义务。</w:t>
      </w:r>
    </w:p>
    <w:p>
      <w:pPr>
        <w:pStyle w:val="20"/>
        <w:spacing w:line="360" w:lineRule="auto"/>
        <w:ind w:left="0" w:firstLine="480" w:firstLineChars="200"/>
        <w:rPr>
          <w:rFonts w:ascii="宋体" w:hAnsi="宋体" w:cs="宋体"/>
          <w:sz w:val="24"/>
          <w:szCs w:val="24"/>
        </w:rPr>
      </w:pPr>
      <w:r>
        <w:rPr>
          <w:rFonts w:hint="eastAsia" w:ascii="宋体" w:hAnsi="宋体" w:cs="宋体"/>
          <w:sz w:val="24"/>
          <w:szCs w:val="24"/>
        </w:rPr>
        <w:t>3. 我们认可并遵守招标文件（含招标公告、变更公告、更正公告等）的所有规定。</w:t>
      </w:r>
    </w:p>
    <w:p>
      <w:pPr>
        <w:pStyle w:val="37"/>
        <w:spacing w:line="360" w:lineRule="auto"/>
        <w:ind w:firstLine="420"/>
        <w:jc w:val="left"/>
        <w:rPr>
          <w:rFonts w:cs="宋体"/>
          <w:sz w:val="24"/>
          <w:szCs w:val="24"/>
        </w:rPr>
      </w:pPr>
      <w:r>
        <w:rPr>
          <w:rFonts w:hint="eastAsia" w:cs="宋体"/>
          <w:sz w:val="24"/>
          <w:szCs w:val="24"/>
        </w:rPr>
        <w:t>4.我们承诺该投标文件在投标开始后的全过程中保持有效，不作任何更改和变动。并同意按招标文件中的规定，本响应文件的有效期限为投标开始后</w:t>
      </w:r>
      <w:r>
        <w:rPr>
          <w:rFonts w:hint="eastAsia" w:cs="宋体"/>
          <w:sz w:val="24"/>
          <w:szCs w:val="24"/>
          <w:u w:val="single"/>
        </w:rPr>
        <w:t>45</w:t>
      </w:r>
      <w:r>
        <w:rPr>
          <w:rFonts w:hint="eastAsia" w:cs="宋体"/>
          <w:sz w:val="24"/>
          <w:szCs w:val="24"/>
        </w:rPr>
        <w:t>天。</w:t>
      </w:r>
    </w:p>
    <w:p>
      <w:pPr>
        <w:pStyle w:val="37"/>
        <w:spacing w:line="360" w:lineRule="auto"/>
        <w:ind w:firstLine="420"/>
        <w:jc w:val="left"/>
        <w:rPr>
          <w:rFonts w:cs="宋体"/>
          <w:sz w:val="24"/>
          <w:szCs w:val="24"/>
        </w:rPr>
      </w:pPr>
      <w:r>
        <w:rPr>
          <w:rFonts w:hint="eastAsia" w:cs="宋体"/>
          <w:sz w:val="24"/>
          <w:szCs w:val="24"/>
        </w:rPr>
        <w:t>5. 我们愿意提供采购人在招标文件中要求的原始资料，并保证完全真实准确，若有虚假和违背，我公司愿意承担由此而产生的一切后果。</w:t>
      </w:r>
    </w:p>
    <w:p>
      <w:pPr>
        <w:pStyle w:val="37"/>
        <w:spacing w:line="360" w:lineRule="auto"/>
        <w:ind w:firstLine="420"/>
        <w:jc w:val="left"/>
        <w:rPr>
          <w:rFonts w:cs="宋体"/>
          <w:sz w:val="24"/>
          <w:szCs w:val="24"/>
        </w:rPr>
      </w:pPr>
      <w:r>
        <w:rPr>
          <w:rFonts w:hint="eastAsia" w:cs="宋体"/>
          <w:sz w:val="24"/>
          <w:szCs w:val="24"/>
        </w:rPr>
        <w:t>6.我们愿意按招标文件的规定交纳投标保证金，如我们在投标截止期后撤回投标及中标后拒绝遵守投标承诺或拒绝在规定的时间内与采购人签订合同则投标保证金将被贵方没收。</w:t>
      </w:r>
    </w:p>
    <w:p>
      <w:pPr>
        <w:pStyle w:val="37"/>
        <w:spacing w:line="360" w:lineRule="auto"/>
        <w:ind w:firstLine="420"/>
        <w:jc w:val="left"/>
        <w:rPr>
          <w:rFonts w:cs="宋体"/>
          <w:sz w:val="24"/>
          <w:szCs w:val="24"/>
        </w:rPr>
      </w:pPr>
      <w:r>
        <w:rPr>
          <w:rFonts w:hint="eastAsia" w:cs="宋体"/>
          <w:sz w:val="24"/>
          <w:szCs w:val="24"/>
        </w:rPr>
        <w:t>7.我方承诺财务状况良好，依法缴纳税收和社会保障资金，具备履行合同所必需的设备和专业技术能力，参加政府采购活动前3年内在经营活动中没有重大违法记录。</w:t>
      </w:r>
    </w:p>
    <w:p>
      <w:pPr>
        <w:pStyle w:val="37"/>
        <w:spacing w:line="360" w:lineRule="auto"/>
        <w:ind w:firstLine="420"/>
        <w:jc w:val="left"/>
        <w:rPr>
          <w:rFonts w:cs="宋体"/>
          <w:sz w:val="24"/>
          <w:szCs w:val="24"/>
        </w:rPr>
      </w:pPr>
      <w:r>
        <w:rPr>
          <w:rFonts w:hint="eastAsia" w:cs="宋体"/>
          <w:sz w:val="24"/>
          <w:szCs w:val="24"/>
        </w:rPr>
        <w:t>8.我们愿意遵守招标标文件中所列的收费标准。</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投标单位（盖章）： </w:t>
      </w:r>
    </w:p>
    <w:p>
      <w:pPr>
        <w:spacing w:line="360" w:lineRule="auto"/>
        <w:ind w:firstLine="480" w:firstLineChars="200"/>
        <w:rPr>
          <w:rFonts w:ascii="宋体" w:hAnsi="宋体" w:cs="宋体"/>
          <w:sz w:val="24"/>
          <w:szCs w:val="24"/>
        </w:rPr>
      </w:pPr>
      <w:r>
        <w:rPr>
          <w:rFonts w:hint="eastAsia" w:ascii="宋体" w:hAnsi="宋体" w:cs="宋体"/>
          <w:sz w:val="24"/>
          <w:szCs w:val="24"/>
        </w:rPr>
        <w:t>法定代表人或被授权委托人（签名或盖章）：</w:t>
      </w:r>
    </w:p>
    <w:p>
      <w:pPr>
        <w:spacing w:line="360" w:lineRule="auto"/>
        <w:ind w:firstLine="480" w:firstLineChars="200"/>
        <w:rPr>
          <w:rFonts w:ascii="宋体" w:hAnsi="宋体" w:cs="宋体"/>
          <w:sz w:val="24"/>
          <w:szCs w:val="24"/>
        </w:rPr>
      </w:pPr>
      <w:r>
        <w:rPr>
          <w:rFonts w:hint="eastAsia" w:ascii="宋体" w:hAnsi="宋体" w:cs="宋体"/>
          <w:sz w:val="24"/>
          <w:szCs w:val="24"/>
        </w:rPr>
        <w:t>电话：                         传真：</w:t>
      </w:r>
    </w:p>
    <w:p>
      <w:pPr>
        <w:spacing w:line="360" w:lineRule="auto"/>
        <w:ind w:firstLine="480" w:firstLineChars="200"/>
        <w:rPr>
          <w:rFonts w:ascii="宋体" w:hAnsi="宋体" w:cs="宋体"/>
          <w:sz w:val="24"/>
          <w:szCs w:val="24"/>
        </w:rPr>
      </w:pPr>
      <w:r>
        <w:rPr>
          <w:rFonts w:hint="eastAsia" w:ascii="宋体" w:hAnsi="宋体" w:cs="宋体"/>
          <w:sz w:val="24"/>
          <w:szCs w:val="24"/>
        </w:rPr>
        <w:t>地址：                         邮编：</w:t>
      </w:r>
    </w:p>
    <w:p>
      <w:pPr>
        <w:spacing w:line="360" w:lineRule="auto"/>
        <w:ind w:firstLine="480" w:firstLineChars="200"/>
        <w:rPr>
          <w:rFonts w:ascii="宋体" w:hAnsi="宋体" w:cs="宋体"/>
          <w:sz w:val="24"/>
          <w:szCs w:val="24"/>
        </w:rPr>
      </w:pPr>
      <w:r>
        <w:rPr>
          <w:rFonts w:hint="eastAsia" w:ascii="宋体" w:hAnsi="宋体" w:cs="宋体"/>
          <w:sz w:val="24"/>
          <w:szCs w:val="24"/>
        </w:rPr>
        <w:t>开户名称：</w:t>
      </w:r>
    </w:p>
    <w:p>
      <w:pPr>
        <w:spacing w:line="360" w:lineRule="auto"/>
        <w:ind w:firstLine="480" w:firstLineChars="200"/>
        <w:rPr>
          <w:rFonts w:ascii="宋体" w:hAnsi="宋体" w:cs="宋体"/>
          <w:sz w:val="24"/>
          <w:szCs w:val="24"/>
        </w:rPr>
      </w:pPr>
      <w:r>
        <w:rPr>
          <w:rFonts w:hint="eastAsia" w:ascii="宋体" w:hAnsi="宋体" w:cs="宋体"/>
          <w:sz w:val="24"/>
          <w:szCs w:val="24"/>
        </w:rPr>
        <w:t>开户银行：                    开户账号：</w:t>
      </w:r>
    </w:p>
    <w:p>
      <w:pPr>
        <w:spacing w:line="360" w:lineRule="auto"/>
        <w:jc w:val="center"/>
        <w:outlineLvl w:val="1"/>
        <w:rPr>
          <w:rFonts w:ascii="宋体" w:hAnsi="宋体" w:cs="宋体"/>
          <w:sz w:val="28"/>
          <w:szCs w:val="28"/>
        </w:rPr>
      </w:pPr>
      <w:bookmarkStart w:id="37" w:name="_Toc21438_WPSOffice_Level1"/>
      <w:bookmarkStart w:id="38" w:name="_Toc393194386"/>
      <w:bookmarkStart w:id="39" w:name="_Toc194386107"/>
      <w:bookmarkStart w:id="40" w:name="_Toc145474400"/>
      <w:bookmarkStart w:id="41" w:name="_Toc158691780"/>
    </w:p>
    <w:p>
      <w:pPr>
        <w:spacing w:line="360" w:lineRule="auto"/>
        <w:jc w:val="center"/>
        <w:outlineLvl w:val="1"/>
        <w:rPr>
          <w:rFonts w:ascii="宋体" w:hAnsi="宋体" w:cs="宋体"/>
          <w:sz w:val="28"/>
          <w:szCs w:val="28"/>
        </w:rPr>
      </w:pPr>
      <w:bookmarkStart w:id="42" w:name="_Toc120261239"/>
      <w:r>
        <w:rPr>
          <w:rFonts w:hint="eastAsia" w:ascii="宋体" w:hAnsi="宋体" w:cs="宋体"/>
          <w:sz w:val="28"/>
          <w:szCs w:val="28"/>
        </w:rPr>
        <w:t>二、开标一览表</w:t>
      </w:r>
      <w:bookmarkEnd w:id="37"/>
      <w:bookmarkEnd w:id="38"/>
      <w:bookmarkEnd w:id="42"/>
    </w:p>
    <w:p>
      <w:pPr>
        <w:spacing w:line="360" w:lineRule="auto"/>
        <w:jc w:val="center"/>
        <w:rPr>
          <w:rStyle w:val="60"/>
          <w:rFonts w:ascii="宋体" w:hAnsi="宋体" w:cs="宋体"/>
          <w:sz w:val="24"/>
          <w:szCs w:val="24"/>
        </w:rPr>
      </w:pPr>
    </w:p>
    <w:tbl>
      <w:tblPr>
        <w:tblStyle w:val="26"/>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70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25" w:type="dxa"/>
            <w:tcBorders>
              <w:top w:val="single" w:color="auto" w:sz="12" w:space="0"/>
              <w:bottom w:val="single" w:color="auto" w:sz="12" w:space="0"/>
              <w:right w:val="single" w:color="auto" w:sz="12"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采购编号</w:t>
            </w:r>
          </w:p>
        </w:tc>
        <w:tc>
          <w:tcPr>
            <w:tcW w:w="7047" w:type="dxa"/>
            <w:tcBorders>
              <w:top w:val="single" w:color="auto" w:sz="12" w:space="0"/>
              <w:left w:val="single" w:color="auto" w:sz="12" w:space="0"/>
              <w:bottom w:val="single" w:color="auto" w:sz="12" w:space="0"/>
            </w:tcBorders>
            <w:vAlign w:val="center"/>
          </w:tcPr>
          <w:p>
            <w:pPr>
              <w:widowControl/>
              <w:spacing w:line="360" w:lineRule="auto"/>
              <w:jc w:val="center"/>
              <w:rPr>
                <w:rFonts w:ascii="宋体" w:hAnsi="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025" w:type="dxa"/>
            <w:tcBorders>
              <w:top w:val="single" w:color="auto" w:sz="12" w:space="0"/>
              <w:bottom w:val="single" w:color="auto" w:sz="12" w:space="0"/>
              <w:right w:val="single" w:color="auto" w:sz="12"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项目名称</w:t>
            </w:r>
          </w:p>
        </w:tc>
        <w:tc>
          <w:tcPr>
            <w:tcW w:w="7047" w:type="dxa"/>
            <w:tcBorders>
              <w:top w:val="single" w:color="auto" w:sz="12" w:space="0"/>
              <w:left w:val="single" w:color="auto" w:sz="12" w:space="0"/>
              <w:bottom w:val="single" w:color="auto" w:sz="12" w:space="0"/>
            </w:tcBorders>
            <w:vAlign w:val="center"/>
          </w:tcPr>
          <w:p>
            <w:pPr>
              <w:widowControl/>
              <w:spacing w:line="360" w:lineRule="auto"/>
              <w:jc w:val="center"/>
              <w:rPr>
                <w:rFonts w:ascii="宋体" w:hAnsi="宋体" w:cs="宋体"/>
                <w:snapToGrid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2025" w:type="dxa"/>
            <w:tcBorders>
              <w:top w:val="single" w:color="auto" w:sz="12" w:space="0"/>
              <w:bottom w:val="single" w:color="auto" w:sz="12" w:space="0"/>
              <w:right w:val="single" w:color="auto" w:sz="12"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 xml:space="preserve">总价 </w:t>
            </w:r>
          </w:p>
          <w:p>
            <w:pPr>
              <w:widowControl/>
              <w:spacing w:line="360" w:lineRule="auto"/>
              <w:jc w:val="center"/>
              <w:rPr>
                <w:rFonts w:ascii="宋体" w:hAnsi="宋体" w:cs="宋体"/>
                <w:kern w:val="0"/>
                <w:sz w:val="24"/>
                <w:szCs w:val="24"/>
              </w:rPr>
            </w:pPr>
            <w:r>
              <w:rPr>
                <w:rFonts w:hint="eastAsia" w:ascii="宋体" w:hAnsi="宋体" w:cs="宋体"/>
                <w:kern w:val="0"/>
                <w:sz w:val="24"/>
                <w:szCs w:val="24"/>
              </w:rPr>
              <w:t>（费率）</w:t>
            </w:r>
          </w:p>
        </w:tc>
        <w:tc>
          <w:tcPr>
            <w:tcW w:w="7047" w:type="dxa"/>
            <w:tcBorders>
              <w:top w:val="single" w:color="auto" w:sz="12" w:space="0"/>
              <w:left w:val="single" w:color="auto" w:sz="12" w:space="0"/>
              <w:bottom w:val="single" w:color="auto" w:sz="12" w:space="0"/>
            </w:tcBorders>
            <w:vAlign w:val="center"/>
          </w:tcPr>
          <w:p>
            <w:pPr>
              <w:widowControl/>
              <w:spacing w:line="360" w:lineRule="auto"/>
              <w:ind w:firstLine="480" w:firstLineChars="200"/>
              <w:jc w:val="left"/>
              <w:rPr>
                <w:rStyle w:val="60"/>
                <w:rFonts w:ascii="宋体" w:hAnsi="宋体" w:cs="宋体"/>
                <w:kern w:val="0"/>
                <w:sz w:val="24"/>
                <w:szCs w:val="24"/>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2025" w:type="dxa"/>
            <w:tcBorders>
              <w:top w:val="single" w:color="auto" w:sz="12" w:space="0"/>
              <w:bottom w:val="single" w:color="auto" w:sz="12" w:space="0"/>
              <w:right w:val="single" w:color="auto" w:sz="12" w:space="0"/>
            </w:tcBorders>
            <w:vAlign w:val="center"/>
          </w:tcPr>
          <w:p>
            <w:pPr>
              <w:spacing w:line="360" w:lineRule="auto"/>
              <w:rPr>
                <w:rFonts w:ascii="宋体" w:hAnsi="宋体" w:cs="宋体"/>
                <w:sz w:val="24"/>
                <w:szCs w:val="24"/>
              </w:rPr>
            </w:pPr>
            <w:r>
              <w:rPr>
                <w:rFonts w:hint="eastAsia" w:ascii="宋体" w:hAnsi="宋体" w:cs="宋体"/>
                <w:sz w:val="24"/>
                <w:szCs w:val="24"/>
              </w:rPr>
              <w:t>其他需要说明的事项，自行添加。</w:t>
            </w:r>
          </w:p>
          <w:p>
            <w:pPr>
              <w:widowControl/>
              <w:spacing w:line="360" w:lineRule="auto"/>
              <w:jc w:val="center"/>
              <w:rPr>
                <w:rFonts w:ascii="宋体" w:hAnsi="宋体" w:cs="宋体"/>
                <w:kern w:val="0"/>
                <w:sz w:val="24"/>
                <w:szCs w:val="24"/>
              </w:rPr>
            </w:pPr>
          </w:p>
        </w:tc>
        <w:tc>
          <w:tcPr>
            <w:tcW w:w="7047" w:type="dxa"/>
            <w:tcBorders>
              <w:top w:val="single" w:color="auto" w:sz="12" w:space="0"/>
              <w:left w:val="single" w:color="auto" w:sz="12" w:space="0"/>
              <w:bottom w:val="single" w:color="auto" w:sz="12" w:space="0"/>
            </w:tcBorders>
            <w:vAlign w:val="center"/>
          </w:tcPr>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项目负责人：</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p>
        </w:tc>
      </w:tr>
      <w:bookmarkEnd w:id="39"/>
      <w:bookmarkEnd w:id="40"/>
      <w:bookmarkEnd w:id="41"/>
    </w:tbl>
    <w:p>
      <w:pPr>
        <w:spacing w:line="360" w:lineRule="auto"/>
        <w:jc w:val="right"/>
        <w:rPr>
          <w:rFonts w:ascii="宋体" w:hAnsi="宋体" w:cs="宋体"/>
          <w:sz w:val="24"/>
          <w:szCs w:val="24"/>
        </w:rPr>
      </w:pPr>
    </w:p>
    <w:p>
      <w:pPr>
        <w:spacing w:line="360" w:lineRule="auto"/>
        <w:jc w:val="right"/>
        <w:rPr>
          <w:rFonts w:ascii="宋体" w:hAnsi="宋体" w:cs="宋体"/>
          <w:sz w:val="24"/>
          <w:szCs w:val="24"/>
        </w:rPr>
      </w:pPr>
      <w:r>
        <w:rPr>
          <w:rFonts w:hint="eastAsia" w:ascii="宋体" w:hAnsi="宋体" w:cs="宋体"/>
          <w:sz w:val="24"/>
          <w:szCs w:val="24"/>
        </w:rPr>
        <w:t xml:space="preserve">投标单位（盖章）：  </w:t>
      </w:r>
    </w:p>
    <w:p>
      <w:pPr>
        <w:spacing w:line="360" w:lineRule="auto"/>
        <w:jc w:val="right"/>
        <w:rPr>
          <w:rFonts w:ascii="宋体" w:hAnsi="宋体" w:cs="宋体"/>
          <w:sz w:val="24"/>
          <w:szCs w:val="24"/>
        </w:rPr>
      </w:pPr>
      <w:r>
        <w:rPr>
          <w:rFonts w:hint="eastAsia" w:ascii="宋体" w:hAnsi="宋体" w:cs="宋体"/>
          <w:sz w:val="24"/>
          <w:szCs w:val="24"/>
        </w:rPr>
        <w:t xml:space="preserve">    </w:t>
      </w:r>
    </w:p>
    <w:p>
      <w:pPr>
        <w:spacing w:line="360" w:lineRule="auto"/>
        <w:jc w:val="right"/>
        <w:rPr>
          <w:rFonts w:ascii="宋体" w:hAnsi="宋体" w:cs="宋体"/>
          <w:sz w:val="24"/>
          <w:szCs w:val="24"/>
        </w:rPr>
      </w:pPr>
      <w:r>
        <w:rPr>
          <w:rFonts w:hint="eastAsia" w:ascii="宋体" w:hAnsi="宋体" w:cs="宋体"/>
          <w:sz w:val="24"/>
          <w:szCs w:val="24"/>
        </w:rPr>
        <w:t xml:space="preserve">法定代表人或被授权人（签名或盖章）：    </w:t>
      </w:r>
    </w:p>
    <w:p>
      <w:pPr>
        <w:spacing w:line="360" w:lineRule="auto"/>
        <w:ind w:firstLine="480" w:firstLineChars="200"/>
        <w:jc w:val="right"/>
        <w:rPr>
          <w:rFonts w:ascii="宋体" w:hAnsi="宋体" w:cs="宋体"/>
          <w:sz w:val="24"/>
          <w:szCs w:val="24"/>
        </w:rPr>
      </w:pPr>
      <w:r>
        <w:rPr>
          <w:rFonts w:hint="eastAsia" w:ascii="宋体" w:hAnsi="宋体" w:cs="宋体"/>
          <w:sz w:val="24"/>
          <w:szCs w:val="24"/>
        </w:rPr>
        <w:t xml:space="preserve">          </w:t>
      </w:r>
    </w:p>
    <w:p>
      <w:pPr>
        <w:spacing w:line="360" w:lineRule="auto"/>
        <w:jc w:val="right"/>
        <w:rPr>
          <w:rFonts w:ascii="宋体" w:hAnsi="宋体" w:cs="宋体"/>
          <w:sz w:val="24"/>
          <w:szCs w:val="24"/>
        </w:rPr>
      </w:pPr>
      <w:r>
        <w:rPr>
          <w:rFonts w:hint="eastAsia" w:ascii="宋体" w:hAnsi="宋体" w:cs="宋体"/>
          <w:sz w:val="24"/>
          <w:szCs w:val="24"/>
        </w:rPr>
        <w:t xml:space="preserve">日期：　　　年　　月　　日    </w:t>
      </w:r>
    </w:p>
    <w:p>
      <w:pPr>
        <w:pStyle w:val="6"/>
        <w:overflowPunct w:val="0"/>
        <w:spacing w:line="360" w:lineRule="auto"/>
        <w:ind w:firstLine="0"/>
        <w:rPr>
          <w:rFonts w:hAnsi="宋体" w:cs="宋体"/>
          <w:bCs/>
          <w:szCs w:val="24"/>
        </w:rPr>
      </w:pPr>
      <w:r>
        <w:rPr>
          <w:rFonts w:hint="eastAsia" w:hAnsi="宋体" w:cs="宋体"/>
          <w:bCs/>
          <w:szCs w:val="24"/>
        </w:rPr>
        <w:t>注：</w:t>
      </w:r>
    </w:p>
    <w:p>
      <w:pPr>
        <w:spacing w:line="360" w:lineRule="auto"/>
        <w:ind w:firstLine="480" w:firstLineChars="200"/>
        <w:rPr>
          <w:rFonts w:ascii="宋体" w:hAnsi="宋体" w:cs="宋体"/>
          <w:sz w:val="24"/>
          <w:szCs w:val="24"/>
        </w:rPr>
      </w:pPr>
      <w:r>
        <w:rPr>
          <w:rFonts w:hint="eastAsia" w:ascii="宋体" w:hAnsi="宋体" w:cs="宋体"/>
          <w:sz w:val="24"/>
          <w:szCs w:val="24"/>
        </w:rPr>
        <w:t>1、投标供应商报价时，应综合考虑完成本项目所需的全部服务成本、企业利润、税金和政策性文件规定及合同包含的所有风险、责任等各项应有费用。</w:t>
      </w:r>
    </w:p>
    <w:p>
      <w:pPr>
        <w:spacing w:line="360" w:lineRule="auto"/>
        <w:ind w:firstLine="480" w:firstLineChars="200"/>
        <w:rPr>
          <w:rFonts w:ascii="宋体" w:hAnsi="宋体" w:cs="宋体"/>
          <w:sz w:val="24"/>
          <w:szCs w:val="24"/>
        </w:rPr>
      </w:pPr>
      <w:r>
        <w:rPr>
          <w:rFonts w:hint="eastAsia" w:ascii="宋体" w:hAnsi="宋体" w:cs="宋体"/>
          <w:sz w:val="24"/>
          <w:szCs w:val="24"/>
        </w:rPr>
        <w:t>*2、如投标单位的最终报价明显低于成本价,涉嫌恶意竞争,扰乱市场秩序的，投标单位将自行承担由此而产生的任何法律责任。采购代理机构对此不承担任何责任。</w:t>
      </w:r>
    </w:p>
    <w:p>
      <w:pPr>
        <w:spacing w:line="360" w:lineRule="auto"/>
        <w:ind w:firstLine="480" w:firstLineChars="200"/>
        <w:rPr>
          <w:rFonts w:ascii="宋体" w:hAnsi="宋体" w:cs="宋体"/>
          <w:sz w:val="24"/>
          <w:szCs w:val="24"/>
        </w:rPr>
      </w:pPr>
      <w:r>
        <w:rPr>
          <w:rFonts w:hint="eastAsia" w:ascii="宋体" w:hAnsi="宋体" w:cs="宋体"/>
          <w:sz w:val="24"/>
          <w:szCs w:val="24"/>
        </w:rPr>
        <w:t>3、表式参考，可根据项目情况自行调整。</w:t>
      </w:r>
    </w:p>
    <w:p>
      <w:pPr>
        <w:widowControl/>
        <w:jc w:val="left"/>
        <w:rPr>
          <w:rFonts w:ascii="宋体" w:hAnsi="宋体" w:cs="宋体"/>
          <w:sz w:val="24"/>
          <w:szCs w:val="24"/>
        </w:rPr>
      </w:pPr>
      <w:r>
        <w:rPr>
          <w:rFonts w:hint="eastAsia" w:ascii="宋体" w:hAnsi="宋体" w:cs="宋体"/>
          <w:sz w:val="24"/>
          <w:szCs w:val="24"/>
        </w:rPr>
        <w:br w:type="page"/>
      </w:r>
    </w:p>
    <w:p>
      <w:pPr>
        <w:spacing w:line="360" w:lineRule="auto"/>
        <w:rPr>
          <w:rFonts w:ascii="宋体" w:hAnsi="宋体" w:cs="宋体"/>
          <w:sz w:val="24"/>
        </w:rPr>
        <w:sectPr>
          <w:footerReference r:id="rId3" w:type="default"/>
          <w:pgSz w:w="11906" w:h="16838"/>
          <w:pgMar w:top="1440" w:right="1800" w:bottom="1440" w:left="1800" w:header="851" w:footer="992" w:gutter="0"/>
          <w:cols w:space="720" w:num="1"/>
          <w:docGrid w:type="lines" w:linePitch="312" w:charSpace="0"/>
        </w:sectPr>
      </w:pPr>
      <w:bookmarkStart w:id="43" w:name="_Toc311189788"/>
      <w:bookmarkStart w:id="44" w:name="_Toc373054875"/>
      <w:bookmarkStart w:id="45" w:name="_Toc30417"/>
      <w:bookmarkStart w:id="46" w:name="_Toc29116"/>
      <w:bookmarkStart w:id="47" w:name="_Toc222799676"/>
      <w:bookmarkStart w:id="48" w:name="_Toc425"/>
      <w:bookmarkStart w:id="49" w:name="_Toc194739809"/>
    </w:p>
    <w:p>
      <w:pPr>
        <w:keepNext/>
        <w:keepLines/>
        <w:spacing w:line="360" w:lineRule="auto"/>
        <w:jc w:val="center"/>
        <w:outlineLvl w:val="1"/>
        <w:rPr>
          <w:rFonts w:ascii="宋体" w:hAnsi="宋体" w:cs="宋体"/>
          <w:b/>
          <w:bCs/>
          <w:sz w:val="32"/>
          <w:szCs w:val="32"/>
          <w:lang w:val="zh-CN"/>
        </w:rPr>
      </w:pPr>
      <w:bookmarkStart w:id="50" w:name="_Toc483256453"/>
      <w:bookmarkStart w:id="51" w:name="_Toc120261240"/>
      <w:bookmarkStart w:id="52" w:name="_Toc437339259"/>
      <w:bookmarkStart w:id="53" w:name="_Toc19739_WPSOffice_Level1"/>
      <w:bookmarkStart w:id="54" w:name="_Toc437349870"/>
      <w:r>
        <w:rPr>
          <w:rFonts w:hint="eastAsia" w:ascii="宋体" w:hAnsi="宋体" w:cs="宋体"/>
          <w:sz w:val="30"/>
          <w:szCs w:val="30"/>
        </w:rPr>
        <w:t>三</w:t>
      </w:r>
      <w:r>
        <w:rPr>
          <w:rFonts w:hint="eastAsia" w:ascii="宋体" w:hAnsi="宋体" w:cs="宋体"/>
          <w:b/>
          <w:bCs/>
          <w:sz w:val="32"/>
          <w:szCs w:val="32"/>
          <w:lang w:val="zh-CN"/>
        </w:rPr>
        <w:t>、项目组人员配备情况表</w:t>
      </w:r>
      <w:bookmarkEnd w:id="50"/>
      <w:bookmarkEnd w:id="51"/>
      <w:bookmarkEnd w:id="52"/>
      <w:bookmarkEnd w:id="53"/>
      <w:bookmarkEnd w:id="54"/>
    </w:p>
    <w:tbl>
      <w:tblPr>
        <w:tblStyle w:val="26"/>
        <w:tblW w:w="12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7"/>
        <w:gridCol w:w="1423"/>
        <w:gridCol w:w="2203"/>
        <w:gridCol w:w="3061"/>
        <w:gridCol w:w="2096"/>
        <w:gridCol w:w="22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pacing w:val="10"/>
                <w:sz w:val="24"/>
              </w:rPr>
            </w:pPr>
            <w:r>
              <w:rPr>
                <w:rFonts w:hint="eastAsia" w:ascii="宋体" w:hAnsi="宋体" w:cs="宋体"/>
                <w:bCs/>
                <w:spacing w:val="10"/>
                <w:sz w:val="24"/>
              </w:rPr>
              <w:t>序号</w:t>
            </w: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pacing w:val="10"/>
                <w:sz w:val="24"/>
              </w:rPr>
            </w:pPr>
            <w:r>
              <w:rPr>
                <w:rFonts w:hint="eastAsia" w:ascii="宋体" w:hAnsi="宋体" w:cs="宋体"/>
                <w:bCs/>
                <w:spacing w:val="10"/>
                <w:sz w:val="24"/>
              </w:rPr>
              <w:t>姓名</w:t>
            </w: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pacing w:val="10"/>
                <w:sz w:val="24"/>
              </w:rPr>
            </w:pPr>
            <w:r>
              <w:rPr>
                <w:rFonts w:hint="eastAsia" w:ascii="宋体" w:hAnsi="宋体" w:cs="宋体"/>
                <w:bCs/>
                <w:spacing w:val="10"/>
                <w:sz w:val="24"/>
              </w:rPr>
              <w:t>职称/证书</w:t>
            </w:r>
          </w:p>
        </w:tc>
        <w:tc>
          <w:tcPr>
            <w:tcW w:w="3061"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bCs/>
                <w:spacing w:val="10"/>
                <w:sz w:val="24"/>
              </w:rPr>
            </w:pPr>
            <w:r>
              <w:rPr>
                <w:rFonts w:hint="eastAsia" w:ascii="宋体" w:hAnsi="宋体" w:cs="宋体"/>
                <w:bCs/>
                <w:spacing w:val="10"/>
                <w:sz w:val="24"/>
              </w:rPr>
              <w:t>拟担任本项目的</w:t>
            </w:r>
          </w:p>
          <w:p>
            <w:pPr>
              <w:spacing w:line="360" w:lineRule="auto"/>
              <w:jc w:val="center"/>
              <w:rPr>
                <w:rFonts w:ascii="宋体" w:hAnsi="宋体" w:cs="宋体"/>
                <w:bCs/>
                <w:spacing w:val="10"/>
                <w:sz w:val="24"/>
              </w:rPr>
            </w:pPr>
            <w:r>
              <w:rPr>
                <w:rFonts w:hint="eastAsia" w:ascii="宋体" w:hAnsi="宋体" w:cs="宋体"/>
                <w:bCs/>
                <w:spacing w:val="10"/>
                <w:sz w:val="24"/>
              </w:rPr>
              <w:t>职务</w:t>
            </w:r>
          </w:p>
        </w:tc>
        <w:tc>
          <w:tcPr>
            <w:tcW w:w="2096"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bCs/>
                <w:spacing w:val="10"/>
                <w:sz w:val="24"/>
              </w:rPr>
            </w:pPr>
            <w:r>
              <w:rPr>
                <w:rFonts w:hint="eastAsia" w:ascii="宋体" w:hAnsi="宋体" w:cs="宋体"/>
                <w:bCs/>
                <w:spacing w:val="10"/>
                <w:sz w:val="24"/>
              </w:rPr>
              <w:t>参与的业绩情况</w:t>
            </w:r>
          </w:p>
        </w:tc>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pacing w:val="10"/>
                <w:sz w:val="24"/>
              </w:rPr>
            </w:pPr>
            <w:r>
              <w:rPr>
                <w:rFonts w:hint="eastAsia" w:ascii="宋体" w:hAnsi="宋体" w:cs="宋体"/>
                <w:bCs/>
                <w:spacing w:val="10"/>
                <w:sz w:val="24"/>
              </w:rPr>
              <w:t>在业绩中担任的职务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pacing w:val="10"/>
                <w:sz w:val="24"/>
              </w:rPr>
            </w:pPr>
            <w:r>
              <w:rPr>
                <w:rFonts w:hint="eastAsia" w:ascii="宋体" w:hAnsi="宋体" w:cs="宋体"/>
                <w:bCs/>
                <w:spacing w:val="10"/>
                <w:sz w:val="24"/>
              </w:rPr>
              <w:t>1</w:t>
            </w: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pacing w:val="10"/>
                <w:sz w:val="24"/>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pacing w:val="10"/>
                <w:sz w:val="24"/>
              </w:rPr>
            </w:pPr>
          </w:p>
        </w:tc>
        <w:tc>
          <w:tcPr>
            <w:tcW w:w="3061"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bCs/>
                <w:spacing w:val="10"/>
                <w:sz w:val="24"/>
              </w:rPr>
            </w:pPr>
          </w:p>
        </w:tc>
        <w:tc>
          <w:tcPr>
            <w:tcW w:w="2096"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bCs/>
                <w:spacing w:val="10"/>
                <w:sz w:val="24"/>
              </w:rPr>
            </w:pPr>
          </w:p>
        </w:tc>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pacing w:val="1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pacing w:val="10"/>
                <w:sz w:val="24"/>
              </w:rPr>
            </w:pPr>
            <w:r>
              <w:rPr>
                <w:rFonts w:hint="eastAsia" w:ascii="宋体" w:hAnsi="宋体" w:cs="宋体"/>
                <w:bCs/>
                <w:spacing w:val="10"/>
                <w:sz w:val="24"/>
              </w:rPr>
              <w:t>2</w:t>
            </w: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pacing w:val="10"/>
                <w:sz w:val="24"/>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pacing w:val="10"/>
                <w:sz w:val="24"/>
              </w:rPr>
            </w:pPr>
          </w:p>
        </w:tc>
        <w:tc>
          <w:tcPr>
            <w:tcW w:w="3061"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bCs/>
                <w:spacing w:val="10"/>
                <w:sz w:val="24"/>
              </w:rPr>
            </w:pPr>
          </w:p>
        </w:tc>
        <w:tc>
          <w:tcPr>
            <w:tcW w:w="2096"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bCs/>
                <w:spacing w:val="10"/>
                <w:sz w:val="24"/>
              </w:rPr>
            </w:pPr>
          </w:p>
        </w:tc>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pacing w:val="1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pacing w:val="10"/>
                <w:sz w:val="24"/>
              </w:rPr>
            </w:pPr>
            <w:r>
              <w:rPr>
                <w:rFonts w:hint="eastAsia" w:ascii="宋体" w:hAnsi="宋体" w:cs="宋体"/>
                <w:bCs/>
                <w:spacing w:val="10"/>
                <w:sz w:val="24"/>
              </w:rPr>
              <w:t>3</w:t>
            </w: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pacing w:val="10"/>
                <w:sz w:val="24"/>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pacing w:val="10"/>
                <w:sz w:val="24"/>
              </w:rPr>
            </w:pPr>
          </w:p>
        </w:tc>
        <w:tc>
          <w:tcPr>
            <w:tcW w:w="3061"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bCs/>
                <w:spacing w:val="10"/>
                <w:sz w:val="24"/>
              </w:rPr>
            </w:pPr>
          </w:p>
        </w:tc>
        <w:tc>
          <w:tcPr>
            <w:tcW w:w="2096"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bCs/>
                <w:spacing w:val="10"/>
                <w:sz w:val="24"/>
              </w:rPr>
            </w:pPr>
          </w:p>
        </w:tc>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pacing w:val="1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pacing w:val="10"/>
                <w:sz w:val="24"/>
              </w:rPr>
            </w:pPr>
            <w:r>
              <w:rPr>
                <w:rFonts w:hint="eastAsia" w:ascii="宋体" w:hAnsi="宋体" w:cs="宋体"/>
                <w:bCs/>
                <w:spacing w:val="10"/>
                <w:sz w:val="24"/>
              </w:rPr>
              <w:t>4</w:t>
            </w: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pacing w:val="10"/>
                <w:sz w:val="24"/>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pacing w:val="10"/>
                <w:sz w:val="24"/>
              </w:rPr>
            </w:pPr>
          </w:p>
        </w:tc>
        <w:tc>
          <w:tcPr>
            <w:tcW w:w="3061"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bCs/>
                <w:spacing w:val="10"/>
                <w:sz w:val="24"/>
              </w:rPr>
            </w:pPr>
          </w:p>
        </w:tc>
        <w:tc>
          <w:tcPr>
            <w:tcW w:w="2096"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bCs/>
                <w:spacing w:val="10"/>
                <w:sz w:val="24"/>
              </w:rPr>
            </w:pPr>
          </w:p>
        </w:tc>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pacing w:val="1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pacing w:val="10"/>
                <w:sz w:val="24"/>
              </w:rPr>
            </w:pPr>
            <w:r>
              <w:rPr>
                <w:rFonts w:hint="eastAsia" w:ascii="宋体" w:hAnsi="宋体" w:cs="宋体"/>
                <w:bCs/>
                <w:spacing w:val="10"/>
                <w:sz w:val="24"/>
              </w:rPr>
              <w:t>5</w:t>
            </w: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pacing w:val="10"/>
                <w:sz w:val="24"/>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pacing w:val="10"/>
                <w:sz w:val="24"/>
              </w:rPr>
            </w:pPr>
          </w:p>
        </w:tc>
        <w:tc>
          <w:tcPr>
            <w:tcW w:w="3061"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bCs/>
                <w:spacing w:val="10"/>
                <w:sz w:val="24"/>
              </w:rPr>
            </w:pPr>
          </w:p>
        </w:tc>
        <w:tc>
          <w:tcPr>
            <w:tcW w:w="2096"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bCs/>
                <w:spacing w:val="10"/>
                <w:sz w:val="24"/>
              </w:rPr>
            </w:pPr>
          </w:p>
        </w:tc>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pacing w:val="1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pacing w:val="10"/>
                <w:sz w:val="24"/>
              </w:rPr>
            </w:pPr>
            <w:r>
              <w:rPr>
                <w:rFonts w:hint="eastAsia" w:ascii="宋体" w:hAnsi="宋体" w:cs="宋体"/>
                <w:bCs/>
                <w:spacing w:val="10"/>
                <w:sz w:val="24"/>
              </w:rPr>
              <w:t>6</w:t>
            </w: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pacing w:val="10"/>
                <w:sz w:val="24"/>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pacing w:val="10"/>
                <w:sz w:val="24"/>
              </w:rPr>
            </w:pPr>
          </w:p>
        </w:tc>
        <w:tc>
          <w:tcPr>
            <w:tcW w:w="3061"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bCs/>
                <w:spacing w:val="10"/>
                <w:sz w:val="24"/>
              </w:rPr>
            </w:pPr>
          </w:p>
        </w:tc>
        <w:tc>
          <w:tcPr>
            <w:tcW w:w="2096"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bCs/>
                <w:spacing w:val="10"/>
                <w:sz w:val="24"/>
              </w:rPr>
            </w:pPr>
          </w:p>
        </w:tc>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pacing w:val="10"/>
                <w:sz w:val="24"/>
              </w:rPr>
            </w:pPr>
          </w:p>
        </w:tc>
      </w:tr>
    </w:tbl>
    <w:p>
      <w:pPr>
        <w:spacing w:line="360" w:lineRule="auto"/>
        <w:ind w:firstLine="480" w:firstLineChars="200"/>
        <w:rPr>
          <w:rFonts w:ascii="宋体" w:hAnsi="宋体" w:cs="宋体"/>
          <w:sz w:val="24"/>
          <w:szCs w:val="28"/>
        </w:rPr>
      </w:pPr>
      <w:r>
        <w:rPr>
          <w:rFonts w:hint="eastAsia" w:ascii="宋体" w:hAnsi="宋体" w:cs="宋体"/>
          <w:sz w:val="24"/>
          <w:szCs w:val="28"/>
        </w:rPr>
        <w:t>备注：1、本表可扩展及增加；</w:t>
      </w:r>
    </w:p>
    <w:p>
      <w:pPr>
        <w:spacing w:line="360" w:lineRule="auto"/>
        <w:ind w:firstLine="1200" w:firstLineChars="500"/>
        <w:rPr>
          <w:rFonts w:ascii="宋体" w:hAnsi="宋体" w:cs="宋体"/>
          <w:sz w:val="24"/>
          <w:szCs w:val="28"/>
        </w:rPr>
      </w:pPr>
      <w:r>
        <w:rPr>
          <w:rFonts w:hint="eastAsia" w:ascii="宋体" w:hAnsi="宋体" w:cs="宋体"/>
          <w:sz w:val="24"/>
          <w:szCs w:val="28"/>
        </w:rPr>
        <w:t>2、本表后需附身份证、证书等复印件。</w:t>
      </w:r>
    </w:p>
    <w:p>
      <w:pPr>
        <w:spacing w:line="360" w:lineRule="auto"/>
        <w:ind w:firstLine="1500" w:firstLineChars="500"/>
        <w:rPr>
          <w:rFonts w:ascii="宋体" w:hAnsi="宋体" w:cs="宋体"/>
          <w:sz w:val="30"/>
          <w:szCs w:val="30"/>
        </w:rPr>
        <w:sectPr>
          <w:pgSz w:w="16838" w:h="11906" w:orient="landscape"/>
          <w:pgMar w:top="1797" w:right="1440" w:bottom="1797" w:left="1440" w:header="851" w:footer="992" w:gutter="0"/>
          <w:cols w:space="720" w:num="1"/>
          <w:docGrid w:type="linesAndChars" w:linePitch="312" w:charSpace="0"/>
        </w:sectPr>
      </w:pPr>
    </w:p>
    <w:p>
      <w:pPr>
        <w:spacing w:line="360" w:lineRule="auto"/>
        <w:jc w:val="center"/>
        <w:outlineLvl w:val="1"/>
        <w:rPr>
          <w:rFonts w:ascii="宋体" w:hAnsi="宋体" w:cs="宋体"/>
          <w:sz w:val="28"/>
          <w:szCs w:val="28"/>
        </w:rPr>
      </w:pPr>
      <w:bookmarkStart w:id="55" w:name="_Toc21060_WPSOffice_Level1"/>
      <w:bookmarkStart w:id="56" w:name="_Toc120261241"/>
      <w:r>
        <w:rPr>
          <w:rFonts w:hint="eastAsia" w:ascii="宋体" w:hAnsi="宋体" w:cs="宋体"/>
          <w:sz w:val="28"/>
          <w:szCs w:val="28"/>
        </w:rPr>
        <w:t>四、技术部分</w:t>
      </w:r>
      <w:bookmarkEnd w:id="55"/>
      <w:bookmarkEnd w:id="56"/>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招标文件中提出的需求是最基本的服务要求，各投标人须响应这些要求，并可以在此基础上，根据自身优势进一步优化。</w:t>
      </w:r>
    </w:p>
    <w:p>
      <w:pPr>
        <w:spacing w:line="360" w:lineRule="auto"/>
        <w:ind w:firstLine="420" w:firstLineChars="200"/>
        <w:rPr>
          <w:rFonts w:ascii="宋体" w:hAnsi="宋体" w:cs="宋体"/>
          <w:bCs/>
          <w:sz w:val="24"/>
          <w:szCs w:val="22"/>
        </w:rPr>
      </w:pPr>
      <w:r>
        <w:rPr>
          <w:rFonts w:hint="eastAsia" w:ascii="宋体" w:hAnsi="宋体" w:cs="宋体"/>
          <w:szCs w:val="21"/>
        </w:rPr>
        <w:t xml:space="preserve"> </w:t>
      </w:r>
    </w:p>
    <w:p>
      <w:pPr>
        <w:spacing w:line="360" w:lineRule="auto"/>
        <w:ind w:firstLine="720" w:firstLineChars="300"/>
        <w:rPr>
          <w:rFonts w:ascii="宋体" w:hAnsi="宋体" w:cs="宋体"/>
          <w:bCs/>
          <w:sz w:val="24"/>
          <w:szCs w:val="22"/>
        </w:rPr>
      </w:pPr>
    </w:p>
    <w:p>
      <w:pPr>
        <w:tabs>
          <w:tab w:val="left" w:pos="1140"/>
        </w:tabs>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560" w:firstLineChars="1900"/>
        <w:rPr>
          <w:rFonts w:ascii="宋体" w:hAnsi="宋体" w:cs="宋体"/>
          <w:bCs/>
          <w:sz w:val="24"/>
        </w:rPr>
      </w:pPr>
      <w:r>
        <w:rPr>
          <w:rFonts w:hint="eastAsia" w:ascii="宋体" w:hAnsi="宋体" w:cs="宋体"/>
          <w:bCs/>
          <w:sz w:val="24"/>
        </w:rPr>
        <w:t xml:space="preserve">投标单位（盖章）：  </w:t>
      </w:r>
    </w:p>
    <w:p>
      <w:pPr>
        <w:spacing w:line="360" w:lineRule="auto"/>
        <w:rPr>
          <w:rFonts w:ascii="宋体" w:hAnsi="宋体" w:cs="宋体"/>
          <w:bCs/>
          <w:sz w:val="24"/>
        </w:rPr>
      </w:pPr>
      <w:r>
        <w:rPr>
          <w:rFonts w:hint="eastAsia" w:ascii="宋体" w:hAnsi="宋体" w:cs="宋体"/>
          <w:bCs/>
          <w:sz w:val="24"/>
        </w:rPr>
        <w:t xml:space="preserve">    </w:t>
      </w:r>
    </w:p>
    <w:p>
      <w:pPr>
        <w:spacing w:line="360" w:lineRule="auto"/>
        <w:ind w:firstLine="2160" w:firstLineChars="900"/>
        <w:rPr>
          <w:rFonts w:ascii="宋体" w:hAnsi="宋体" w:cs="宋体"/>
          <w:bCs/>
          <w:sz w:val="24"/>
        </w:rPr>
      </w:pPr>
      <w:r>
        <w:rPr>
          <w:rFonts w:hint="eastAsia" w:ascii="宋体" w:hAnsi="宋体" w:cs="宋体"/>
          <w:bCs/>
          <w:sz w:val="24"/>
        </w:rPr>
        <w:t xml:space="preserve">         法定代表人或</w:t>
      </w:r>
      <w:r>
        <w:rPr>
          <w:rFonts w:hint="eastAsia" w:ascii="宋体" w:hAnsi="宋体" w:cs="宋体"/>
          <w:sz w:val="24"/>
          <w:szCs w:val="24"/>
        </w:rPr>
        <w:t>被授权人</w:t>
      </w:r>
      <w:r>
        <w:rPr>
          <w:rFonts w:hint="eastAsia" w:ascii="宋体" w:hAnsi="宋体" w:cs="宋体"/>
          <w:bCs/>
          <w:sz w:val="24"/>
        </w:rPr>
        <w:t xml:space="preserve">（签名或盖章）：  </w:t>
      </w:r>
    </w:p>
    <w:p>
      <w:pPr>
        <w:spacing w:line="360" w:lineRule="auto"/>
        <w:ind w:firstLine="480" w:firstLineChars="200"/>
        <w:rPr>
          <w:rFonts w:ascii="宋体" w:hAnsi="宋体" w:cs="宋体"/>
          <w:bCs/>
          <w:sz w:val="24"/>
        </w:rPr>
      </w:pPr>
      <w:r>
        <w:rPr>
          <w:rFonts w:hint="eastAsia" w:ascii="宋体" w:hAnsi="宋体" w:cs="宋体"/>
          <w:bCs/>
          <w:sz w:val="24"/>
        </w:rPr>
        <w:t xml:space="preserve">                  </w:t>
      </w:r>
    </w:p>
    <w:p>
      <w:pPr>
        <w:spacing w:line="360" w:lineRule="auto"/>
        <w:jc w:val="center"/>
        <w:rPr>
          <w:rFonts w:ascii="宋体" w:hAnsi="宋体" w:cs="宋体"/>
          <w:sz w:val="24"/>
        </w:rPr>
      </w:pPr>
      <w:r>
        <w:rPr>
          <w:rFonts w:hint="eastAsia" w:ascii="宋体" w:hAnsi="宋体" w:cs="宋体"/>
        </w:rPr>
        <w:t xml:space="preserve">                                      </w:t>
      </w:r>
      <w:r>
        <w:rPr>
          <w:rFonts w:hint="eastAsia" w:ascii="宋体" w:hAnsi="宋体" w:cs="宋体"/>
          <w:sz w:val="24"/>
        </w:rPr>
        <w:t>日期：     年    月    日</w:t>
      </w:r>
    </w:p>
    <w:p>
      <w:pPr>
        <w:spacing w:line="360" w:lineRule="auto"/>
        <w:jc w:val="center"/>
        <w:rPr>
          <w:rFonts w:ascii="宋体" w:hAnsi="宋体" w:cs="宋体"/>
          <w:sz w:val="28"/>
          <w:szCs w:val="28"/>
        </w:rPr>
      </w:pPr>
      <w:r>
        <w:rPr>
          <w:rFonts w:hint="eastAsia" w:ascii="宋体" w:hAnsi="宋体" w:cs="宋体"/>
          <w:sz w:val="24"/>
        </w:rPr>
        <w:br w:type="page"/>
      </w:r>
      <w:bookmarkStart w:id="57" w:name="_Toc5895_WPSOffice_Level1"/>
      <w:bookmarkStart w:id="58" w:name="_Toc393194388"/>
      <w:r>
        <w:rPr>
          <w:rFonts w:hint="eastAsia" w:ascii="宋体" w:hAnsi="宋体" w:cs="宋体"/>
          <w:sz w:val="28"/>
          <w:szCs w:val="28"/>
        </w:rPr>
        <w:t>五、技术要求响应及偏离表（如有）</w:t>
      </w:r>
      <w:bookmarkEnd w:id="57"/>
    </w:p>
    <w:p>
      <w:pPr>
        <w:spacing w:line="360" w:lineRule="auto"/>
        <w:jc w:val="center"/>
        <w:rPr>
          <w:rFonts w:ascii="宋体" w:hAnsi="宋体" w:cs="宋体"/>
          <w:sz w:val="28"/>
          <w:szCs w:val="28"/>
        </w:rPr>
      </w:pPr>
    </w:p>
    <w:tbl>
      <w:tblPr>
        <w:tblStyle w:val="26"/>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415"/>
        <w:gridCol w:w="2308"/>
        <w:gridCol w:w="1713"/>
        <w:gridCol w:w="19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5"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2415" w:type="dxa"/>
            <w:vAlign w:val="center"/>
          </w:tcPr>
          <w:p>
            <w:pPr>
              <w:spacing w:line="360" w:lineRule="auto"/>
              <w:jc w:val="center"/>
              <w:rPr>
                <w:rFonts w:ascii="宋体" w:hAnsi="宋体" w:cs="宋体"/>
                <w:sz w:val="24"/>
              </w:rPr>
            </w:pPr>
            <w:r>
              <w:rPr>
                <w:rFonts w:hint="eastAsia" w:ascii="宋体" w:hAnsi="宋体" w:cs="宋体"/>
                <w:sz w:val="24"/>
              </w:rPr>
              <w:t>招标文件</w:t>
            </w:r>
          </w:p>
          <w:p>
            <w:pPr>
              <w:spacing w:line="360" w:lineRule="auto"/>
              <w:jc w:val="center"/>
              <w:rPr>
                <w:rFonts w:ascii="宋体" w:hAnsi="宋体" w:cs="宋体"/>
                <w:sz w:val="24"/>
              </w:rPr>
            </w:pPr>
            <w:r>
              <w:rPr>
                <w:rFonts w:hint="eastAsia" w:ascii="宋体" w:hAnsi="宋体" w:cs="宋体"/>
                <w:sz w:val="24"/>
              </w:rPr>
              <w:t>技术要求</w:t>
            </w:r>
          </w:p>
        </w:tc>
        <w:tc>
          <w:tcPr>
            <w:tcW w:w="2308" w:type="dxa"/>
            <w:vAlign w:val="center"/>
          </w:tcPr>
          <w:p>
            <w:pPr>
              <w:spacing w:line="360" w:lineRule="auto"/>
              <w:jc w:val="center"/>
              <w:rPr>
                <w:rFonts w:ascii="宋体" w:hAnsi="宋体" w:cs="宋体"/>
                <w:sz w:val="24"/>
              </w:rPr>
            </w:pPr>
            <w:r>
              <w:rPr>
                <w:rFonts w:hint="eastAsia" w:ascii="宋体" w:hAnsi="宋体" w:cs="宋体"/>
                <w:sz w:val="24"/>
              </w:rPr>
              <w:t>响应文件</w:t>
            </w:r>
          </w:p>
          <w:p>
            <w:pPr>
              <w:spacing w:line="360" w:lineRule="auto"/>
              <w:jc w:val="center"/>
              <w:rPr>
                <w:rFonts w:ascii="宋体" w:hAnsi="宋体" w:cs="宋体"/>
                <w:sz w:val="24"/>
              </w:rPr>
            </w:pPr>
            <w:r>
              <w:rPr>
                <w:rFonts w:hint="eastAsia" w:ascii="宋体" w:hAnsi="宋体" w:cs="宋体"/>
                <w:sz w:val="24"/>
              </w:rPr>
              <w:t>技术规范描述</w:t>
            </w:r>
          </w:p>
        </w:tc>
        <w:tc>
          <w:tcPr>
            <w:tcW w:w="1713" w:type="dxa"/>
            <w:vAlign w:val="center"/>
          </w:tcPr>
          <w:p>
            <w:pPr>
              <w:spacing w:line="360" w:lineRule="auto"/>
              <w:jc w:val="center"/>
              <w:rPr>
                <w:rFonts w:ascii="宋体" w:hAnsi="宋体" w:cs="宋体"/>
                <w:sz w:val="24"/>
              </w:rPr>
            </w:pPr>
            <w:r>
              <w:rPr>
                <w:rFonts w:hint="eastAsia" w:ascii="宋体" w:hAnsi="宋体" w:cs="宋体"/>
                <w:sz w:val="24"/>
              </w:rPr>
              <w:t>有无偏离</w:t>
            </w:r>
          </w:p>
        </w:tc>
        <w:tc>
          <w:tcPr>
            <w:tcW w:w="1911" w:type="dxa"/>
            <w:vAlign w:val="center"/>
          </w:tcPr>
          <w:p>
            <w:pPr>
              <w:spacing w:line="360" w:lineRule="auto"/>
              <w:jc w:val="center"/>
              <w:rPr>
                <w:rFonts w:ascii="宋体" w:hAnsi="宋体" w:cs="宋体"/>
                <w:sz w:val="24"/>
              </w:rPr>
            </w:pPr>
            <w:r>
              <w:rPr>
                <w:rFonts w:hint="eastAsia" w:ascii="宋体" w:hAnsi="宋体" w:cs="宋体"/>
                <w:sz w:val="24"/>
              </w:rPr>
              <w:t>偏离内容及原因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auto"/>
              <w:jc w:val="center"/>
              <w:rPr>
                <w:rFonts w:ascii="宋体" w:hAnsi="宋体" w:cs="宋体"/>
                <w:sz w:val="24"/>
              </w:rPr>
            </w:pPr>
            <w:r>
              <w:rPr>
                <w:rFonts w:hint="eastAsia" w:ascii="宋体" w:hAnsi="宋体" w:cs="宋体"/>
                <w:sz w:val="24"/>
              </w:rPr>
              <w:t>1</w:t>
            </w:r>
          </w:p>
        </w:tc>
        <w:tc>
          <w:tcPr>
            <w:tcW w:w="2415" w:type="dxa"/>
            <w:vAlign w:val="center"/>
          </w:tcPr>
          <w:p>
            <w:pPr>
              <w:spacing w:line="360" w:lineRule="auto"/>
              <w:jc w:val="center"/>
              <w:rPr>
                <w:rFonts w:ascii="宋体" w:hAnsi="宋体" w:cs="宋体"/>
                <w:sz w:val="24"/>
              </w:rPr>
            </w:pPr>
          </w:p>
        </w:tc>
        <w:tc>
          <w:tcPr>
            <w:tcW w:w="2308" w:type="dxa"/>
            <w:vAlign w:val="center"/>
          </w:tcPr>
          <w:p>
            <w:pPr>
              <w:spacing w:line="360" w:lineRule="auto"/>
              <w:jc w:val="center"/>
              <w:rPr>
                <w:rFonts w:ascii="宋体" w:hAnsi="宋体" w:cs="宋体"/>
                <w:sz w:val="24"/>
              </w:rPr>
            </w:pPr>
          </w:p>
        </w:tc>
        <w:tc>
          <w:tcPr>
            <w:tcW w:w="1713" w:type="dxa"/>
            <w:vAlign w:val="center"/>
          </w:tcPr>
          <w:p>
            <w:pPr>
              <w:spacing w:line="360" w:lineRule="auto"/>
              <w:jc w:val="center"/>
              <w:rPr>
                <w:rFonts w:ascii="宋体" w:hAnsi="宋体" w:cs="宋体"/>
                <w:sz w:val="24"/>
              </w:rPr>
            </w:pPr>
          </w:p>
        </w:tc>
        <w:tc>
          <w:tcPr>
            <w:tcW w:w="1911" w:type="dxa"/>
            <w:vAlign w:val="center"/>
          </w:tcPr>
          <w:p>
            <w:pPr>
              <w:spacing w:line="360" w:lineRule="auto"/>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auto"/>
              <w:jc w:val="center"/>
              <w:rPr>
                <w:rFonts w:ascii="宋体" w:hAnsi="宋体" w:cs="宋体"/>
                <w:sz w:val="24"/>
              </w:rPr>
            </w:pPr>
            <w:r>
              <w:rPr>
                <w:rFonts w:hint="eastAsia" w:ascii="宋体" w:hAnsi="宋体" w:cs="宋体"/>
                <w:sz w:val="24"/>
              </w:rPr>
              <w:t>2</w:t>
            </w:r>
          </w:p>
        </w:tc>
        <w:tc>
          <w:tcPr>
            <w:tcW w:w="2415" w:type="dxa"/>
            <w:vAlign w:val="center"/>
          </w:tcPr>
          <w:p>
            <w:pPr>
              <w:spacing w:line="360" w:lineRule="auto"/>
              <w:jc w:val="center"/>
              <w:rPr>
                <w:rFonts w:ascii="宋体" w:hAnsi="宋体" w:cs="宋体"/>
                <w:sz w:val="24"/>
              </w:rPr>
            </w:pPr>
          </w:p>
        </w:tc>
        <w:tc>
          <w:tcPr>
            <w:tcW w:w="2308" w:type="dxa"/>
            <w:vAlign w:val="center"/>
          </w:tcPr>
          <w:p>
            <w:pPr>
              <w:spacing w:line="360" w:lineRule="auto"/>
              <w:jc w:val="center"/>
              <w:rPr>
                <w:rFonts w:ascii="宋体" w:hAnsi="宋体" w:cs="宋体"/>
                <w:sz w:val="24"/>
              </w:rPr>
            </w:pPr>
          </w:p>
        </w:tc>
        <w:tc>
          <w:tcPr>
            <w:tcW w:w="1713" w:type="dxa"/>
            <w:vAlign w:val="center"/>
          </w:tcPr>
          <w:p>
            <w:pPr>
              <w:spacing w:line="360" w:lineRule="auto"/>
              <w:jc w:val="center"/>
              <w:rPr>
                <w:rFonts w:ascii="宋体" w:hAnsi="宋体" w:cs="宋体"/>
                <w:sz w:val="24"/>
              </w:rPr>
            </w:pPr>
          </w:p>
        </w:tc>
        <w:tc>
          <w:tcPr>
            <w:tcW w:w="1911" w:type="dxa"/>
            <w:vAlign w:val="center"/>
          </w:tcPr>
          <w:p>
            <w:pPr>
              <w:spacing w:line="360" w:lineRule="auto"/>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auto"/>
              <w:jc w:val="center"/>
              <w:rPr>
                <w:rFonts w:ascii="宋体" w:hAnsi="宋体" w:cs="宋体"/>
                <w:sz w:val="24"/>
              </w:rPr>
            </w:pPr>
            <w:r>
              <w:rPr>
                <w:rFonts w:hint="eastAsia" w:ascii="宋体" w:hAnsi="宋体" w:cs="宋体"/>
                <w:sz w:val="24"/>
              </w:rPr>
              <w:t>3</w:t>
            </w:r>
          </w:p>
        </w:tc>
        <w:tc>
          <w:tcPr>
            <w:tcW w:w="2415" w:type="dxa"/>
            <w:vAlign w:val="center"/>
          </w:tcPr>
          <w:p>
            <w:pPr>
              <w:spacing w:line="360" w:lineRule="auto"/>
              <w:jc w:val="center"/>
              <w:rPr>
                <w:rFonts w:ascii="宋体" w:hAnsi="宋体" w:cs="宋体"/>
                <w:sz w:val="24"/>
              </w:rPr>
            </w:pPr>
          </w:p>
        </w:tc>
        <w:tc>
          <w:tcPr>
            <w:tcW w:w="2308" w:type="dxa"/>
            <w:vAlign w:val="center"/>
          </w:tcPr>
          <w:p>
            <w:pPr>
              <w:spacing w:line="360" w:lineRule="auto"/>
              <w:jc w:val="center"/>
              <w:rPr>
                <w:rFonts w:ascii="宋体" w:hAnsi="宋体" w:cs="宋体"/>
                <w:sz w:val="24"/>
              </w:rPr>
            </w:pPr>
          </w:p>
        </w:tc>
        <w:tc>
          <w:tcPr>
            <w:tcW w:w="1713" w:type="dxa"/>
            <w:vAlign w:val="center"/>
          </w:tcPr>
          <w:p>
            <w:pPr>
              <w:spacing w:line="360" w:lineRule="auto"/>
              <w:jc w:val="center"/>
              <w:rPr>
                <w:rFonts w:ascii="宋体" w:hAnsi="宋体" w:cs="宋体"/>
                <w:sz w:val="24"/>
              </w:rPr>
            </w:pPr>
          </w:p>
        </w:tc>
        <w:tc>
          <w:tcPr>
            <w:tcW w:w="1911" w:type="dxa"/>
            <w:vAlign w:val="center"/>
          </w:tcPr>
          <w:p>
            <w:pPr>
              <w:spacing w:line="360" w:lineRule="auto"/>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auto"/>
              <w:jc w:val="center"/>
              <w:rPr>
                <w:rFonts w:ascii="宋体" w:hAnsi="宋体" w:cs="宋体"/>
                <w:sz w:val="24"/>
              </w:rPr>
            </w:pPr>
            <w:r>
              <w:rPr>
                <w:rFonts w:hint="eastAsia" w:ascii="宋体" w:hAnsi="宋体" w:cs="宋体"/>
                <w:sz w:val="24"/>
              </w:rPr>
              <w:t>……</w:t>
            </w:r>
          </w:p>
        </w:tc>
        <w:tc>
          <w:tcPr>
            <w:tcW w:w="2415" w:type="dxa"/>
            <w:vAlign w:val="center"/>
          </w:tcPr>
          <w:p>
            <w:pPr>
              <w:spacing w:line="360" w:lineRule="auto"/>
              <w:jc w:val="center"/>
              <w:rPr>
                <w:rFonts w:ascii="宋体" w:hAnsi="宋体" w:cs="宋体"/>
                <w:sz w:val="24"/>
              </w:rPr>
            </w:pPr>
          </w:p>
        </w:tc>
        <w:tc>
          <w:tcPr>
            <w:tcW w:w="2308" w:type="dxa"/>
            <w:vAlign w:val="center"/>
          </w:tcPr>
          <w:p>
            <w:pPr>
              <w:spacing w:line="360" w:lineRule="auto"/>
              <w:jc w:val="center"/>
              <w:rPr>
                <w:rFonts w:ascii="宋体" w:hAnsi="宋体" w:cs="宋体"/>
                <w:sz w:val="24"/>
              </w:rPr>
            </w:pPr>
          </w:p>
        </w:tc>
        <w:tc>
          <w:tcPr>
            <w:tcW w:w="1713" w:type="dxa"/>
            <w:vAlign w:val="center"/>
          </w:tcPr>
          <w:p>
            <w:pPr>
              <w:spacing w:line="360" w:lineRule="auto"/>
              <w:jc w:val="center"/>
              <w:rPr>
                <w:rFonts w:ascii="宋体" w:hAnsi="宋体" w:cs="宋体"/>
                <w:sz w:val="24"/>
              </w:rPr>
            </w:pPr>
          </w:p>
        </w:tc>
        <w:tc>
          <w:tcPr>
            <w:tcW w:w="1911" w:type="dxa"/>
            <w:vAlign w:val="center"/>
          </w:tcPr>
          <w:p>
            <w:pPr>
              <w:spacing w:line="360" w:lineRule="auto"/>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auto"/>
              <w:jc w:val="center"/>
              <w:rPr>
                <w:rFonts w:ascii="宋体" w:hAnsi="宋体" w:cs="宋体"/>
                <w:sz w:val="24"/>
              </w:rPr>
            </w:pPr>
          </w:p>
        </w:tc>
        <w:tc>
          <w:tcPr>
            <w:tcW w:w="2415" w:type="dxa"/>
            <w:vAlign w:val="center"/>
          </w:tcPr>
          <w:p>
            <w:pPr>
              <w:spacing w:line="360" w:lineRule="auto"/>
              <w:jc w:val="center"/>
              <w:rPr>
                <w:rFonts w:ascii="宋体" w:hAnsi="宋体" w:cs="宋体"/>
                <w:sz w:val="24"/>
              </w:rPr>
            </w:pPr>
          </w:p>
        </w:tc>
        <w:tc>
          <w:tcPr>
            <w:tcW w:w="2308" w:type="dxa"/>
            <w:vAlign w:val="center"/>
          </w:tcPr>
          <w:p>
            <w:pPr>
              <w:spacing w:line="360" w:lineRule="auto"/>
              <w:jc w:val="center"/>
              <w:rPr>
                <w:rFonts w:ascii="宋体" w:hAnsi="宋体" w:cs="宋体"/>
                <w:sz w:val="24"/>
              </w:rPr>
            </w:pPr>
          </w:p>
        </w:tc>
        <w:tc>
          <w:tcPr>
            <w:tcW w:w="1713" w:type="dxa"/>
            <w:vAlign w:val="center"/>
          </w:tcPr>
          <w:p>
            <w:pPr>
              <w:spacing w:line="360" w:lineRule="auto"/>
              <w:jc w:val="center"/>
              <w:rPr>
                <w:rFonts w:ascii="宋体" w:hAnsi="宋体" w:cs="宋体"/>
                <w:sz w:val="24"/>
              </w:rPr>
            </w:pPr>
          </w:p>
        </w:tc>
        <w:tc>
          <w:tcPr>
            <w:tcW w:w="1911" w:type="dxa"/>
            <w:vAlign w:val="center"/>
          </w:tcPr>
          <w:p>
            <w:pPr>
              <w:spacing w:line="360" w:lineRule="auto"/>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auto"/>
              <w:jc w:val="center"/>
              <w:rPr>
                <w:rFonts w:ascii="宋体" w:hAnsi="宋体" w:cs="宋体"/>
                <w:sz w:val="24"/>
              </w:rPr>
            </w:pPr>
          </w:p>
        </w:tc>
        <w:tc>
          <w:tcPr>
            <w:tcW w:w="2415" w:type="dxa"/>
            <w:vAlign w:val="center"/>
          </w:tcPr>
          <w:p>
            <w:pPr>
              <w:spacing w:line="360" w:lineRule="auto"/>
              <w:jc w:val="center"/>
              <w:rPr>
                <w:rFonts w:ascii="宋体" w:hAnsi="宋体" w:cs="宋体"/>
                <w:sz w:val="24"/>
              </w:rPr>
            </w:pPr>
          </w:p>
        </w:tc>
        <w:tc>
          <w:tcPr>
            <w:tcW w:w="2308" w:type="dxa"/>
            <w:vAlign w:val="center"/>
          </w:tcPr>
          <w:p>
            <w:pPr>
              <w:spacing w:line="360" w:lineRule="auto"/>
              <w:jc w:val="center"/>
              <w:rPr>
                <w:rFonts w:ascii="宋体" w:hAnsi="宋体" w:cs="宋体"/>
                <w:sz w:val="24"/>
              </w:rPr>
            </w:pPr>
          </w:p>
        </w:tc>
        <w:tc>
          <w:tcPr>
            <w:tcW w:w="1713" w:type="dxa"/>
            <w:vAlign w:val="center"/>
          </w:tcPr>
          <w:p>
            <w:pPr>
              <w:spacing w:line="360" w:lineRule="auto"/>
              <w:jc w:val="center"/>
              <w:rPr>
                <w:rFonts w:ascii="宋体" w:hAnsi="宋体" w:cs="宋体"/>
                <w:sz w:val="24"/>
              </w:rPr>
            </w:pPr>
          </w:p>
        </w:tc>
        <w:tc>
          <w:tcPr>
            <w:tcW w:w="1911" w:type="dxa"/>
            <w:vAlign w:val="center"/>
          </w:tcPr>
          <w:p>
            <w:pPr>
              <w:spacing w:line="360" w:lineRule="auto"/>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auto"/>
              <w:jc w:val="center"/>
              <w:rPr>
                <w:rFonts w:ascii="宋体" w:hAnsi="宋体" w:cs="宋体"/>
                <w:sz w:val="24"/>
              </w:rPr>
            </w:pPr>
          </w:p>
        </w:tc>
        <w:tc>
          <w:tcPr>
            <w:tcW w:w="2415" w:type="dxa"/>
            <w:vAlign w:val="center"/>
          </w:tcPr>
          <w:p>
            <w:pPr>
              <w:spacing w:line="360" w:lineRule="auto"/>
              <w:jc w:val="center"/>
              <w:rPr>
                <w:rFonts w:ascii="宋体" w:hAnsi="宋体" w:cs="宋体"/>
                <w:sz w:val="24"/>
              </w:rPr>
            </w:pPr>
          </w:p>
        </w:tc>
        <w:tc>
          <w:tcPr>
            <w:tcW w:w="2308" w:type="dxa"/>
            <w:vAlign w:val="center"/>
          </w:tcPr>
          <w:p>
            <w:pPr>
              <w:spacing w:line="360" w:lineRule="auto"/>
              <w:jc w:val="center"/>
              <w:rPr>
                <w:rFonts w:ascii="宋体" w:hAnsi="宋体" w:cs="宋体"/>
                <w:sz w:val="24"/>
              </w:rPr>
            </w:pPr>
          </w:p>
        </w:tc>
        <w:tc>
          <w:tcPr>
            <w:tcW w:w="1713" w:type="dxa"/>
            <w:vAlign w:val="center"/>
          </w:tcPr>
          <w:p>
            <w:pPr>
              <w:spacing w:line="360" w:lineRule="auto"/>
              <w:jc w:val="center"/>
              <w:rPr>
                <w:rFonts w:ascii="宋体" w:hAnsi="宋体" w:cs="宋体"/>
                <w:sz w:val="24"/>
              </w:rPr>
            </w:pPr>
          </w:p>
        </w:tc>
        <w:tc>
          <w:tcPr>
            <w:tcW w:w="1911" w:type="dxa"/>
            <w:vAlign w:val="center"/>
          </w:tcPr>
          <w:p>
            <w:pPr>
              <w:spacing w:line="360" w:lineRule="auto"/>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spacing w:line="360" w:lineRule="auto"/>
              <w:jc w:val="center"/>
              <w:rPr>
                <w:rFonts w:ascii="宋体" w:hAnsi="宋体" w:cs="宋体"/>
                <w:sz w:val="24"/>
              </w:rPr>
            </w:pPr>
          </w:p>
        </w:tc>
        <w:tc>
          <w:tcPr>
            <w:tcW w:w="2415" w:type="dxa"/>
            <w:vAlign w:val="center"/>
          </w:tcPr>
          <w:p>
            <w:pPr>
              <w:spacing w:line="360" w:lineRule="auto"/>
              <w:jc w:val="center"/>
              <w:rPr>
                <w:rFonts w:ascii="宋体" w:hAnsi="宋体" w:cs="宋体"/>
                <w:sz w:val="24"/>
              </w:rPr>
            </w:pPr>
          </w:p>
        </w:tc>
        <w:tc>
          <w:tcPr>
            <w:tcW w:w="2308" w:type="dxa"/>
            <w:vAlign w:val="center"/>
          </w:tcPr>
          <w:p>
            <w:pPr>
              <w:spacing w:line="360" w:lineRule="auto"/>
              <w:jc w:val="center"/>
              <w:rPr>
                <w:rFonts w:ascii="宋体" w:hAnsi="宋体" w:cs="宋体"/>
                <w:sz w:val="24"/>
              </w:rPr>
            </w:pPr>
          </w:p>
        </w:tc>
        <w:tc>
          <w:tcPr>
            <w:tcW w:w="1713" w:type="dxa"/>
            <w:vAlign w:val="center"/>
          </w:tcPr>
          <w:p>
            <w:pPr>
              <w:spacing w:line="360" w:lineRule="auto"/>
              <w:jc w:val="center"/>
              <w:rPr>
                <w:rFonts w:ascii="宋体" w:hAnsi="宋体" w:cs="宋体"/>
                <w:sz w:val="24"/>
              </w:rPr>
            </w:pPr>
          </w:p>
        </w:tc>
        <w:tc>
          <w:tcPr>
            <w:tcW w:w="1911" w:type="dxa"/>
            <w:vAlign w:val="center"/>
          </w:tcPr>
          <w:p>
            <w:pPr>
              <w:spacing w:line="360" w:lineRule="auto"/>
              <w:jc w:val="center"/>
              <w:rPr>
                <w:rFonts w:ascii="宋体" w:hAnsi="宋体" w:cs="宋体"/>
                <w:sz w:val="24"/>
              </w:rPr>
            </w:pPr>
          </w:p>
        </w:tc>
      </w:tr>
    </w:tbl>
    <w:p>
      <w:pPr>
        <w:spacing w:line="360" w:lineRule="auto"/>
        <w:rPr>
          <w:rFonts w:ascii="宋体" w:hAnsi="宋体" w:cs="宋体"/>
          <w:sz w:val="24"/>
        </w:rPr>
      </w:pPr>
      <w:r>
        <w:rPr>
          <w:rFonts w:hint="eastAsia" w:ascii="宋体" w:hAnsi="宋体" w:cs="宋体"/>
          <w:sz w:val="24"/>
        </w:rPr>
        <w:t>注：</w:t>
      </w:r>
    </w:p>
    <w:p>
      <w:pPr>
        <w:spacing w:line="360" w:lineRule="auto"/>
        <w:rPr>
          <w:rFonts w:ascii="宋体" w:hAnsi="宋体" w:cs="宋体"/>
          <w:sz w:val="24"/>
        </w:rPr>
      </w:pPr>
      <w:r>
        <w:rPr>
          <w:rFonts w:hint="eastAsia" w:ascii="宋体" w:hAnsi="宋体" w:cs="宋体"/>
          <w:sz w:val="24"/>
        </w:rPr>
        <w:t xml:space="preserve">    1、投标单位应据实、详细填写上述表格，因未标明或表述含糊导致的评审风险将由投标单位承担。</w:t>
      </w:r>
    </w:p>
    <w:p>
      <w:pPr>
        <w:spacing w:line="360" w:lineRule="auto"/>
        <w:ind w:firstLine="480" w:firstLineChars="200"/>
        <w:rPr>
          <w:rFonts w:ascii="宋体" w:hAnsi="宋体" w:cs="宋体"/>
          <w:sz w:val="24"/>
        </w:rPr>
      </w:pPr>
      <w:r>
        <w:rPr>
          <w:rFonts w:hint="eastAsia" w:ascii="宋体" w:hAnsi="宋体" w:cs="宋体"/>
          <w:sz w:val="24"/>
        </w:rPr>
        <w:t>2、若无偏离，在“有无偏离”栏中填写 “无”；若有偏离在“有无偏离”栏中填写 “有”并在“偏离内容及原因”栏中作出说明；若投标单位对某一事项是否存在或是否属于偏离不能确定，亦必须清楚标明该事项并在“有无偏离”栏中填写“不能确定”。</w:t>
      </w:r>
    </w:p>
    <w:p>
      <w:pPr>
        <w:spacing w:line="360" w:lineRule="auto"/>
        <w:ind w:firstLine="480" w:firstLineChars="200"/>
        <w:rPr>
          <w:rFonts w:ascii="宋体" w:hAnsi="宋体" w:cs="宋体"/>
          <w:sz w:val="24"/>
        </w:rPr>
      </w:pPr>
      <w:r>
        <w:rPr>
          <w:rFonts w:hint="eastAsia" w:ascii="宋体" w:hAnsi="宋体" w:cs="宋体"/>
          <w:sz w:val="24"/>
        </w:rPr>
        <w:t>3、表格不够可另接。</w:t>
      </w:r>
    </w:p>
    <w:p>
      <w:pPr>
        <w:spacing w:line="360" w:lineRule="auto"/>
        <w:rPr>
          <w:rFonts w:ascii="宋体" w:hAnsi="宋体" w:cs="宋体"/>
          <w:sz w:val="24"/>
        </w:rPr>
      </w:pPr>
    </w:p>
    <w:p>
      <w:pPr>
        <w:spacing w:line="360" w:lineRule="auto"/>
        <w:rPr>
          <w:rFonts w:ascii="宋体" w:hAnsi="宋体" w:cs="宋体"/>
          <w:sz w:val="24"/>
        </w:rPr>
      </w:pPr>
    </w:p>
    <w:p>
      <w:pPr>
        <w:spacing w:line="360" w:lineRule="auto"/>
        <w:ind w:firstLine="4560" w:firstLineChars="1900"/>
        <w:rPr>
          <w:rFonts w:ascii="宋体" w:hAnsi="宋体" w:cs="宋体"/>
          <w:bCs/>
          <w:sz w:val="24"/>
        </w:rPr>
      </w:pPr>
      <w:r>
        <w:rPr>
          <w:rFonts w:hint="eastAsia" w:ascii="宋体" w:hAnsi="宋体" w:cs="宋体"/>
          <w:bCs/>
          <w:sz w:val="24"/>
        </w:rPr>
        <w:t xml:space="preserve">投标单位（盖章）：  </w:t>
      </w:r>
    </w:p>
    <w:p>
      <w:pPr>
        <w:spacing w:line="360" w:lineRule="auto"/>
        <w:rPr>
          <w:rFonts w:ascii="宋体" w:hAnsi="宋体" w:cs="宋体"/>
          <w:bCs/>
          <w:sz w:val="24"/>
        </w:rPr>
      </w:pPr>
      <w:r>
        <w:rPr>
          <w:rFonts w:hint="eastAsia" w:ascii="宋体" w:hAnsi="宋体" w:cs="宋体"/>
          <w:bCs/>
          <w:sz w:val="24"/>
        </w:rPr>
        <w:t xml:space="preserve">    </w:t>
      </w:r>
    </w:p>
    <w:p>
      <w:pPr>
        <w:spacing w:line="360" w:lineRule="auto"/>
        <w:ind w:firstLine="2160" w:firstLineChars="900"/>
        <w:rPr>
          <w:rFonts w:ascii="宋体" w:hAnsi="宋体" w:cs="宋体"/>
          <w:bCs/>
          <w:sz w:val="24"/>
        </w:rPr>
      </w:pPr>
      <w:r>
        <w:rPr>
          <w:rFonts w:hint="eastAsia" w:ascii="宋体" w:hAnsi="宋体" w:cs="宋体"/>
          <w:bCs/>
          <w:sz w:val="24"/>
        </w:rPr>
        <w:t xml:space="preserve">  法定代表人或</w:t>
      </w:r>
      <w:r>
        <w:rPr>
          <w:rFonts w:hint="eastAsia" w:ascii="宋体" w:hAnsi="宋体" w:cs="宋体"/>
          <w:sz w:val="24"/>
          <w:szCs w:val="24"/>
        </w:rPr>
        <w:t>被授权人</w:t>
      </w:r>
      <w:r>
        <w:rPr>
          <w:rFonts w:hint="eastAsia" w:ascii="宋体" w:hAnsi="宋体" w:cs="宋体"/>
          <w:bCs/>
          <w:sz w:val="24"/>
        </w:rPr>
        <w:t xml:space="preserve">（签名或盖章）：  </w:t>
      </w:r>
    </w:p>
    <w:p>
      <w:pPr>
        <w:spacing w:line="360" w:lineRule="auto"/>
        <w:ind w:firstLine="480" w:firstLineChars="200"/>
        <w:rPr>
          <w:rFonts w:ascii="宋体" w:hAnsi="宋体" w:cs="宋体"/>
          <w:bCs/>
          <w:sz w:val="24"/>
        </w:rPr>
      </w:pPr>
      <w:r>
        <w:rPr>
          <w:rFonts w:hint="eastAsia" w:ascii="宋体" w:hAnsi="宋体" w:cs="宋体"/>
          <w:bCs/>
          <w:sz w:val="24"/>
        </w:rPr>
        <w:t xml:space="preserve">                  </w:t>
      </w:r>
    </w:p>
    <w:p>
      <w:pPr>
        <w:spacing w:line="360" w:lineRule="auto"/>
        <w:jc w:val="center"/>
        <w:rPr>
          <w:rFonts w:ascii="宋体" w:hAnsi="宋体" w:cs="宋体"/>
          <w:sz w:val="24"/>
        </w:rPr>
      </w:pPr>
      <w:r>
        <w:rPr>
          <w:rFonts w:hint="eastAsia" w:ascii="宋体" w:hAnsi="宋体" w:cs="宋体"/>
        </w:rPr>
        <w:t xml:space="preserve">                                       </w:t>
      </w:r>
      <w:r>
        <w:rPr>
          <w:rFonts w:hint="eastAsia" w:ascii="宋体" w:hAnsi="宋体" w:cs="宋体"/>
          <w:sz w:val="24"/>
        </w:rPr>
        <w:t xml:space="preserve">  日期：     年    月    日</w:t>
      </w:r>
    </w:p>
    <w:bookmarkEnd w:id="43"/>
    <w:bookmarkEnd w:id="44"/>
    <w:bookmarkEnd w:id="45"/>
    <w:bookmarkEnd w:id="46"/>
    <w:bookmarkEnd w:id="47"/>
    <w:bookmarkEnd w:id="48"/>
    <w:bookmarkEnd w:id="49"/>
    <w:bookmarkEnd w:id="58"/>
    <w:p>
      <w:pPr>
        <w:spacing w:line="360" w:lineRule="auto"/>
        <w:rPr>
          <w:rFonts w:ascii="宋体" w:hAnsi="宋体" w:cs="宋体"/>
          <w:sz w:val="24"/>
          <w:szCs w:val="24"/>
        </w:rPr>
      </w:pPr>
      <w:bookmarkStart w:id="59" w:name="_Toc158691787"/>
      <w:bookmarkStart w:id="60" w:name="_Toc222799679"/>
      <w:bookmarkStart w:id="61" w:name="_Toc311189790"/>
    </w:p>
    <w:p>
      <w:pPr>
        <w:keepNext/>
        <w:keepLines/>
        <w:spacing w:line="360" w:lineRule="auto"/>
        <w:jc w:val="center"/>
        <w:outlineLvl w:val="1"/>
        <w:rPr>
          <w:rFonts w:ascii="宋体" w:hAnsi="宋体" w:cs="宋体"/>
          <w:sz w:val="30"/>
          <w:szCs w:val="30"/>
        </w:rPr>
      </w:pPr>
      <w:bookmarkStart w:id="62" w:name="_Toc2036_WPSOffice_Level1"/>
      <w:bookmarkStart w:id="63" w:name="_Toc120261242"/>
      <w:r>
        <w:rPr>
          <w:rFonts w:hint="eastAsia" w:ascii="宋体" w:hAnsi="宋体" w:cs="宋体"/>
          <w:sz w:val="30"/>
          <w:szCs w:val="30"/>
        </w:rPr>
        <w:t>六、服务承诺书</w:t>
      </w:r>
      <w:bookmarkEnd w:id="62"/>
      <w:bookmarkEnd w:id="63"/>
    </w:p>
    <w:p>
      <w:pPr>
        <w:spacing w:line="360" w:lineRule="auto"/>
        <w:rPr>
          <w:rFonts w:ascii="宋体" w:hAnsi="宋体" w:cs="宋体"/>
          <w:b/>
          <w:bCs/>
          <w:sz w:val="28"/>
          <w:szCs w:val="28"/>
        </w:rPr>
      </w:pPr>
    </w:p>
    <w:p>
      <w:pPr>
        <w:spacing w:line="360" w:lineRule="auto"/>
        <w:ind w:firstLine="480" w:firstLineChars="200"/>
        <w:rPr>
          <w:rFonts w:ascii="宋体" w:hAnsi="宋体" w:cs="宋体"/>
          <w:bCs/>
          <w:sz w:val="24"/>
        </w:rPr>
      </w:pPr>
      <w:r>
        <w:rPr>
          <w:rFonts w:hint="eastAsia" w:ascii="宋体" w:hAnsi="宋体" w:cs="宋体"/>
          <w:bCs/>
          <w:sz w:val="24"/>
        </w:rPr>
        <w:t>一、我单位确保按中标结果确定价格及时提供服务。</w:t>
      </w:r>
    </w:p>
    <w:p>
      <w:pPr>
        <w:spacing w:line="360" w:lineRule="auto"/>
        <w:ind w:firstLine="480" w:firstLineChars="200"/>
        <w:jc w:val="left"/>
        <w:rPr>
          <w:rFonts w:ascii="宋体" w:hAnsi="宋体" w:cs="宋体"/>
          <w:bCs/>
          <w:sz w:val="24"/>
          <w:u w:val="single"/>
        </w:rPr>
      </w:pPr>
      <w:r>
        <w:rPr>
          <w:rFonts w:hint="eastAsia" w:ascii="宋体" w:hAnsi="宋体" w:cs="宋体"/>
          <w:bCs/>
          <w:sz w:val="24"/>
        </w:rPr>
        <w:t>二、承诺的服务：</w:t>
      </w:r>
    </w:p>
    <w:p>
      <w:pPr>
        <w:spacing w:line="360" w:lineRule="auto"/>
        <w:jc w:val="left"/>
        <w:rPr>
          <w:rFonts w:ascii="宋体" w:hAnsi="宋体" w:cs="宋体"/>
          <w:bCs/>
          <w:sz w:val="24"/>
          <w:u w:val="dash"/>
        </w:rPr>
      </w:pPr>
      <w:r>
        <w:rPr>
          <w:rFonts w:hint="eastAsia" w:ascii="宋体" w:hAnsi="宋体" w:cs="宋体"/>
          <w:bCs/>
          <w:sz w:val="24"/>
          <w:u w:val="dash"/>
        </w:rPr>
        <w:t>　　　　　　　　　　　　　　　　　　　　　　　　　　　　　　　　　　　　　　</w:t>
      </w:r>
    </w:p>
    <w:p>
      <w:pPr>
        <w:spacing w:line="360" w:lineRule="auto"/>
        <w:jc w:val="left"/>
        <w:rPr>
          <w:rFonts w:ascii="宋体" w:hAnsi="宋体" w:cs="宋体"/>
          <w:bCs/>
          <w:sz w:val="24"/>
          <w:u w:val="dash"/>
        </w:rPr>
      </w:pPr>
      <w:r>
        <w:rPr>
          <w:rFonts w:hint="eastAsia" w:ascii="宋体" w:hAnsi="宋体" w:cs="宋体"/>
          <w:bCs/>
          <w:sz w:val="24"/>
          <w:u w:val="dash"/>
        </w:rPr>
        <w:t>　　　　　　　　　　　　　　　　　　　　　　　　　　　　　　　　　　　　　　</w:t>
      </w:r>
    </w:p>
    <w:p>
      <w:pPr>
        <w:spacing w:line="360" w:lineRule="auto"/>
        <w:jc w:val="left"/>
        <w:rPr>
          <w:rFonts w:ascii="宋体" w:hAnsi="宋体" w:cs="宋体"/>
          <w:bCs/>
          <w:sz w:val="24"/>
          <w:u w:val="dash"/>
        </w:rPr>
      </w:pPr>
      <w:r>
        <w:rPr>
          <w:rFonts w:hint="eastAsia" w:ascii="宋体" w:hAnsi="宋体" w:cs="宋体"/>
          <w:bCs/>
          <w:sz w:val="24"/>
          <w:u w:val="dash"/>
        </w:rPr>
        <w:t>　　　　　　　　　　　　　　　　　　　　　　　　　　　　　　　　　　　　　　</w:t>
      </w:r>
    </w:p>
    <w:p>
      <w:pPr>
        <w:spacing w:line="360" w:lineRule="auto"/>
        <w:jc w:val="left"/>
        <w:rPr>
          <w:rFonts w:ascii="宋体" w:hAnsi="宋体" w:cs="宋体"/>
          <w:bCs/>
          <w:sz w:val="24"/>
          <w:u w:val="dash"/>
        </w:rPr>
      </w:pPr>
      <w:r>
        <w:rPr>
          <w:rFonts w:hint="eastAsia" w:ascii="宋体" w:hAnsi="宋体" w:cs="宋体"/>
          <w:bCs/>
          <w:sz w:val="24"/>
          <w:u w:val="dash"/>
        </w:rPr>
        <w:t>　　　　　　　　　　　　　　　　　　　　　　　　　　　　　　　　　　　　　　</w:t>
      </w:r>
    </w:p>
    <w:p>
      <w:pPr>
        <w:spacing w:line="360" w:lineRule="auto"/>
        <w:ind w:firstLine="480" w:firstLineChars="200"/>
        <w:jc w:val="left"/>
        <w:rPr>
          <w:rFonts w:ascii="宋体" w:hAnsi="宋体" w:cs="宋体"/>
          <w:bCs/>
          <w:sz w:val="24"/>
        </w:rPr>
      </w:pPr>
      <w:r>
        <w:rPr>
          <w:rFonts w:hint="eastAsia" w:ascii="宋体" w:hAnsi="宋体" w:cs="宋体"/>
          <w:bCs/>
          <w:sz w:val="24"/>
        </w:rPr>
        <w:t>三、要求采购人提供的配合：</w:t>
      </w:r>
    </w:p>
    <w:p>
      <w:pPr>
        <w:spacing w:line="360" w:lineRule="auto"/>
        <w:jc w:val="left"/>
        <w:rPr>
          <w:rFonts w:ascii="宋体" w:hAnsi="宋体" w:cs="宋体"/>
          <w:bCs/>
          <w:sz w:val="24"/>
          <w:u w:val="dash"/>
        </w:rPr>
      </w:pPr>
      <w:r>
        <w:rPr>
          <w:rFonts w:hint="eastAsia" w:ascii="宋体" w:hAnsi="宋体" w:cs="宋体"/>
          <w:bCs/>
          <w:sz w:val="24"/>
          <w:u w:val="dash"/>
        </w:rPr>
        <w:t>　　　　　　　　　　　　　　　　　　　　　　　　　　　　　　　　　　　　　　</w:t>
      </w:r>
    </w:p>
    <w:p>
      <w:pPr>
        <w:spacing w:line="360" w:lineRule="auto"/>
        <w:jc w:val="left"/>
        <w:rPr>
          <w:rFonts w:ascii="宋体" w:hAnsi="宋体" w:cs="宋体"/>
          <w:bCs/>
          <w:sz w:val="24"/>
          <w:u w:val="dash"/>
        </w:rPr>
      </w:pPr>
      <w:r>
        <w:rPr>
          <w:rFonts w:hint="eastAsia" w:ascii="宋体" w:hAnsi="宋体" w:cs="宋体"/>
          <w:bCs/>
          <w:sz w:val="24"/>
          <w:u w:val="dash"/>
        </w:rPr>
        <w:t>　　　　　　　　　　　　　　　　　　　　　　　　　　　　　　　　　　　　　　</w:t>
      </w:r>
    </w:p>
    <w:p>
      <w:pPr>
        <w:spacing w:line="360" w:lineRule="auto"/>
        <w:jc w:val="left"/>
        <w:rPr>
          <w:rFonts w:ascii="宋体" w:hAnsi="宋体" w:cs="宋体"/>
          <w:bCs/>
          <w:sz w:val="24"/>
          <w:u w:val="dash"/>
        </w:rPr>
      </w:pPr>
      <w:r>
        <w:rPr>
          <w:rFonts w:hint="eastAsia" w:ascii="宋体" w:hAnsi="宋体" w:cs="宋体"/>
          <w:bCs/>
          <w:sz w:val="24"/>
          <w:u w:val="dash"/>
        </w:rPr>
        <w:t>　　　　　　　　　　　　　　　　　　　　　　　　　　　　　　　　　　　　　　</w:t>
      </w:r>
    </w:p>
    <w:p>
      <w:pPr>
        <w:spacing w:line="360" w:lineRule="auto"/>
        <w:jc w:val="left"/>
        <w:rPr>
          <w:rFonts w:ascii="宋体" w:hAnsi="宋体" w:cs="宋体"/>
          <w:bCs/>
          <w:sz w:val="24"/>
          <w:u w:val="dash"/>
        </w:rPr>
      </w:pPr>
      <w:r>
        <w:rPr>
          <w:rFonts w:hint="eastAsia" w:ascii="宋体" w:hAnsi="宋体" w:cs="宋体"/>
          <w:bCs/>
          <w:sz w:val="24"/>
          <w:u w:val="dash"/>
        </w:rPr>
        <w:t>　　　　　　　　　　　　　　　　　　　　　　　　　　　　　　　　　　　　　　</w:t>
      </w:r>
    </w:p>
    <w:p>
      <w:pPr>
        <w:spacing w:line="360" w:lineRule="auto"/>
        <w:jc w:val="left"/>
        <w:rPr>
          <w:rFonts w:ascii="宋体" w:hAnsi="宋体" w:cs="宋体"/>
          <w:bCs/>
          <w:sz w:val="24"/>
          <w:u w:val="dash"/>
        </w:rPr>
      </w:pPr>
      <w:r>
        <w:rPr>
          <w:rFonts w:hint="eastAsia" w:ascii="宋体" w:hAnsi="宋体" w:cs="宋体"/>
          <w:bCs/>
          <w:sz w:val="24"/>
          <w:u w:val="dash"/>
        </w:rPr>
        <w:t>　　　　　　　　　　　　　　　　　　　　　　　　　　　　　　　　　　　　　　</w:t>
      </w:r>
    </w:p>
    <w:p>
      <w:pPr>
        <w:spacing w:line="360" w:lineRule="auto"/>
        <w:jc w:val="left"/>
        <w:rPr>
          <w:rFonts w:ascii="宋体" w:hAnsi="宋体" w:cs="宋体"/>
          <w:bCs/>
          <w:sz w:val="24"/>
          <w:u w:val="dash"/>
        </w:rPr>
      </w:pPr>
      <w:r>
        <w:rPr>
          <w:rFonts w:hint="eastAsia" w:ascii="宋体" w:hAnsi="宋体" w:cs="宋体"/>
          <w:bCs/>
          <w:sz w:val="24"/>
          <w:u w:val="dash"/>
        </w:rPr>
        <w:t>　　　　　　　　　　　　　　　　　　　　　　　　　　　　　　　　　　　　　　</w:t>
      </w:r>
    </w:p>
    <w:p>
      <w:pPr>
        <w:spacing w:line="360" w:lineRule="auto"/>
        <w:jc w:val="left"/>
        <w:rPr>
          <w:rFonts w:ascii="宋体" w:hAnsi="宋体" w:cs="宋体"/>
          <w:bCs/>
          <w:sz w:val="24"/>
          <w:u w:val="dash"/>
        </w:rPr>
      </w:pPr>
      <w:r>
        <w:rPr>
          <w:rFonts w:hint="eastAsia" w:ascii="宋体" w:hAnsi="宋体" w:cs="宋体"/>
          <w:bCs/>
          <w:sz w:val="24"/>
          <w:u w:val="dash"/>
        </w:rPr>
        <w:t>　　　　　　　　　　　　　　　　　　　　　　　　　　　　　　　　　　　　　　</w:t>
      </w:r>
    </w:p>
    <w:p>
      <w:pPr>
        <w:spacing w:line="360" w:lineRule="auto"/>
        <w:jc w:val="left"/>
        <w:rPr>
          <w:rFonts w:ascii="宋体" w:hAnsi="宋体" w:cs="宋体"/>
          <w:bCs/>
          <w:sz w:val="24"/>
          <w:u w:val="dash"/>
        </w:rPr>
      </w:pPr>
      <w:r>
        <w:rPr>
          <w:rFonts w:hint="eastAsia" w:ascii="宋体" w:hAnsi="宋体" w:cs="宋体"/>
          <w:bCs/>
          <w:sz w:val="24"/>
          <w:u w:val="dash"/>
        </w:rPr>
        <w:t>　　　　　　　　　　　　　　　　　　　　　　　　　　　　　　　　　　　　　　</w:t>
      </w:r>
    </w:p>
    <w:p>
      <w:pPr>
        <w:spacing w:line="360" w:lineRule="auto"/>
        <w:ind w:firstLine="600" w:firstLineChars="250"/>
        <w:rPr>
          <w:rFonts w:ascii="宋体" w:hAnsi="宋体" w:cs="宋体"/>
          <w:bCs/>
          <w:sz w:val="24"/>
        </w:rPr>
      </w:pPr>
    </w:p>
    <w:p>
      <w:pPr>
        <w:spacing w:line="360" w:lineRule="auto"/>
        <w:ind w:firstLine="4560" w:firstLineChars="1900"/>
        <w:rPr>
          <w:rFonts w:ascii="宋体" w:hAnsi="宋体" w:cs="宋体"/>
          <w:bCs/>
          <w:sz w:val="24"/>
        </w:rPr>
      </w:pPr>
      <w:r>
        <w:rPr>
          <w:rFonts w:hint="eastAsia" w:ascii="宋体" w:hAnsi="宋体" w:cs="宋体"/>
          <w:bCs/>
          <w:sz w:val="24"/>
        </w:rPr>
        <w:t xml:space="preserve">投标单位（盖章）：  </w:t>
      </w:r>
    </w:p>
    <w:p>
      <w:pPr>
        <w:spacing w:line="360" w:lineRule="auto"/>
        <w:rPr>
          <w:rFonts w:ascii="宋体" w:hAnsi="宋体" w:cs="宋体"/>
          <w:bCs/>
          <w:sz w:val="24"/>
        </w:rPr>
      </w:pPr>
      <w:r>
        <w:rPr>
          <w:rFonts w:hint="eastAsia" w:ascii="宋体" w:hAnsi="宋体" w:cs="宋体"/>
          <w:bCs/>
          <w:sz w:val="24"/>
        </w:rPr>
        <w:t xml:space="preserve">    </w:t>
      </w:r>
    </w:p>
    <w:p>
      <w:pPr>
        <w:spacing w:line="360" w:lineRule="auto"/>
        <w:ind w:firstLine="2160" w:firstLineChars="900"/>
        <w:rPr>
          <w:rFonts w:ascii="宋体" w:hAnsi="宋体" w:cs="宋体"/>
          <w:bCs/>
          <w:sz w:val="24"/>
        </w:rPr>
      </w:pPr>
      <w:r>
        <w:rPr>
          <w:rFonts w:hint="eastAsia" w:ascii="宋体" w:hAnsi="宋体" w:cs="宋体"/>
          <w:bCs/>
          <w:sz w:val="24"/>
        </w:rPr>
        <w:t xml:space="preserve">  法定代表人或</w:t>
      </w:r>
      <w:r>
        <w:rPr>
          <w:rFonts w:hint="eastAsia" w:ascii="宋体" w:hAnsi="宋体" w:cs="宋体"/>
          <w:sz w:val="24"/>
          <w:szCs w:val="24"/>
        </w:rPr>
        <w:t>被授权人</w:t>
      </w:r>
      <w:r>
        <w:rPr>
          <w:rFonts w:hint="eastAsia" w:ascii="宋体" w:hAnsi="宋体" w:cs="宋体"/>
          <w:bCs/>
          <w:sz w:val="24"/>
        </w:rPr>
        <w:t xml:space="preserve">（签名或盖章）：  </w:t>
      </w:r>
    </w:p>
    <w:p>
      <w:pPr>
        <w:spacing w:line="360" w:lineRule="auto"/>
        <w:ind w:firstLine="480" w:firstLineChars="200"/>
        <w:rPr>
          <w:rFonts w:ascii="宋体" w:hAnsi="宋体" w:cs="宋体"/>
          <w:bCs/>
          <w:sz w:val="24"/>
        </w:rPr>
      </w:pPr>
      <w:r>
        <w:rPr>
          <w:rFonts w:hint="eastAsia" w:ascii="宋体" w:hAnsi="宋体" w:cs="宋体"/>
          <w:bCs/>
          <w:sz w:val="24"/>
        </w:rPr>
        <w:t xml:space="preserve">                  </w:t>
      </w:r>
    </w:p>
    <w:p>
      <w:pPr>
        <w:spacing w:line="360" w:lineRule="auto"/>
        <w:jc w:val="center"/>
        <w:rPr>
          <w:rFonts w:ascii="宋体" w:hAnsi="宋体" w:cs="宋体"/>
          <w:sz w:val="24"/>
        </w:rPr>
      </w:pPr>
      <w:r>
        <w:rPr>
          <w:rFonts w:hint="eastAsia" w:ascii="宋体" w:hAnsi="宋体" w:cs="宋体"/>
        </w:rPr>
        <w:t xml:space="preserve">                                       </w:t>
      </w:r>
      <w:r>
        <w:rPr>
          <w:rFonts w:hint="eastAsia" w:ascii="宋体" w:hAnsi="宋体" w:cs="宋体"/>
          <w:sz w:val="24"/>
        </w:rPr>
        <w:t xml:space="preserve">  日期：     年    月    日</w:t>
      </w:r>
    </w:p>
    <w:p>
      <w:pPr>
        <w:keepNext/>
        <w:keepLines/>
        <w:spacing w:line="360" w:lineRule="auto"/>
        <w:jc w:val="center"/>
        <w:outlineLvl w:val="1"/>
        <w:rPr>
          <w:rFonts w:ascii="宋体" w:hAnsi="宋体" w:cs="宋体"/>
          <w:sz w:val="30"/>
          <w:szCs w:val="30"/>
        </w:rPr>
      </w:pPr>
      <w:r>
        <w:rPr>
          <w:rFonts w:hint="eastAsia" w:ascii="宋体" w:hAnsi="宋体" w:cs="宋体"/>
          <w:sz w:val="24"/>
        </w:rPr>
        <w:br w:type="page"/>
      </w:r>
      <w:bookmarkEnd w:id="59"/>
      <w:bookmarkEnd w:id="60"/>
      <w:bookmarkEnd w:id="61"/>
      <w:bookmarkStart w:id="64" w:name="_Toc958_WPSOffice_Level1"/>
      <w:bookmarkStart w:id="65" w:name="_Toc120261243"/>
      <w:r>
        <w:rPr>
          <w:rFonts w:hint="eastAsia" w:ascii="宋体" w:hAnsi="宋体" w:cs="宋体"/>
          <w:sz w:val="30"/>
          <w:szCs w:val="30"/>
        </w:rPr>
        <w:t>七、资格审查材料</w:t>
      </w:r>
      <w:bookmarkEnd w:id="64"/>
      <w:bookmarkEnd w:id="65"/>
    </w:p>
    <w:p>
      <w:pPr>
        <w:spacing w:line="360" w:lineRule="auto"/>
        <w:rPr>
          <w:rFonts w:ascii="宋体" w:hAnsi="宋体" w:cs="宋体"/>
        </w:rPr>
      </w:pPr>
    </w:p>
    <w:p>
      <w:pPr>
        <w:tabs>
          <w:tab w:val="left" w:pos="1050"/>
        </w:tabs>
        <w:spacing w:line="360" w:lineRule="auto"/>
        <w:ind w:firstLine="723" w:firstLineChars="300"/>
        <w:rPr>
          <w:rFonts w:ascii="宋体" w:hAnsi="宋体" w:cs="宋体"/>
          <w:sz w:val="24"/>
        </w:rPr>
      </w:pPr>
      <w:r>
        <w:rPr>
          <w:rFonts w:hint="eastAsia" w:ascii="宋体" w:hAnsi="宋体" w:cs="宋体"/>
          <w:b/>
          <w:sz w:val="24"/>
          <w:szCs w:val="28"/>
        </w:rPr>
        <w:t>*1、</w:t>
      </w:r>
      <w:r>
        <w:rPr>
          <w:rFonts w:hint="eastAsia" w:ascii="宋体" w:hAnsi="宋体" w:cs="宋体"/>
          <w:bCs/>
          <w:sz w:val="24"/>
        </w:rPr>
        <w:t>营业执照副本和税务登记证副本(或“三证合一”的营业执照副本）或事业单位法人证书</w:t>
      </w:r>
      <w:r>
        <w:rPr>
          <w:rFonts w:hint="eastAsia" w:ascii="宋体" w:hAnsi="宋体" w:cs="宋体"/>
          <w:sz w:val="24"/>
        </w:rPr>
        <w:t>复印件加盖公章。</w:t>
      </w:r>
    </w:p>
    <w:p>
      <w:pPr>
        <w:tabs>
          <w:tab w:val="left" w:pos="1050"/>
        </w:tabs>
        <w:spacing w:line="360" w:lineRule="auto"/>
        <w:ind w:firstLine="723" w:firstLineChars="300"/>
        <w:rPr>
          <w:rFonts w:ascii="宋体" w:hAnsi="宋体" w:cs="宋体"/>
          <w:b/>
          <w:sz w:val="24"/>
          <w:szCs w:val="28"/>
        </w:rPr>
      </w:pPr>
      <w:r>
        <w:rPr>
          <w:rFonts w:hint="eastAsia" w:ascii="宋体" w:hAnsi="宋体" w:cs="宋体"/>
          <w:b/>
          <w:sz w:val="24"/>
          <w:szCs w:val="28"/>
        </w:rPr>
        <w:t>*2、承诺函原件（格式详见附页1）</w:t>
      </w:r>
    </w:p>
    <w:p>
      <w:pPr>
        <w:tabs>
          <w:tab w:val="left" w:pos="1050"/>
        </w:tabs>
        <w:spacing w:line="360" w:lineRule="auto"/>
        <w:ind w:firstLine="723" w:firstLineChars="300"/>
        <w:rPr>
          <w:rFonts w:hint="eastAsia" w:ascii="宋体" w:hAnsi="宋体" w:cs="宋体"/>
          <w:sz w:val="24"/>
        </w:rPr>
      </w:pPr>
      <w:r>
        <w:rPr>
          <w:rFonts w:hint="eastAsia" w:ascii="宋体" w:hAnsi="宋体" w:cs="宋体"/>
          <w:b/>
          <w:sz w:val="24"/>
          <w:szCs w:val="28"/>
        </w:rPr>
        <w:t>*3、</w:t>
      </w:r>
      <w:r>
        <w:rPr>
          <w:rFonts w:hint="eastAsia" w:ascii="宋体" w:hAnsi="宋体" w:cs="宋体"/>
          <w:sz w:val="24"/>
        </w:rPr>
        <w:t>法定代表人资格证明书原件、授权委托书原件（格式详见附件1）</w:t>
      </w:r>
    </w:p>
    <w:p>
      <w:pPr>
        <w:spacing w:line="360" w:lineRule="auto"/>
        <w:ind w:firstLine="723" w:firstLineChars="300"/>
        <w:jc w:val="left"/>
        <w:rPr>
          <w:rFonts w:ascii="宋体" w:hAnsi="宋体" w:cs="宋体"/>
          <w:b/>
          <w:sz w:val="24"/>
          <w:szCs w:val="28"/>
        </w:rPr>
      </w:pPr>
      <w:r>
        <w:rPr>
          <w:rFonts w:hint="eastAsia" w:ascii="宋体" w:hAnsi="宋体" w:cs="宋体"/>
          <w:b/>
          <w:sz w:val="24"/>
          <w:szCs w:val="28"/>
        </w:rPr>
        <w:t>*</w:t>
      </w:r>
      <w:r>
        <w:rPr>
          <w:rFonts w:hint="eastAsia" w:ascii="宋体" w:hAnsi="宋体" w:cs="宋体"/>
          <w:b/>
          <w:sz w:val="24"/>
          <w:szCs w:val="28"/>
          <w:lang w:val="en-US" w:eastAsia="zh-CN"/>
        </w:rPr>
        <w:t>4</w:t>
      </w:r>
      <w:r>
        <w:rPr>
          <w:rFonts w:hint="eastAsia" w:ascii="宋体" w:hAnsi="宋体" w:cs="宋体"/>
          <w:b/>
          <w:sz w:val="24"/>
          <w:szCs w:val="28"/>
        </w:rPr>
        <w:t>、项目负责人的注册证书（具有一级注册造价师证书</w:t>
      </w:r>
      <w:r>
        <w:rPr>
          <w:rFonts w:hint="eastAsia" w:ascii="宋体" w:hAnsi="宋体" w:cs="宋体"/>
          <w:b/>
          <w:sz w:val="24"/>
          <w:szCs w:val="28"/>
          <w:lang w:val="en-US" w:eastAsia="zh-CN"/>
        </w:rPr>
        <w:t>证书复印件加盖公章</w:t>
      </w:r>
      <w:r>
        <w:rPr>
          <w:rFonts w:hint="eastAsia" w:ascii="宋体" w:hAnsi="宋体" w:cs="宋体"/>
          <w:b/>
          <w:sz w:val="24"/>
          <w:szCs w:val="28"/>
        </w:rPr>
        <w:t>）</w:t>
      </w:r>
      <w:bookmarkStart w:id="72" w:name="_GoBack"/>
      <w:bookmarkEnd w:id="72"/>
    </w:p>
    <w:p>
      <w:pPr>
        <w:spacing w:line="360" w:lineRule="auto"/>
        <w:ind w:firstLine="720" w:firstLineChars="300"/>
        <w:rPr>
          <w:rFonts w:ascii="宋体" w:hAnsi="宋体" w:cs="宋体"/>
          <w:b/>
          <w:sz w:val="24"/>
          <w:szCs w:val="28"/>
        </w:rPr>
      </w:pPr>
      <w:r>
        <w:rPr>
          <w:rFonts w:hint="eastAsia" w:ascii="宋体" w:hAnsi="宋体" w:cs="宋体"/>
          <w:sz w:val="24"/>
          <w:szCs w:val="28"/>
        </w:rPr>
        <w:t>投标人认为需要提供的其他证明文件</w:t>
      </w:r>
    </w:p>
    <w:p>
      <w:pPr>
        <w:snapToGrid w:val="0"/>
        <w:spacing w:line="360" w:lineRule="auto"/>
        <w:ind w:firstLine="482" w:firstLineChars="200"/>
        <w:rPr>
          <w:rFonts w:ascii="宋体" w:hAnsi="宋体" w:cs="宋体"/>
          <w:b/>
          <w:sz w:val="24"/>
        </w:rPr>
      </w:pPr>
      <w:r>
        <w:rPr>
          <w:rFonts w:hint="eastAsia" w:ascii="宋体" w:hAnsi="宋体" w:cs="宋体"/>
          <w:b/>
          <w:sz w:val="24"/>
        </w:rPr>
        <w:t xml:space="preserve"> 注意：</w:t>
      </w:r>
    </w:p>
    <w:p>
      <w:pPr>
        <w:snapToGrid w:val="0"/>
        <w:spacing w:line="360" w:lineRule="auto"/>
        <w:ind w:firstLine="482" w:firstLineChars="200"/>
        <w:rPr>
          <w:rFonts w:ascii="宋体" w:hAnsi="宋体" w:cs="宋体"/>
          <w:b/>
          <w:bCs/>
          <w:sz w:val="24"/>
        </w:rPr>
      </w:pPr>
      <w:r>
        <w:rPr>
          <w:rFonts w:hint="eastAsia" w:ascii="宋体" w:hAnsi="宋体" w:cs="宋体"/>
          <w:b/>
          <w:sz w:val="24"/>
        </w:rPr>
        <w:t xml:space="preserve">  1、以上加“*”材</w:t>
      </w:r>
      <w:r>
        <w:rPr>
          <w:rFonts w:hint="eastAsia" w:ascii="宋体" w:hAnsi="宋体" w:cs="宋体"/>
          <w:b/>
          <w:bCs/>
          <w:sz w:val="24"/>
        </w:rPr>
        <w:t xml:space="preserve">料若不符合投标资格要求（或资料不齐全、资料不合格），则资格审查不通过。 </w:t>
      </w:r>
    </w:p>
    <w:p>
      <w:pPr>
        <w:snapToGrid w:val="0"/>
        <w:spacing w:line="360" w:lineRule="auto"/>
        <w:ind w:firstLine="723" w:firstLineChars="300"/>
        <w:rPr>
          <w:rFonts w:ascii="宋体" w:hAnsi="宋体" w:cs="宋体"/>
          <w:b/>
          <w:sz w:val="24"/>
        </w:rPr>
      </w:pPr>
      <w:r>
        <w:rPr>
          <w:rFonts w:hint="eastAsia" w:ascii="宋体" w:hAnsi="宋体" w:cs="宋体"/>
          <w:b/>
          <w:sz w:val="24"/>
        </w:rPr>
        <w:t>2、资格审查的相关各种资格、资质、证书、证明、业绩合同等材料需在开标现场及时提交，开标结束之后不再接受投标人提供的任何补充材料（含原件或公证件）。</w:t>
      </w:r>
    </w:p>
    <w:p>
      <w:pPr>
        <w:snapToGrid w:val="0"/>
        <w:spacing w:line="360" w:lineRule="auto"/>
        <w:rPr>
          <w:rFonts w:ascii="宋体" w:hAnsi="宋体" w:cs="宋体"/>
          <w:b/>
          <w:sz w:val="28"/>
          <w:szCs w:val="28"/>
        </w:rPr>
      </w:pPr>
      <w:r>
        <w:rPr>
          <w:rFonts w:hint="eastAsia" w:ascii="宋体" w:hAnsi="宋体" w:cs="宋体"/>
          <w:b/>
          <w:sz w:val="24"/>
        </w:rPr>
        <w:br w:type="page"/>
      </w:r>
      <w:r>
        <w:rPr>
          <w:rFonts w:hint="eastAsia" w:ascii="宋体" w:hAnsi="宋体" w:cs="宋体"/>
          <w:b/>
          <w:sz w:val="24"/>
        </w:rPr>
        <w:t>附页1</w:t>
      </w:r>
    </w:p>
    <w:p>
      <w:pPr>
        <w:pStyle w:val="6"/>
        <w:overflowPunct w:val="0"/>
        <w:spacing w:line="360" w:lineRule="auto"/>
        <w:ind w:firstLine="643"/>
        <w:jc w:val="center"/>
        <w:rPr>
          <w:rFonts w:hAnsi="宋体" w:cs="宋体"/>
          <w:b/>
          <w:sz w:val="32"/>
          <w:szCs w:val="32"/>
        </w:rPr>
      </w:pPr>
      <w:bookmarkStart w:id="66" w:name="_Toc16416_WPSOffice_Level1"/>
      <w:bookmarkStart w:id="67" w:name="_Toc10212_WPSOffice_Level1"/>
      <w:r>
        <w:rPr>
          <w:rFonts w:hint="eastAsia" w:hAnsi="宋体" w:cs="宋体"/>
          <w:b/>
          <w:sz w:val="32"/>
          <w:szCs w:val="32"/>
        </w:rPr>
        <w:t>承 诺 函</w:t>
      </w:r>
      <w:bookmarkEnd w:id="66"/>
      <w:bookmarkEnd w:id="67"/>
    </w:p>
    <w:p>
      <w:pPr>
        <w:pStyle w:val="6"/>
        <w:overflowPunct w:val="0"/>
        <w:spacing w:line="360" w:lineRule="auto"/>
        <w:ind w:firstLine="0"/>
        <w:rPr>
          <w:rFonts w:hAnsi="宋体" w:cs="宋体"/>
          <w:szCs w:val="24"/>
        </w:rPr>
      </w:pPr>
    </w:p>
    <w:p>
      <w:pPr>
        <w:pStyle w:val="6"/>
        <w:overflowPunct w:val="0"/>
        <w:spacing w:line="360" w:lineRule="auto"/>
        <w:ind w:firstLine="0"/>
        <w:rPr>
          <w:rFonts w:hAnsi="宋体" w:cs="宋体"/>
          <w:szCs w:val="21"/>
        </w:rPr>
      </w:pPr>
      <w:r>
        <w:rPr>
          <w:rFonts w:hint="eastAsia" w:hAnsi="宋体" w:cs="宋体"/>
          <w:sz w:val="21"/>
          <w:szCs w:val="21"/>
          <w:u w:val="single"/>
        </w:rPr>
        <w:t xml:space="preserve"> 常州市田家炳初级中学</w:t>
      </w:r>
      <w:r>
        <w:rPr>
          <w:rFonts w:hint="eastAsia" w:hAnsi="宋体" w:cs="宋体"/>
          <w:sz w:val="21"/>
          <w:szCs w:val="21"/>
        </w:rPr>
        <w:t>：</w:t>
      </w:r>
    </w:p>
    <w:p>
      <w:pPr>
        <w:pStyle w:val="6"/>
        <w:overflowPunct w:val="0"/>
        <w:spacing w:line="360" w:lineRule="auto"/>
        <w:rPr>
          <w:rFonts w:hAnsi="宋体" w:cs="宋体"/>
          <w:szCs w:val="21"/>
        </w:rPr>
      </w:pPr>
      <w:r>
        <w:rPr>
          <w:rFonts w:hint="eastAsia" w:hAnsi="宋体" w:cs="宋体"/>
          <w:sz w:val="21"/>
          <w:szCs w:val="21"/>
        </w:rPr>
        <w:t>本公司愿意参加贵校组织实施的编号为</w:t>
      </w:r>
      <w:r>
        <w:rPr>
          <w:rFonts w:hint="eastAsia" w:hAnsi="宋体" w:cs="宋体"/>
          <w:sz w:val="21"/>
          <w:szCs w:val="21"/>
          <w:u w:val="single"/>
        </w:rPr>
        <w:t xml:space="preserve">       </w:t>
      </w:r>
      <w:r>
        <w:rPr>
          <w:rFonts w:hint="eastAsia" w:hAnsi="宋体" w:cs="宋体"/>
          <w:sz w:val="21"/>
          <w:szCs w:val="21"/>
        </w:rPr>
        <w:t>号的招标活动。本公司承诺：</w:t>
      </w:r>
    </w:p>
    <w:p>
      <w:pPr>
        <w:pStyle w:val="6"/>
        <w:overflowPunct w:val="0"/>
        <w:spacing w:line="360" w:lineRule="auto"/>
        <w:rPr>
          <w:rFonts w:hAnsi="宋体" w:cs="宋体"/>
          <w:szCs w:val="21"/>
        </w:rPr>
      </w:pPr>
      <w:r>
        <w:rPr>
          <w:rFonts w:hint="eastAsia" w:hAnsi="宋体" w:cs="宋体"/>
          <w:sz w:val="21"/>
          <w:szCs w:val="21"/>
        </w:rPr>
        <w:t>1. 本公司依法缴纳税收和社会保障资金；</w:t>
      </w:r>
    </w:p>
    <w:p>
      <w:pPr>
        <w:spacing w:line="360" w:lineRule="auto"/>
        <w:ind w:firstLine="420" w:firstLineChars="200"/>
        <w:rPr>
          <w:rFonts w:ascii="宋体" w:hAnsi="宋体" w:cs="宋体"/>
          <w:szCs w:val="21"/>
        </w:rPr>
      </w:pPr>
      <w:r>
        <w:rPr>
          <w:rFonts w:hint="eastAsia" w:ascii="宋体" w:hAnsi="宋体" w:cs="宋体"/>
          <w:szCs w:val="21"/>
        </w:rPr>
        <w:t>2. 本公司参加招标活动前三年内，在经营活动中无重大违法记录；</w:t>
      </w:r>
    </w:p>
    <w:p>
      <w:pPr>
        <w:spacing w:line="360" w:lineRule="auto"/>
        <w:ind w:firstLine="420" w:firstLineChars="200"/>
        <w:rPr>
          <w:rFonts w:ascii="宋体" w:hAnsi="宋体" w:cs="宋体"/>
          <w:szCs w:val="21"/>
        </w:rPr>
      </w:pPr>
      <w:r>
        <w:rPr>
          <w:rFonts w:hint="eastAsia" w:ascii="宋体" w:hAnsi="宋体" w:cs="宋体"/>
          <w:szCs w:val="21"/>
        </w:rPr>
        <w:t>3. 本公司提交的投标文件中所有关于投标单位资格的文件、证明和陈述均是真实的、准确的。</w:t>
      </w:r>
    </w:p>
    <w:p>
      <w:pPr>
        <w:spacing w:line="360" w:lineRule="auto"/>
        <w:ind w:firstLine="420" w:firstLineChars="200"/>
        <w:rPr>
          <w:rFonts w:ascii="宋体" w:hAnsi="宋体" w:cs="宋体"/>
          <w:szCs w:val="21"/>
        </w:rPr>
      </w:pPr>
      <w:r>
        <w:rPr>
          <w:rFonts w:hint="eastAsia" w:ascii="宋体" w:hAnsi="宋体" w:cs="宋体"/>
          <w:szCs w:val="21"/>
        </w:rPr>
        <w:t>若与真实情况不符，本公司愿意承担由此而产生的一切后果。</w:t>
      </w:r>
    </w:p>
    <w:p>
      <w:pPr>
        <w:spacing w:line="360" w:lineRule="auto"/>
        <w:ind w:firstLine="420" w:firstLineChars="200"/>
        <w:rPr>
          <w:rFonts w:ascii="宋体" w:hAnsi="宋体" w:cs="宋体"/>
          <w:szCs w:val="21"/>
        </w:rPr>
      </w:pPr>
    </w:p>
    <w:p>
      <w:pPr>
        <w:pStyle w:val="6"/>
        <w:overflowPunct w:val="0"/>
        <w:spacing w:line="360" w:lineRule="auto"/>
        <w:ind w:firstLine="400"/>
        <w:rPr>
          <w:rFonts w:hAnsi="宋体" w:cs="宋体"/>
          <w:szCs w:val="24"/>
        </w:rPr>
      </w:pPr>
      <w:r>
        <w:rPr>
          <w:rFonts w:hint="eastAsia" w:hAnsi="宋体" w:cs="宋体"/>
          <w:szCs w:val="24"/>
        </w:rPr>
        <w:tab/>
      </w:r>
      <w:r>
        <w:rPr>
          <w:rFonts w:hint="eastAsia" w:hAnsi="宋体" w:cs="宋体"/>
          <w:szCs w:val="24"/>
        </w:rPr>
        <w:tab/>
      </w:r>
      <w:r>
        <w:rPr>
          <w:rFonts w:hint="eastAsia" w:hAnsi="宋体" w:cs="宋体"/>
          <w:szCs w:val="24"/>
        </w:rPr>
        <w:tab/>
      </w:r>
      <w:r>
        <w:rPr>
          <w:rFonts w:hint="eastAsia" w:hAnsi="宋体" w:cs="宋体"/>
          <w:szCs w:val="24"/>
        </w:rPr>
        <w:tab/>
      </w:r>
      <w:r>
        <w:rPr>
          <w:rFonts w:hint="eastAsia" w:hAnsi="宋体" w:cs="宋体"/>
          <w:szCs w:val="24"/>
        </w:rPr>
        <w:t xml:space="preserve">         法定代表人或代理人（签字或盖章）：</w:t>
      </w:r>
    </w:p>
    <w:p>
      <w:pPr>
        <w:pStyle w:val="6"/>
        <w:overflowPunct w:val="0"/>
        <w:spacing w:line="360" w:lineRule="auto"/>
        <w:ind w:left="1700" w:firstLine="400"/>
        <w:rPr>
          <w:rFonts w:hAnsi="宋体" w:cs="宋体"/>
          <w:szCs w:val="24"/>
        </w:rPr>
      </w:pPr>
      <w:r>
        <w:rPr>
          <w:rFonts w:hint="eastAsia" w:hAnsi="宋体" w:cs="宋体"/>
        </w:rPr>
        <w:t xml:space="preserve">      投标人</w:t>
      </w:r>
      <w:r>
        <w:rPr>
          <w:rFonts w:hint="eastAsia" w:hAnsi="宋体" w:cs="宋体"/>
          <w:szCs w:val="24"/>
        </w:rPr>
        <w:t>（盖章）：</w:t>
      </w:r>
    </w:p>
    <w:p>
      <w:pPr>
        <w:pStyle w:val="6"/>
        <w:overflowPunct w:val="0"/>
        <w:spacing w:line="360" w:lineRule="auto"/>
        <w:ind w:firstLine="2400" w:firstLineChars="1000"/>
        <w:rPr>
          <w:rFonts w:hAnsi="宋体" w:cs="宋体"/>
          <w:szCs w:val="24"/>
        </w:rPr>
      </w:pPr>
      <w:r>
        <w:rPr>
          <w:rFonts w:hint="eastAsia" w:hAnsi="宋体" w:cs="宋体"/>
          <w:szCs w:val="24"/>
        </w:rPr>
        <w:t xml:space="preserve">   年</w:t>
      </w:r>
      <w:r>
        <w:rPr>
          <w:rFonts w:hint="eastAsia" w:hAnsi="宋体" w:cs="宋体"/>
          <w:szCs w:val="24"/>
        </w:rPr>
        <w:tab/>
      </w:r>
      <w:r>
        <w:rPr>
          <w:rFonts w:hint="eastAsia" w:hAnsi="宋体" w:cs="宋体"/>
          <w:szCs w:val="24"/>
        </w:rPr>
        <w:t xml:space="preserve">   月 </w:t>
      </w:r>
      <w:r>
        <w:rPr>
          <w:rFonts w:hint="eastAsia" w:hAnsi="宋体" w:cs="宋体"/>
          <w:szCs w:val="24"/>
        </w:rPr>
        <w:tab/>
      </w:r>
      <w:r>
        <w:rPr>
          <w:rFonts w:hint="eastAsia" w:hAnsi="宋体" w:cs="宋体"/>
          <w:szCs w:val="24"/>
        </w:rPr>
        <w:t xml:space="preserve">   日</w:t>
      </w:r>
    </w:p>
    <w:p>
      <w:pPr>
        <w:snapToGrid w:val="0"/>
        <w:spacing w:line="360" w:lineRule="auto"/>
        <w:rPr>
          <w:rFonts w:ascii="宋体" w:hAnsi="宋体" w:cs="宋体"/>
          <w:b/>
          <w:sz w:val="24"/>
        </w:rPr>
      </w:pPr>
      <w:r>
        <w:rPr>
          <w:rFonts w:hint="eastAsia" w:ascii="宋体" w:hAnsi="宋体" w:cs="宋体"/>
        </w:rPr>
        <w:br w:type="page"/>
      </w:r>
      <w:r>
        <w:rPr>
          <w:rFonts w:hint="eastAsia" w:ascii="宋体" w:hAnsi="宋体" w:cs="宋体"/>
          <w:b/>
          <w:sz w:val="24"/>
        </w:rPr>
        <w:t>附页2</w:t>
      </w:r>
    </w:p>
    <w:p>
      <w:pPr>
        <w:spacing w:line="360" w:lineRule="auto"/>
        <w:rPr>
          <w:rFonts w:ascii="宋体" w:hAnsi="宋体" w:cs="宋体"/>
        </w:rPr>
      </w:pPr>
    </w:p>
    <w:p>
      <w:pPr>
        <w:spacing w:line="360" w:lineRule="auto"/>
        <w:jc w:val="center"/>
        <w:rPr>
          <w:rFonts w:ascii="宋体" w:hAnsi="宋体" w:cs="宋体"/>
          <w:b/>
          <w:sz w:val="32"/>
          <w:szCs w:val="32"/>
        </w:rPr>
      </w:pPr>
      <w:bookmarkStart w:id="68" w:name="_Toc16073_WPSOffice_Level1"/>
      <w:r>
        <w:rPr>
          <w:rFonts w:hint="eastAsia" w:ascii="宋体" w:hAnsi="宋体" w:cs="宋体"/>
          <w:b/>
          <w:sz w:val="28"/>
          <w:szCs w:val="28"/>
        </w:rPr>
        <w:t>法定代表人资格证明书</w:t>
      </w:r>
      <w:bookmarkEnd w:id="68"/>
    </w:p>
    <w:p>
      <w:pPr>
        <w:spacing w:line="360" w:lineRule="auto"/>
        <w:rPr>
          <w:rFonts w:ascii="宋体" w:hAnsi="宋体" w:cs="宋体"/>
          <w:szCs w:val="21"/>
        </w:rPr>
      </w:pPr>
      <w:r>
        <w:rPr>
          <w:rFonts w:hint="eastAsia" w:ascii="宋体" w:hAnsi="宋体" w:cs="宋体"/>
          <w:szCs w:val="21"/>
        </w:rPr>
        <w:t>单位名称:</w:t>
      </w:r>
    </w:p>
    <w:p>
      <w:pPr>
        <w:spacing w:line="360" w:lineRule="auto"/>
        <w:rPr>
          <w:rFonts w:ascii="宋体" w:hAnsi="宋体" w:cs="宋体"/>
          <w:szCs w:val="21"/>
        </w:rPr>
      </w:pPr>
      <w:r>
        <w:rPr>
          <w:rFonts w:hint="eastAsia" w:ascii="宋体" w:hAnsi="宋体" w:cs="宋体"/>
          <w:szCs w:val="21"/>
        </w:rPr>
        <w:t>地址:</w:t>
      </w:r>
    </w:p>
    <w:p>
      <w:pPr>
        <w:spacing w:line="360" w:lineRule="auto"/>
        <w:rPr>
          <w:rFonts w:ascii="宋体" w:hAnsi="宋体" w:cs="宋体"/>
          <w:szCs w:val="21"/>
        </w:rPr>
      </w:pPr>
      <w:r>
        <w:rPr>
          <w:rFonts w:hint="eastAsia" w:ascii="宋体" w:hAnsi="宋体" w:cs="宋体"/>
          <w:szCs w:val="21"/>
        </w:rPr>
        <w:t>姓名:            性别:             年龄:                职务:</w:t>
      </w:r>
    </w:p>
    <w:p>
      <w:pPr>
        <w:spacing w:line="360" w:lineRule="auto"/>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 xml:space="preserve">的法定代表人。为实施 </w:t>
      </w:r>
      <w:r>
        <w:rPr>
          <w:rFonts w:hint="eastAsia" w:ascii="宋体" w:hAnsi="宋体" w:cs="宋体"/>
          <w:szCs w:val="21"/>
          <w:u w:val="single"/>
        </w:rPr>
        <w:t xml:space="preserve">           （      号） </w:t>
      </w:r>
      <w:r>
        <w:rPr>
          <w:rFonts w:hint="eastAsia" w:ascii="宋体" w:hAnsi="宋体" w:cs="宋体"/>
          <w:szCs w:val="21"/>
        </w:rPr>
        <w:t>的工作，签署上述项目的投标文件、进行合同谈判、签署合同和处理与之有关的一切事务。</w:t>
      </w:r>
    </w:p>
    <w:p>
      <w:pPr>
        <w:spacing w:line="360" w:lineRule="auto"/>
        <w:rPr>
          <w:rFonts w:ascii="宋体" w:hAnsi="宋体" w:cs="宋体"/>
          <w:szCs w:val="21"/>
        </w:rPr>
      </w:pPr>
      <w:r>
        <w:rPr>
          <w:rFonts w:hint="eastAsia" w:ascii="宋体" w:hAnsi="宋体" w:cs="宋体"/>
          <w:szCs w:val="21"/>
        </w:rPr>
        <w:t>特此证明。</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                                  投标人：（公章）</w:t>
      </w:r>
    </w:p>
    <w:p>
      <w:pPr>
        <w:spacing w:line="360" w:lineRule="auto"/>
        <w:rPr>
          <w:rFonts w:ascii="宋体" w:hAnsi="宋体" w:cs="宋体"/>
          <w:szCs w:val="21"/>
        </w:rPr>
      </w:pPr>
      <w:r>
        <w:rPr>
          <w:rFonts w:hint="eastAsia" w:ascii="宋体" w:hAnsi="宋体" w:cs="宋体"/>
          <w:szCs w:val="21"/>
        </w:rPr>
        <w:t xml:space="preserve">                                  法定代表人签字或盖章：</w:t>
      </w:r>
    </w:p>
    <w:p>
      <w:pPr>
        <w:spacing w:line="360" w:lineRule="auto"/>
        <w:ind w:firstLine="3570" w:firstLineChars="1700"/>
        <w:rPr>
          <w:rFonts w:ascii="宋体" w:hAnsi="宋体" w:cs="宋体"/>
          <w:szCs w:val="21"/>
        </w:rPr>
      </w:pPr>
      <w:r>
        <w:rPr>
          <w:rFonts w:hint="eastAsia" w:ascii="宋体" w:hAnsi="宋体" w:cs="宋体"/>
          <w:szCs w:val="21"/>
        </w:rPr>
        <w:t>日期：      年     月     日</w:t>
      </w:r>
    </w:p>
    <w:p>
      <w:pPr>
        <w:tabs>
          <w:tab w:val="left" w:pos="6045"/>
        </w:tabs>
        <w:snapToGrid w:val="0"/>
        <w:spacing w:line="360" w:lineRule="auto"/>
        <w:ind w:left="210" w:hanging="210" w:hangingChars="100"/>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 </w:t>
      </w:r>
    </w:p>
    <w:p>
      <w:pPr>
        <w:snapToGrid w:val="0"/>
        <w:spacing w:line="360" w:lineRule="auto"/>
        <w:rPr>
          <w:rFonts w:ascii="宋体" w:hAnsi="宋体" w:cs="宋体"/>
          <w:szCs w:val="21"/>
        </w:rPr>
      </w:pPr>
    </w:p>
    <w:p>
      <w:pPr>
        <w:snapToGrid w:val="0"/>
        <w:spacing w:line="360" w:lineRule="auto"/>
        <w:rPr>
          <w:rFonts w:ascii="宋体" w:hAnsi="宋体" w:cs="宋体"/>
          <w:b/>
          <w:szCs w:val="21"/>
        </w:rPr>
      </w:pPr>
    </w:p>
    <w:p>
      <w:pPr>
        <w:spacing w:line="360" w:lineRule="auto"/>
        <w:rPr>
          <w:rFonts w:ascii="宋体" w:hAnsi="宋体" w:cs="宋体"/>
          <w:szCs w:val="21"/>
        </w:rPr>
      </w:pPr>
      <w:r>
        <w:rPr>
          <w:rFonts w:hint="eastAsia" w:ascii="宋体" w:hAnsi="宋体" w:cs="宋体"/>
          <w:szCs w:val="21"/>
        </w:rPr>
        <w:t>法定代表人身份证</w:t>
      </w:r>
    </w:p>
    <w:p>
      <w:pPr>
        <w:spacing w:line="360" w:lineRule="auto"/>
        <w:rPr>
          <w:rFonts w:ascii="宋体" w:hAnsi="宋体" w:cs="宋体"/>
          <w:szCs w:val="21"/>
        </w:rPr>
      </w:pPr>
      <w:r>
        <w:rPr>
          <w:rFonts w:hint="eastAsia" w:ascii="宋体" w:hAnsi="宋体" w:cs="宋体"/>
          <w:szCs w:val="21"/>
        </w:rPr>
        <w:t>（复印件）粘贴处</w:t>
      </w:r>
    </w:p>
    <w:p>
      <w:pPr>
        <w:snapToGrid w:val="0"/>
        <w:spacing w:line="360" w:lineRule="auto"/>
        <w:rPr>
          <w:rFonts w:ascii="宋体" w:hAnsi="宋体" w:cs="宋体"/>
          <w:b/>
          <w:sz w:val="24"/>
          <w:szCs w:val="28"/>
        </w:rPr>
      </w:pPr>
    </w:p>
    <w:p>
      <w:pPr>
        <w:snapToGrid w:val="0"/>
        <w:spacing w:line="360" w:lineRule="auto"/>
        <w:rPr>
          <w:rFonts w:ascii="宋体" w:hAnsi="宋体" w:cs="宋体"/>
          <w:b/>
          <w:sz w:val="24"/>
          <w:szCs w:val="28"/>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pStyle w:val="37"/>
        <w:spacing w:line="360" w:lineRule="auto"/>
        <w:jc w:val="center"/>
        <w:rPr>
          <w:rFonts w:cs="宋体"/>
          <w:b/>
          <w:sz w:val="28"/>
          <w:szCs w:val="28"/>
        </w:rPr>
      </w:pPr>
      <w:bookmarkStart w:id="69" w:name="_Toc15359_WPSOffice_Level1"/>
      <w:r>
        <w:rPr>
          <w:rFonts w:hint="eastAsia" w:cs="宋体"/>
          <w:b/>
          <w:sz w:val="28"/>
          <w:szCs w:val="28"/>
        </w:rPr>
        <w:t>授权委托书</w:t>
      </w:r>
      <w:bookmarkEnd w:id="69"/>
    </w:p>
    <w:p>
      <w:pPr>
        <w:adjustRightInd w:val="0"/>
        <w:snapToGrid w:val="0"/>
        <w:spacing w:line="360" w:lineRule="auto"/>
        <w:ind w:firstLine="451" w:firstLineChars="215"/>
        <w:rPr>
          <w:rFonts w:ascii="宋体" w:hAnsi="宋体" w:cs="宋体"/>
          <w:szCs w:val="21"/>
        </w:rPr>
      </w:pPr>
    </w:p>
    <w:p>
      <w:pPr>
        <w:adjustRightInd w:val="0"/>
        <w:snapToGrid w:val="0"/>
        <w:spacing w:line="360" w:lineRule="auto"/>
        <w:ind w:firstLine="451" w:firstLineChars="215"/>
        <w:rPr>
          <w:rFonts w:ascii="宋体" w:hAnsi="宋体" w:cs="宋体"/>
          <w:szCs w:val="21"/>
        </w:rPr>
      </w:pPr>
      <w:r>
        <w:rPr>
          <w:rFonts w:hint="eastAsia" w:ascii="宋体" w:hAnsi="宋体" w:cs="宋体"/>
          <w:szCs w:val="21"/>
        </w:rPr>
        <w:t>本授权委托书声明：我__________(姓名)系_________________（投标人名称）的法定代表人，现授权委托__________________（被授权人的姓名、职务）为本次投标中我单位的合法代理人，全权负责参加本次项目的投标、签订合约以及与之相关的各项工作。本投标人对被授权人的签名负全部责任。</w:t>
      </w:r>
    </w:p>
    <w:p>
      <w:pPr>
        <w:adjustRightInd w:val="0"/>
        <w:snapToGrid w:val="0"/>
        <w:spacing w:line="360" w:lineRule="auto"/>
        <w:ind w:firstLine="397"/>
        <w:rPr>
          <w:rFonts w:ascii="宋体" w:hAnsi="宋体" w:cs="宋体"/>
          <w:szCs w:val="21"/>
        </w:rPr>
      </w:pPr>
      <w:r>
        <w:rPr>
          <w:rFonts w:hint="eastAsia" w:ascii="宋体" w:hAnsi="宋体" w:cs="宋体"/>
          <w:szCs w:val="21"/>
        </w:rPr>
        <w:t>本授权书于__________年_______月________日签字或盖章生效，特此声明。</w:t>
      </w: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szCs w:val="21"/>
        </w:rPr>
      </w:pPr>
      <w:r>
        <w:rPr>
          <w:rFonts w:hint="eastAsia" w:ascii="宋体" w:hAnsi="宋体" w:cs="宋体"/>
          <w:szCs w:val="21"/>
        </w:rPr>
        <w:t>法定代表人签字或盖章：                       日期：</w:t>
      </w:r>
    </w:p>
    <w:p>
      <w:pPr>
        <w:spacing w:line="360" w:lineRule="auto"/>
        <w:rPr>
          <w:rFonts w:ascii="宋体" w:hAnsi="宋体" w:cs="宋体"/>
          <w:szCs w:val="21"/>
        </w:rPr>
      </w:pPr>
      <w:r>
        <w:rPr>
          <w:rFonts w:hint="eastAsia" w:ascii="宋体" w:hAnsi="宋体" w:cs="宋体"/>
          <w:szCs w:val="21"/>
        </w:rPr>
        <w:t>职务：                                       联系电话：</w:t>
      </w:r>
    </w:p>
    <w:p>
      <w:pPr>
        <w:spacing w:line="360" w:lineRule="auto"/>
        <w:rPr>
          <w:rFonts w:ascii="宋体" w:hAnsi="宋体" w:cs="宋体"/>
          <w:szCs w:val="21"/>
        </w:rPr>
      </w:pPr>
      <w:r>
        <w:rPr>
          <w:rFonts w:hint="eastAsia" w:ascii="宋体" w:hAnsi="宋体" w:cs="宋体"/>
          <w:szCs w:val="21"/>
        </w:rPr>
        <w:t>单位名称：                                   地址：</w:t>
      </w:r>
    </w:p>
    <w:p>
      <w:pPr>
        <w:spacing w:line="360" w:lineRule="auto"/>
        <w:rPr>
          <w:rFonts w:ascii="宋体" w:hAnsi="宋体" w:cs="宋体"/>
          <w:szCs w:val="21"/>
        </w:rPr>
      </w:pPr>
      <w:r>
        <w:rPr>
          <w:rFonts w:hint="eastAsia" w:ascii="宋体" w:hAnsi="宋体" w:cs="宋体"/>
          <w:szCs w:val="21"/>
        </w:rPr>
        <w:t>身份证号码：</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委托代理人（被授权人）签字或盖章：           日期：</w:t>
      </w:r>
    </w:p>
    <w:p>
      <w:pPr>
        <w:spacing w:line="360" w:lineRule="auto"/>
        <w:rPr>
          <w:rFonts w:ascii="宋体" w:hAnsi="宋体" w:cs="宋体"/>
          <w:szCs w:val="21"/>
        </w:rPr>
      </w:pPr>
      <w:r>
        <w:rPr>
          <w:rFonts w:hint="eastAsia" w:ascii="宋体" w:hAnsi="宋体" w:cs="宋体"/>
          <w:szCs w:val="21"/>
        </w:rPr>
        <w:t>职务：                                       联系电话：</w:t>
      </w:r>
    </w:p>
    <w:p>
      <w:pPr>
        <w:spacing w:line="360" w:lineRule="auto"/>
        <w:rPr>
          <w:rFonts w:ascii="宋体" w:hAnsi="宋体" w:cs="宋体"/>
          <w:szCs w:val="21"/>
        </w:rPr>
      </w:pPr>
      <w:r>
        <w:rPr>
          <w:rFonts w:hint="eastAsia" w:ascii="宋体" w:hAnsi="宋体" w:cs="宋体"/>
          <w:szCs w:val="21"/>
        </w:rPr>
        <w:t>单位名称：                                   地址：</w:t>
      </w:r>
    </w:p>
    <w:p>
      <w:pPr>
        <w:spacing w:line="360" w:lineRule="auto"/>
        <w:rPr>
          <w:rFonts w:ascii="宋体" w:hAnsi="宋体" w:cs="宋体"/>
          <w:szCs w:val="21"/>
        </w:rPr>
      </w:pPr>
      <w:r>
        <w:rPr>
          <w:rFonts w:hint="eastAsia" w:ascii="宋体" w:hAnsi="宋体" w:cs="宋体"/>
          <w:szCs w:val="21"/>
        </w:rPr>
        <w:t>身份证号码：</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投标人公章： </w:t>
      </w:r>
    </w:p>
    <w:p>
      <w:pPr>
        <w:spacing w:line="360" w:lineRule="auto"/>
        <w:rPr>
          <w:rFonts w:ascii="宋体" w:hAnsi="宋体" w:cs="宋体"/>
          <w:szCs w:val="21"/>
        </w:rPr>
      </w:pPr>
      <w:r>
        <w:rPr>
          <w:rFonts w:hint="eastAsia" w:ascii="宋体" w:hAnsi="宋体" w:cs="宋体"/>
          <w:szCs w:val="21"/>
        </w:rPr>
        <w:t>地址：                                       电话：</w:t>
      </w:r>
    </w:p>
    <w:p>
      <w:pPr>
        <w:spacing w:line="360" w:lineRule="auto"/>
        <w:rPr>
          <w:rFonts w:ascii="宋体" w:hAnsi="宋体" w:cs="宋体"/>
          <w:szCs w:val="21"/>
        </w:rPr>
      </w:pPr>
      <w:r>
        <w:rPr>
          <w:rFonts w:hint="eastAsia" w:ascii="宋体" w:hAnsi="宋体" w:cs="宋体"/>
          <w:szCs w:val="21"/>
        </w:rPr>
        <w:t>传真：                                       邮编：</w:t>
      </w:r>
    </w:p>
    <w:p>
      <w:pPr>
        <w:spacing w:line="360" w:lineRule="auto"/>
        <w:rPr>
          <w:rFonts w:ascii="宋体" w:hAnsi="宋体" w:cs="宋体"/>
          <w:szCs w:val="21"/>
        </w:rPr>
      </w:pPr>
      <w:r>
        <w:rPr>
          <w:rFonts w:hint="eastAsia" w:ascii="宋体" w:hAnsi="宋体" w:cs="宋体"/>
          <w:szCs w:val="21"/>
        </w:rPr>
        <w:t>开户行：</w:t>
      </w:r>
    </w:p>
    <w:p>
      <w:pPr>
        <w:spacing w:line="360" w:lineRule="auto"/>
        <w:rPr>
          <w:rFonts w:ascii="宋体" w:hAnsi="宋体" w:cs="宋体"/>
          <w:szCs w:val="21"/>
        </w:rPr>
      </w:pPr>
      <w:r>
        <w:rPr>
          <w:rFonts w:hint="eastAsia" w:ascii="宋体" w:hAnsi="宋体" w:cs="宋体"/>
          <w:szCs w:val="21"/>
        </w:rPr>
        <w:t>帐号：</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代理人身份证</w:t>
      </w:r>
    </w:p>
    <w:p>
      <w:pPr>
        <w:spacing w:line="360" w:lineRule="auto"/>
        <w:rPr>
          <w:rFonts w:ascii="宋体" w:hAnsi="宋体" w:cs="宋体"/>
          <w:sz w:val="24"/>
          <w:szCs w:val="24"/>
        </w:rPr>
      </w:pPr>
      <w:r>
        <w:rPr>
          <w:rFonts w:hint="eastAsia" w:ascii="宋体" w:hAnsi="宋体" w:cs="宋体"/>
          <w:szCs w:val="21"/>
        </w:rPr>
        <w:t>（复印件）粘贴处</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备注：</w:t>
      </w:r>
    </w:p>
    <w:p>
      <w:pPr>
        <w:spacing w:line="360" w:lineRule="auto"/>
        <w:rPr>
          <w:rFonts w:ascii="宋体" w:hAnsi="宋体" w:cs="宋体"/>
          <w:szCs w:val="21"/>
        </w:rPr>
      </w:pPr>
      <w:r>
        <w:rPr>
          <w:rFonts w:hint="eastAsia" w:ascii="宋体" w:hAnsi="宋体" w:cs="宋体"/>
          <w:szCs w:val="21"/>
        </w:rPr>
        <w:t>1、法定代表人参加开标会议时，需携带本人身份证原件。</w:t>
      </w:r>
    </w:p>
    <w:p>
      <w:pPr>
        <w:spacing w:line="360" w:lineRule="auto"/>
        <w:rPr>
          <w:rFonts w:ascii="宋体" w:hAnsi="宋体" w:cs="宋体"/>
          <w:szCs w:val="21"/>
        </w:rPr>
      </w:pPr>
      <w:r>
        <w:rPr>
          <w:rFonts w:hint="eastAsia" w:ascii="宋体" w:hAnsi="宋体" w:cs="宋体"/>
          <w:szCs w:val="21"/>
        </w:rPr>
        <w:t>2、委托代理人参加开标会议时，需携带授权委托书和本人身份证原件。</w:t>
      </w:r>
    </w:p>
    <w:p>
      <w:pPr>
        <w:spacing w:line="360" w:lineRule="auto"/>
        <w:jc w:val="center"/>
        <w:rPr>
          <w:rFonts w:ascii="宋体" w:hAnsi="宋体" w:cs="宋体"/>
          <w:sz w:val="24"/>
          <w:szCs w:val="24"/>
        </w:rPr>
      </w:pPr>
      <w:r>
        <w:rPr>
          <w:rFonts w:hint="eastAsia" w:ascii="宋体" w:hAnsi="宋体" w:cs="宋体"/>
          <w:b/>
          <w:sz w:val="32"/>
          <w:szCs w:val="32"/>
        </w:rPr>
        <w:br w:type="page"/>
      </w:r>
      <w:r>
        <w:rPr>
          <w:rFonts w:ascii="宋体" w:hAnsi="宋体" w:cs="宋体"/>
          <w:sz w:val="24"/>
          <w:szCs w:val="24"/>
        </w:rPr>
        <w:t xml:space="preserve"> </w:t>
      </w:r>
    </w:p>
    <w:p>
      <w:pPr>
        <w:spacing w:line="360" w:lineRule="auto"/>
        <w:jc w:val="center"/>
        <w:rPr>
          <w:rFonts w:ascii="宋体" w:hAnsi="宋体" w:cs="宋体"/>
          <w:bCs/>
          <w:sz w:val="24"/>
        </w:rPr>
      </w:pPr>
      <w:r>
        <w:rPr>
          <w:rFonts w:hint="eastAsia" w:ascii="宋体" w:hAnsi="宋体" w:cs="宋体"/>
          <w:bCs/>
          <w:sz w:val="24"/>
        </w:rPr>
        <w:t>本招标文件的最终解释权归常州市田家炳初级中学所有。</w:t>
      </w:r>
    </w:p>
    <w:p>
      <w:pPr>
        <w:spacing w:line="360" w:lineRule="auto"/>
        <w:jc w:val="center"/>
        <w:rPr>
          <w:rFonts w:ascii="宋体" w:hAnsi="宋体" w:cs="宋体"/>
          <w:sz w:val="24"/>
          <w:szCs w:val="24"/>
        </w:rPr>
      </w:pPr>
      <w:bookmarkStart w:id="70" w:name="_Toc17632_WPSOffice_Level1"/>
      <w:bookmarkStart w:id="71" w:name="_Toc9048_WPSOffice_Level1"/>
      <w:r>
        <w:rPr>
          <w:rFonts w:hint="eastAsia" w:ascii="宋体" w:hAnsi="宋体" w:cs="宋体"/>
          <w:b/>
          <w:sz w:val="32"/>
        </w:rPr>
        <w:t>（全文完）</w:t>
      </w:r>
      <w:bookmarkEnd w:id="70"/>
      <w:bookmarkEnd w:id="71"/>
    </w:p>
    <w:p>
      <w:pPr>
        <w:rPr>
          <w:rFonts w:ascii="宋体" w:hAnsi="宋体" w:cs="宋体"/>
        </w:rPr>
      </w:pP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0000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page" w:x="10456" w:y="-102"/>
      <w:jc w:val="center"/>
      <w:rPr>
        <w:rStyle w:val="30"/>
      </w:rPr>
    </w:pPr>
    <w:r>
      <w:fldChar w:fldCharType="begin"/>
    </w:r>
    <w:r>
      <w:rPr>
        <w:rStyle w:val="30"/>
      </w:rPr>
      <w:instrText xml:space="preserve">PAGE  </w:instrText>
    </w:r>
    <w:r>
      <w:fldChar w:fldCharType="separate"/>
    </w:r>
    <w:r>
      <w:rPr>
        <w:rStyle w:val="30"/>
      </w:rPr>
      <w:t>18</w:t>
    </w:r>
    <w:r>
      <w:fldChar w:fldCharType="end"/>
    </w:r>
  </w:p>
  <w:p>
    <w:pPr>
      <w:pStyle w:val="17"/>
      <w:ind w:right="360" w:firstLine="360"/>
      <w:rPr>
        <w:rFonts w:eastAsia="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文本框 10" o:spid="_x0000_s4098" o:spt="202" type="#_x0000_t202" style="position:absolute;left:0pt;margin-top:0pt;height:10.35pt;width:11.8pt;mso-position-horizontal:center;mso-position-horizontal-relative:margin;z-index:251659264;mso-width-relative:page;mso-height-relative:page;" filled="f" stroked="f" coordsize="21600,21600" o:gfxdata="UEsDBAoAAAAAAIdO4kAAAAAAAAAAAAAAAAAEAAAAZHJzL1BLAwQUAAAACACHTuJAVIG/1NIAAAAD&#10;AQAADwAAAGRycy9kb3ducmV2LnhtbE2PQU/DMAyF70j8h8hI3FiyIQ1Umu6AYAc40U2Io9e6TbfG&#10;qZqsG/x6DBe42LKe/d7nfHX2vZpojF1gC/OZAUVchbrj1sJ283xzDyom5Br7wGThkyKsisuLHLM6&#10;nPiNpjK1Skw4ZmjBpTRkWsfKkcc4CwOxaE0YPSYZx1bXI57E3Pd6YcxSe+xYEhwO9OioOpRHLxjv&#10;r8avvxr34V+wiaXbTOunvbXXV3PzACrROf0tww++3EAhTLtw5Dqq3oI8kn6raIvbJaiddHMHusj1&#10;f/biG1BLAwQUAAAACACHTuJADsnEc7wBAABVAwAADgAAAGRycy9lMm9Eb2MueG1srVNLjhMxEN0j&#10;cQfLe9LdmUw0tOKMQKNBSAiQBg7guO20Jf8oO+nOBeAGrNiw51w5x5SdH5rZITZOtav86r1XlcXt&#10;aA3ZSojaO0abSU2JdMJ32q0Z/frl/tUNJTFx13HjnWR0JyO9Xb58sRhCK6e+96aTQBDExXYIjPYp&#10;hbaqouil5XHig3SYVB4sT/gJ66oDPiC6NdW0rufV4KEL4IWMEW/vDkm6LPhKSZE+KRVlIoZR5JbK&#10;CeVc5bNaLni7Bh56LY40+D+wsFw7bHqGuuOJkw3oZ1BWC/DRqzQR3lZeKS1k0YBqmvqJmoeeB1m0&#10;oDkxnG2K/w9WfNx+BqI7RqeUOG5xRPufP/a//ux/fydN8WcIscWyh4CFaXzrR5xz9i3fR7zMskcF&#10;Nv+iIIJ5dHp3dleOiYj8aPb6Zo4ZganmqpnNrjNKdXkcIKZ30luSA0YBh1c85dsPMR1KTyW5l/P3&#10;2pgyQOPIwOj86rouD84ZBDcOe1yo5iiNq/HIf+W7HcoacAEYjd82HCQl5r1Dh/O2nAI4BatTsAmg&#10;131Zp8wlhjebhHwKzdzjAHxsjbMrQo97lpfj7+9Sdfk3LB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IG/1NIAAAADAQAADwAAAAAAAAABACAAAAAiAAAAZHJzL2Rvd25yZXYueG1sUEsBAhQAFAAA&#10;AAgAh07iQA7JxHO8AQAAVQMAAA4AAAAAAAAAAQAgAAAAIQEAAGRycy9lMm9Eb2MueG1sUEsFBgAA&#10;AAAGAAYAWQEAAE8FAAAAAA==&#10;">
          <v:path/>
          <v:fill on="f" focussize="0,0"/>
          <v:stroke on="f" weight="0.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33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A38AF"/>
    <w:multiLevelType w:val="multilevel"/>
    <w:tmpl w:val="57CA38A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9CCA104"/>
    <w:multiLevelType w:val="singleLevel"/>
    <w:tmpl w:val="59CCA104"/>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UyMjgwODhjOTFlMjk3ZTgzNTg0MjBjNzUzMWQ4NDIifQ=="/>
  </w:docVars>
  <w:rsids>
    <w:rsidRoot w:val="00172A27"/>
    <w:rsid w:val="00014451"/>
    <w:rsid w:val="0002673B"/>
    <w:rsid w:val="00032B14"/>
    <w:rsid w:val="00056C4B"/>
    <w:rsid w:val="000706D4"/>
    <w:rsid w:val="00082E68"/>
    <w:rsid w:val="00084422"/>
    <w:rsid w:val="000A0ACA"/>
    <w:rsid w:val="000A5F04"/>
    <w:rsid w:val="000C174E"/>
    <w:rsid w:val="000D2D0C"/>
    <w:rsid w:val="00101BC4"/>
    <w:rsid w:val="00106788"/>
    <w:rsid w:val="00107953"/>
    <w:rsid w:val="00107DD1"/>
    <w:rsid w:val="0012381A"/>
    <w:rsid w:val="00146DE1"/>
    <w:rsid w:val="00150289"/>
    <w:rsid w:val="0016372A"/>
    <w:rsid w:val="001721A9"/>
    <w:rsid w:val="00172445"/>
    <w:rsid w:val="00172A27"/>
    <w:rsid w:val="00182D78"/>
    <w:rsid w:val="001C37EA"/>
    <w:rsid w:val="001C41B3"/>
    <w:rsid w:val="002021CE"/>
    <w:rsid w:val="00207069"/>
    <w:rsid w:val="00246D48"/>
    <w:rsid w:val="002545A9"/>
    <w:rsid w:val="0029776A"/>
    <w:rsid w:val="002F2B32"/>
    <w:rsid w:val="0030179B"/>
    <w:rsid w:val="003143DA"/>
    <w:rsid w:val="00323483"/>
    <w:rsid w:val="003E6963"/>
    <w:rsid w:val="003F3EC5"/>
    <w:rsid w:val="00401A29"/>
    <w:rsid w:val="0041266A"/>
    <w:rsid w:val="00415E2E"/>
    <w:rsid w:val="004420B1"/>
    <w:rsid w:val="004475A9"/>
    <w:rsid w:val="005060BF"/>
    <w:rsid w:val="00507AAF"/>
    <w:rsid w:val="005308EF"/>
    <w:rsid w:val="005413F2"/>
    <w:rsid w:val="0056546B"/>
    <w:rsid w:val="005955D7"/>
    <w:rsid w:val="005D78F7"/>
    <w:rsid w:val="005E4DCE"/>
    <w:rsid w:val="006009DD"/>
    <w:rsid w:val="00624E20"/>
    <w:rsid w:val="0063060C"/>
    <w:rsid w:val="00657143"/>
    <w:rsid w:val="006677B0"/>
    <w:rsid w:val="0067418B"/>
    <w:rsid w:val="0068406B"/>
    <w:rsid w:val="006C077B"/>
    <w:rsid w:val="006F2C11"/>
    <w:rsid w:val="0073106C"/>
    <w:rsid w:val="00740E23"/>
    <w:rsid w:val="00766AA4"/>
    <w:rsid w:val="007A0130"/>
    <w:rsid w:val="007A60DF"/>
    <w:rsid w:val="007B43A5"/>
    <w:rsid w:val="007C59F4"/>
    <w:rsid w:val="007D73B7"/>
    <w:rsid w:val="008077ED"/>
    <w:rsid w:val="00844596"/>
    <w:rsid w:val="008874DF"/>
    <w:rsid w:val="008928D1"/>
    <w:rsid w:val="008A19FA"/>
    <w:rsid w:val="008A55A6"/>
    <w:rsid w:val="008D05AC"/>
    <w:rsid w:val="008E1238"/>
    <w:rsid w:val="00912BB7"/>
    <w:rsid w:val="0092080B"/>
    <w:rsid w:val="009305B0"/>
    <w:rsid w:val="009460F2"/>
    <w:rsid w:val="00992799"/>
    <w:rsid w:val="00993935"/>
    <w:rsid w:val="009B42B3"/>
    <w:rsid w:val="00A25059"/>
    <w:rsid w:val="00A2714F"/>
    <w:rsid w:val="00A4254E"/>
    <w:rsid w:val="00A84184"/>
    <w:rsid w:val="00A93AB4"/>
    <w:rsid w:val="00AB2C20"/>
    <w:rsid w:val="00AE1FF0"/>
    <w:rsid w:val="00AF160D"/>
    <w:rsid w:val="00B43437"/>
    <w:rsid w:val="00B56584"/>
    <w:rsid w:val="00B94377"/>
    <w:rsid w:val="00BB6A5E"/>
    <w:rsid w:val="00BC3689"/>
    <w:rsid w:val="00BC38EC"/>
    <w:rsid w:val="00BC3CCE"/>
    <w:rsid w:val="00BD3997"/>
    <w:rsid w:val="00BE3308"/>
    <w:rsid w:val="00C06E1E"/>
    <w:rsid w:val="00C745BD"/>
    <w:rsid w:val="00C838B0"/>
    <w:rsid w:val="00C8535B"/>
    <w:rsid w:val="00C85B96"/>
    <w:rsid w:val="00C91908"/>
    <w:rsid w:val="00CA313E"/>
    <w:rsid w:val="00CB51D8"/>
    <w:rsid w:val="00D114EC"/>
    <w:rsid w:val="00D11503"/>
    <w:rsid w:val="00D2172E"/>
    <w:rsid w:val="00D46DD6"/>
    <w:rsid w:val="00D57E20"/>
    <w:rsid w:val="00D66E5D"/>
    <w:rsid w:val="00D74A7B"/>
    <w:rsid w:val="00D867D4"/>
    <w:rsid w:val="00D909D2"/>
    <w:rsid w:val="00E25B27"/>
    <w:rsid w:val="00E62122"/>
    <w:rsid w:val="00E737EC"/>
    <w:rsid w:val="00E939C1"/>
    <w:rsid w:val="00EC7A41"/>
    <w:rsid w:val="00ED2FEB"/>
    <w:rsid w:val="00ED56F2"/>
    <w:rsid w:val="00EE2C9A"/>
    <w:rsid w:val="00EE59D8"/>
    <w:rsid w:val="00EF32AE"/>
    <w:rsid w:val="00F339FC"/>
    <w:rsid w:val="00F45ABA"/>
    <w:rsid w:val="00F54E3E"/>
    <w:rsid w:val="00FD65B5"/>
    <w:rsid w:val="00FE67AB"/>
    <w:rsid w:val="010563C4"/>
    <w:rsid w:val="012C27F4"/>
    <w:rsid w:val="013055A7"/>
    <w:rsid w:val="0146465B"/>
    <w:rsid w:val="01572B89"/>
    <w:rsid w:val="015910F1"/>
    <w:rsid w:val="01660182"/>
    <w:rsid w:val="01684264"/>
    <w:rsid w:val="0169204D"/>
    <w:rsid w:val="016E0B6A"/>
    <w:rsid w:val="0170348B"/>
    <w:rsid w:val="01AC0138"/>
    <w:rsid w:val="01D51D2B"/>
    <w:rsid w:val="01F47A80"/>
    <w:rsid w:val="01F64823"/>
    <w:rsid w:val="021E53F9"/>
    <w:rsid w:val="022165CC"/>
    <w:rsid w:val="02237B17"/>
    <w:rsid w:val="022446A9"/>
    <w:rsid w:val="02356C8C"/>
    <w:rsid w:val="02484314"/>
    <w:rsid w:val="02490E5C"/>
    <w:rsid w:val="02506B38"/>
    <w:rsid w:val="02577AE8"/>
    <w:rsid w:val="025B310A"/>
    <w:rsid w:val="025C37DB"/>
    <w:rsid w:val="026C2D5B"/>
    <w:rsid w:val="02823B89"/>
    <w:rsid w:val="029932A6"/>
    <w:rsid w:val="02A118D1"/>
    <w:rsid w:val="02A570F1"/>
    <w:rsid w:val="02AE2D91"/>
    <w:rsid w:val="02B658B2"/>
    <w:rsid w:val="02C13D8D"/>
    <w:rsid w:val="02C70871"/>
    <w:rsid w:val="02D3038D"/>
    <w:rsid w:val="02D73C10"/>
    <w:rsid w:val="02EA444D"/>
    <w:rsid w:val="02F37628"/>
    <w:rsid w:val="02F90F39"/>
    <w:rsid w:val="02FB031D"/>
    <w:rsid w:val="02FF7218"/>
    <w:rsid w:val="03333693"/>
    <w:rsid w:val="0334747A"/>
    <w:rsid w:val="03411A02"/>
    <w:rsid w:val="03460870"/>
    <w:rsid w:val="03567B7A"/>
    <w:rsid w:val="035E122B"/>
    <w:rsid w:val="035F40F3"/>
    <w:rsid w:val="03732059"/>
    <w:rsid w:val="037C58A7"/>
    <w:rsid w:val="038E7992"/>
    <w:rsid w:val="03924917"/>
    <w:rsid w:val="03940E2D"/>
    <w:rsid w:val="03952C88"/>
    <w:rsid w:val="03A206C9"/>
    <w:rsid w:val="03C064FC"/>
    <w:rsid w:val="03C41A18"/>
    <w:rsid w:val="04165131"/>
    <w:rsid w:val="041D5EB5"/>
    <w:rsid w:val="041F7FCD"/>
    <w:rsid w:val="043B5CA2"/>
    <w:rsid w:val="044F44E0"/>
    <w:rsid w:val="04683888"/>
    <w:rsid w:val="04684704"/>
    <w:rsid w:val="048A3952"/>
    <w:rsid w:val="049C2C7E"/>
    <w:rsid w:val="049C4746"/>
    <w:rsid w:val="04A8165D"/>
    <w:rsid w:val="04AF71E3"/>
    <w:rsid w:val="04C25494"/>
    <w:rsid w:val="04C349A7"/>
    <w:rsid w:val="05007897"/>
    <w:rsid w:val="0510108F"/>
    <w:rsid w:val="05106BA1"/>
    <w:rsid w:val="05154978"/>
    <w:rsid w:val="05376842"/>
    <w:rsid w:val="05392EFF"/>
    <w:rsid w:val="05407E7E"/>
    <w:rsid w:val="05505C6D"/>
    <w:rsid w:val="055C0E50"/>
    <w:rsid w:val="056F0BFB"/>
    <w:rsid w:val="05726A16"/>
    <w:rsid w:val="05773DDB"/>
    <w:rsid w:val="05822F41"/>
    <w:rsid w:val="05832780"/>
    <w:rsid w:val="05881F6A"/>
    <w:rsid w:val="05957581"/>
    <w:rsid w:val="059A7A9F"/>
    <w:rsid w:val="05A31799"/>
    <w:rsid w:val="05B20BBD"/>
    <w:rsid w:val="05FC4BAF"/>
    <w:rsid w:val="060A4931"/>
    <w:rsid w:val="06253055"/>
    <w:rsid w:val="06266E69"/>
    <w:rsid w:val="06323597"/>
    <w:rsid w:val="063823C1"/>
    <w:rsid w:val="064838BB"/>
    <w:rsid w:val="064C61D3"/>
    <w:rsid w:val="064D4E75"/>
    <w:rsid w:val="066360BC"/>
    <w:rsid w:val="0669194E"/>
    <w:rsid w:val="066D7B0B"/>
    <w:rsid w:val="06783661"/>
    <w:rsid w:val="069F3AA3"/>
    <w:rsid w:val="06A111B6"/>
    <w:rsid w:val="06A42E63"/>
    <w:rsid w:val="06AD5133"/>
    <w:rsid w:val="06B02BAC"/>
    <w:rsid w:val="06E76B87"/>
    <w:rsid w:val="06ED6C50"/>
    <w:rsid w:val="06F02742"/>
    <w:rsid w:val="06FE28C4"/>
    <w:rsid w:val="0701721A"/>
    <w:rsid w:val="070742CA"/>
    <w:rsid w:val="070E13B6"/>
    <w:rsid w:val="07140871"/>
    <w:rsid w:val="073023D6"/>
    <w:rsid w:val="073B3CAB"/>
    <w:rsid w:val="073B589C"/>
    <w:rsid w:val="07404C15"/>
    <w:rsid w:val="07524129"/>
    <w:rsid w:val="07555EC3"/>
    <w:rsid w:val="07571818"/>
    <w:rsid w:val="0764308D"/>
    <w:rsid w:val="07786957"/>
    <w:rsid w:val="07992F59"/>
    <w:rsid w:val="07AA550D"/>
    <w:rsid w:val="07AC076F"/>
    <w:rsid w:val="07F2619D"/>
    <w:rsid w:val="07F56037"/>
    <w:rsid w:val="08044B74"/>
    <w:rsid w:val="08086AF6"/>
    <w:rsid w:val="081B0F5A"/>
    <w:rsid w:val="08272FC2"/>
    <w:rsid w:val="08416DB2"/>
    <w:rsid w:val="084E586A"/>
    <w:rsid w:val="084F4B1E"/>
    <w:rsid w:val="08502F8E"/>
    <w:rsid w:val="085B5158"/>
    <w:rsid w:val="08763B23"/>
    <w:rsid w:val="087E26D0"/>
    <w:rsid w:val="0886252B"/>
    <w:rsid w:val="088B0233"/>
    <w:rsid w:val="08990B18"/>
    <w:rsid w:val="08A156C8"/>
    <w:rsid w:val="08AC409F"/>
    <w:rsid w:val="08B43431"/>
    <w:rsid w:val="08B71E73"/>
    <w:rsid w:val="08CC4A7C"/>
    <w:rsid w:val="08D33B5C"/>
    <w:rsid w:val="08DE6904"/>
    <w:rsid w:val="08E86B6B"/>
    <w:rsid w:val="08F54F3A"/>
    <w:rsid w:val="08F75AD1"/>
    <w:rsid w:val="090449CD"/>
    <w:rsid w:val="090B7930"/>
    <w:rsid w:val="09211ACD"/>
    <w:rsid w:val="09244AE6"/>
    <w:rsid w:val="093C5CB3"/>
    <w:rsid w:val="09515748"/>
    <w:rsid w:val="095505F7"/>
    <w:rsid w:val="09615578"/>
    <w:rsid w:val="09657896"/>
    <w:rsid w:val="097006EE"/>
    <w:rsid w:val="097A3219"/>
    <w:rsid w:val="09A54E06"/>
    <w:rsid w:val="09B84759"/>
    <w:rsid w:val="09CD732F"/>
    <w:rsid w:val="09CF56CB"/>
    <w:rsid w:val="09DE5E6F"/>
    <w:rsid w:val="09DF3578"/>
    <w:rsid w:val="09E52A75"/>
    <w:rsid w:val="0A0A004E"/>
    <w:rsid w:val="0A2B1E61"/>
    <w:rsid w:val="0A3914EF"/>
    <w:rsid w:val="0A4058F4"/>
    <w:rsid w:val="0A4678DB"/>
    <w:rsid w:val="0A4B2619"/>
    <w:rsid w:val="0A5B35E8"/>
    <w:rsid w:val="0A5C5D89"/>
    <w:rsid w:val="0A693FBB"/>
    <w:rsid w:val="0A793C33"/>
    <w:rsid w:val="0A7D64D7"/>
    <w:rsid w:val="0A850384"/>
    <w:rsid w:val="0AD87060"/>
    <w:rsid w:val="0AE051C9"/>
    <w:rsid w:val="0AF0135A"/>
    <w:rsid w:val="0B026DFF"/>
    <w:rsid w:val="0B0845C1"/>
    <w:rsid w:val="0B1167D2"/>
    <w:rsid w:val="0B16003B"/>
    <w:rsid w:val="0B254D8F"/>
    <w:rsid w:val="0B296772"/>
    <w:rsid w:val="0B324A4A"/>
    <w:rsid w:val="0B530BE9"/>
    <w:rsid w:val="0B553BD2"/>
    <w:rsid w:val="0B7C0FC7"/>
    <w:rsid w:val="0B8918B3"/>
    <w:rsid w:val="0B992594"/>
    <w:rsid w:val="0BAE7080"/>
    <w:rsid w:val="0BBE32BC"/>
    <w:rsid w:val="0BC31A8D"/>
    <w:rsid w:val="0BCE7E10"/>
    <w:rsid w:val="0BDC7F00"/>
    <w:rsid w:val="0BDF6272"/>
    <w:rsid w:val="0BE03E3C"/>
    <w:rsid w:val="0BE1306A"/>
    <w:rsid w:val="0BFF5C8C"/>
    <w:rsid w:val="0C1F7477"/>
    <w:rsid w:val="0C35102A"/>
    <w:rsid w:val="0C3A50FB"/>
    <w:rsid w:val="0C7C3B17"/>
    <w:rsid w:val="0C886F4E"/>
    <w:rsid w:val="0C9E4A85"/>
    <w:rsid w:val="0CA01D20"/>
    <w:rsid w:val="0CA33A6A"/>
    <w:rsid w:val="0CA545A9"/>
    <w:rsid w:val="0CA80BFE"/>
    <w:rsid w:val="0CB54C0E"/>
    <w:rsid w:val="0CDC1F63"/>
    <w:rsid w:val="0CDE5C5F"/>
    <w:rsid w:val="0CE5029E"/>
    <w:rsid w:val="0CE6177F"/>
    <w:rsid w:val="0D062805"/>
    <w:rsid w:val="0D065C76"/>
    <w:rsid w:val="0D115872"/>
    <w:rsid w:val="0D1F046D"/>
    <w:rsid w:val="0D22681D"/>
    <w:rsid w:val="0D396755"/>
    <w:rsid w:val="0D522911"/>
    <w:rsid w:val="0D59773F"/>
    <w:rsid w:val="0D5D4A92"/>
    <w:rsid w:val="0D730D7A"/>
    <w:rsid w:val="0D7A070B"/>
    <w:rsid w:val="0D811D2A"/>
    <w:rsid w:val="0D88575E"/>
    <w:rsid w:val="0D8F3144"/>
    <w:rsid w:val="0D9A5581"/>
    <w:rsid w:val="0DB078CB"/>
    <w:rsid w:val="0DC52210"/>
    <w:rsid w:val="0DC60157"/>
    <w:rsid w:val="0DC63A51"/>
    <w:rsid w:val="0DE8579C"/>
    <w:rsid w:val="0DEC36C9"/>
    <w:rsid w:val="0DEC5DCB"/>
    <w:rsid w:val="0DF02A50"/>
    <w:rsid w:val="0DFC5DB1"/>
    <w:rsid w:val="0DFE53F4"/>
    <w:rsid w:val="0E07258B"/>
    <w:rsid w:val="0E082F77"/>
    <w:rsid w:val="0E087BBA"/>
    <w:rsid w:val="0E2500A9"/>
    <w:rsid w:val="0E2A10E8"/>
    <w:rsid w:val="0E3D5FFE"/>
    <w:rsid w:val="0E4C5167"/>
    <w:rsid w:val="0E5C25EE"/>
    <w:rsid w:val="0E640AB4"/>
    <w:rsid w:val="0E74076A"/>
    <w:rsid w:val="0E9000B1"/>
    <w:rsid w:val="0E91042C"/>
    <w:rsid w:val="0EC21B61"/>
    <w:rsid w:val="0ECD0173"/>
    <w:rsid w:val="0EF02A1D"/>
    <w:rsid w:val="0EF17423"/>
    <w:rsid w:val="0F01139B"/>
    <w:rsid w:val="0F0D687C"/>
    <w:rsid w:val="0F4021DC"/>
    <w:rsid w:val="0F4B1DAE"/>
    <w:rsid w:val="0F58366E"/>
    <w:rsid w:val="0F5A3A9A"/>
    <w:rsid w:val="0F7C1C0F"/>
    <w:rsid w:val="0F7F22DE"/>
    <w:rsid w:val="0F8F2AD8"/>
    <w:rsid w:val="0FA03B7B"/>
    <w:rsid w:val="0FAF4056"/>
    <w:rsid w:val="0FB16E92"/>
    <w:rsid w:val="0FC37486"/>
    <w:rsid w:val="0FC94E5E"/>
    <w:rsid w:val="0FD266EF"/>
    <w:rsid w:val="0FE5242A"/>
    <w:rsid w:val="100505BB"/>
    <w:rsid w:val="100C5EE6"/>
    <w:rsid w:val="10177533"/>
    <w:rsid w:val="10181CBA"/>
    <w:rsid w:val="10184ECB"/>
    <w:rsid w:val="101943C7"/>
    <w:rsid w:val="101E66F1"/>
    <w:rsid w:val="102102E0"/>
    <w:rsid w:val="102F33EB"/>
    <w:rsid w:val="103353C3"/>
    <w:rsid w:val="103E271F"/>
    <w:rsid w:val="103F0911"/>
    <w:rsid w:val="10494366"/>
    <w:rsid w:val="104E2BFA"/>
    <w:rsid w:val="1053440A"/>
    <w:rsid w:val="10555E31"/>
    <w:rsid w:val="1058099C"/>
    <w:rsid w:val="10607BC2"/>
    <w:rsid w:val="108E7971"/>
    <w:rsid w:val="10AB7A57"/>
    <w:rsid w:val="10B0222A"/>
    <w:rsid w:val="10C8505A"/>
    <w:rsid w:val="10C92AB6"/>
    <w:rsid w:val="10CA6301"/>
    <w:rsid w:val="10D14347"/>
    <w:rsid w:val="10E23EB5"/>
    <w:rsid w:val="10F9375E"/>
    <w:rsid w:val="11043983"/>
    <w:rsid w:val="11074BC6"/>
    <w:rsid w:val="111D4B0D"/>
    <w:rsid w:val="112C4FC3"/>
    <w:rsid w:val="11347F99"/>
    <w:rsid w:val="116803DF"/>
    <w:rsid w:val="11AF445F"/>
    <w:rsid w:val="11B4328A"/>
    <w:rsid w:val="11B62CF3"/>
    <w:rsid w:val="11B874BB"/>
    <w:rsid w:val="11B975D2"/>
    <w:rsid w:val="11D265EA"/>
    <w:rsid w:val="11E20B3C"/>
    <w:rsid w:val="11E725BD"/>
    <w:rsid w:val="12180124"/>
    <w:rsid w:val="121B2A7B"/>
    <w:rsid w:val="121C328F"/>
    <w:rsid w:val="122B4537"/>
    <w:rsid w:val="122C40E6"/>
    <w:rsid w:val="122F29B9"/>
    <w:rsid w:val="122F5CEC"/>
    <w:rsid w:val="12302C0E"/>
    <w:rsid w:val="12305326"/>
    <w:rsid w:val="124158A7"/>
    <w:rsid w:val="124161FE"/>
    <w:rsid w:val="124E6521"/>
    <w:rsid w:val="12544F52"/>
    <w:rsid w:val="127213CF"/>
    <w:rsid w:val="1279681E"/>
    <w:rsid w:val="129A1861"/>
    <w:rsid w:val="129C1FC3"/>
    <w:rsid w:val="12A432FF"/>
    <w:rsid w:val="12D239FC"/>
    <w:rsid w:val="12D35128"/>
    <w:rsid w:val="12E2622B"/>
    <w:rsid w:val="12F64927"/>
    <w:rsid w:val="12F923AD"/>
    <w:rsid w:val="12FE0F11"/>
    <w:rsid w:val="13061F0D"/>
    <w:rsid w:val="130E6AFA"/>
    <w:rsid w:val="132B0BDA"/>
    <w:rsid w:val="1333361F"/>
    <w:rsid w:val="13372834"/>
    <w:rsid w:val="13573FF0"/>
    <w:rsid w:val="135760B8"/>
    <w:rsid w:val="136412B1"/>
    <w:rsid w:val="136C5B2D"/>
    <w:rsid w:val="137A37FF"/>
    <w:rsid w:val="137F2DD5"/>
    <w:rsid w:val="1388314F"/>
    <w:rsid w:val="138B62C7"/>
    <w:rsid w:val="13A734F2"/>
    <w:rsid w:val="13B522D6"/>
    <w:rsid w:val="13C375C4"/>
    <w:rsid w:val="13CA160D"/>
    <w:rsid w:val="13E940EC"/>
    <w:rsid w:val="13F00444"/>
    <w:rsid w:val="13F120DE"/>
    <w:rsid w:val="13F276F8"/>
    <w:rsid w:val="13F4399B"/>
    <w:rsid w:val="13FF5E04"/>
    <w:rsid w:val="14246105"/>
    <w:rsid w:val="14384658"/>
    <w:rsid w:val="143A5145"/>
    <w:rsid w:val="144B44D1"/>
    <w:rsid w:val="145F1354"/>
    <w:rsid w:val="14645AD0"/>
    <w:rsid w:val="146F2061"/>
    <w:rsid w:val="14907A0C"/>
    <w:rsid w:val="1499157B"/>
    <w:rsid w:val="149D5BC4"/>
    <w:rsid w:val="14AD06B2"/>
    <w:rsid w:val="14D55858"/>
    <w:rsid w:val="14D939A6"/>
    <w:rsid w:val="14DB5B1C"/>
    <w:rsid w:val="14DC06E8"/>
    <w:rsid w:val="14ED4731"/>
    <w:rsid w:val="14F648B4"/>
    <w:rsid w:val="15175FD1"/>
    <w:rsid w:val="152223F6"/>
    <w:rsid w:val="152A15F7"/>
    <w:rsid w:val="152B23F4"/>
    <w:rsid w:val="15327361"/>
    <w:rsid w:val="15377E32"/>
    <w:rsid w:val="15423709"/>
    <w:rsid w:val="15442A41"/>
    <w:rsid w:val="15510F51"/>
    <w:rsid w:val="156374A4"/>
    <w:rsid w:val="1594020A"/>
    <w:rsid w:val="15BA1D99"/>
    <w:rsid w:val="15BC76E1"/>
    <w:rsid w:val="15BD6ED7"/>
    <w:rsid w:val="15C51222"/>
    <w:rsid w:val="15C930A1"/>
    <w:rsid w:val="15FF589F"/>
    <w:rsid w:val="160C1A30"/>
    <w:rsid w:val="161577C0"/>
    <w:rsid w:val="16205884"/>
    <w:rsid w:val="162E2426"/>
    <w:rsid w:val="164E40FA"/>
    <w:rsid w:val="16531468"/>
    <w:rsid w:val="166947AD"/>
    <w:rsid w:val="167368A3"/>
    <w:rsid w:val="167711F0"/>
    <w:rsid w:val="168716E0"/>
    <w:rsid w:val="16AB24DF"/>
    <w:rsid w:val="16D61BD0"/>
    <w:rsid w:val="16DA0C98"/>
    <w:rsid w:val="16E22F80"/>
    <w:rsid w:val="16FA27ED"/>
    <w:rsid w:val="1707579C"/>
    <w:rsid w:val="17091561"/>
    <w:rsid w:val="171C6F9A"/>
    <w:rsid w:val="171E23C4"/>
    <w:rsid w:val="17697E5E"/>
    <w:rsid w:val="177B0E9E"/>
    <w:rsid w:val="17805310"/>
    <w:rsid w:val="17872133"/>
    <w:rsid w:val="17A07811"/>
    <w:rsid w:val="17A66C77"/>
    <w:rsid w:val="17CD012A"/>
    <w:rsid w:val="17CD3E2A"/>
    <w:rsid w:val="17E451E4"/>
    <w:rsid w:val="17E72BD6"/>
    <w:rsid w:val="17E740A3"/>
    <w:rsid w:val="17EE13EA"/>
    <w:rsid w:val="18352A7E"/>
    <w:rsid w:val="183F79EC"/>
    <w:rsid w:val="184F6C85"/>
    <w:rsid w:val="18641A6E"/>
    <w:rsid w:val="187377BD"/>
    <w:rsid w:val="18840C93"/>
    <w:rsid w:val="18920D45"/>
    <w:rsid w:val="189D5E1B"/>
    <w:rsid w:val="18B07BF7"/>
    <w:rsid w:val="18BD0511"/>
    <w:rsid w:val="18CC2C55"/>
    <w:rsid w:val="18EF78B6"/>
    <w:rsid w:val="19011F94"/>
    <w:rsid w:val="191171B8"/>
    <w:rsid w:val="1913530D"/>
    <w:rsid w:val="191C4C5D"/>
    <w:rsid w:val="192268C8"/>
    <w:rsid w:val="19253227"/>
    <w:rsid w:val="19755C15"/>
    <w:rsid w:val="197B1061"/>
    <w:rsid w:val="199E42DB"/>
    <w:rsid w:val="19A11C34"/>
    <w:rsid w:val="19AA1A8E"/>
    <w:rsid w:val="19BD3B79"/>
    <w:rsid w:val="19C058A6"/>
    <w:rsid w:val="19DC67C4"/>
    <w:rsid w:val="19E26BC4"/>
    <w:rsid w:val="19E97F6C"/>
    <w:rsid w:val="19EB72DD"/>
    <w:rsid w:val="19F07590"/>
    <w:rsid w:val="1A0209F7"/>
    <w:rsid w:val="1A0C456F"/>
    <w:rsid w:val="1A296257"/>
    <w:rsid w:val="1A2B340F"/>
    <w:rsid w:val="1A4231E2"/>
    <w:rsid w:val="1A460509"/>
    <w:rsid w:val="1A677483"/>
    <w:rsid w:val="1A6E625E"/>
    <w:rsid w:val="1A7B2E87"/>
    <w:rsid w:val="1A833834"/>
    <w:rsid w:val="1A970452"/>
    <w:rsid w:val="1A9A6E7D"/>
    <w:rsid w:val="1AA64931"/>
    <w:rsid w:val="1AAF2E94"/>
    <w:rsid w:val="1AB773CE"/>
    <w:rsid w:val="1AD2360F"/>
    <w:rsid w:val="1AD82FD9"/>
    <w:rsid w:val="1AF57000"/>
    <w:rsid w:val="1AFC6C52"/>
    <w:rsid w:val="1B135B8D"/>
    <w:rsid w:val="1B214478"/>
    <w:rsid w:val="1B22202D"/>
    <w:rsid w:val="1B294E41"/>
    <w:rsid w:val="1B2B008A"/>
    <w:rsid w:val="1B3D606A"/>
    <w:rsid w:val="1B52375C"/>
    <w:rsid w:val="1B5E66B1"/>
    <w:rsid w:val="1B637082"/>
    <w:rsid w:val="1B663602"/>
    <w:rsid w:val="1BB946A8"/>
    <w:rsid w:val="1BBB6B51"/>
    <w:rsid w:val="1BC73C9B"/>
    <w:rsid w:val="1BC97FF7"/>
    <w:rsid w:val="1BF824FF"/>
    <w:rsid w:val="1BFE5A1D"/>
    <w:rsid w:val="1C060AA7"/>
    <w:rsid w:val="1C156D12"/>
    <w:rsid w:val="1C1D66FD"/>
    <w:rsid w:val="1C301ABF"/>
    <w:rsid w:val="1C365FC1"/>
    <w:rsid w:val="1C536871"/>
    <w:rsid w:val="1C7E77BB"/>
    <w:rsid w:val="1C96764D"/>
    <w:rsid w:val="1CA32992"/>
    <w:rsid w:val="1CA718EF"/>
    <w:rsid w:val="1CCA5D35"/>
    <w:rsid w:val="1CDE7642"/>
    <w:rsid w:val="1D0265F4"/>
    <w:rsid w:val="1D4D4E4B"/>
    <w:rsid w:val="1D7B0630"/>
    <w:rsid w:val="1D8557E1"/>
    <w:rsid w:val="1D914046"/>
    <w:rsid w:val="1D936CEF"/>
    <w:rsid w:val="1DC84192"/>
    <w:rsid w:val="1DCC397A"/>
    <w:rsid w:val="1DCC731D"/>
    <w:rsid w:val="1DD11066"/>
    <w:rsid w:val="1DD2733A"/>
    <w:rsid w:val="1DD56157"/>
    <w:rsid w:val="1DF626C8"/>
    <w:rsid w:val="1E0D6205"/>
    <w:rsid w:val="1E1068BD"/>
    <w:rsid w:val="1E146BE0"/>
    <w:rsid w:val="1E22617C"/>
    <w:rsid w:val="1E4371BF"/>
    <w:rsid w:val="1E5506F3"/>
    <w:rsid w:val="1E562207"/>
    <w:rsid w:val="1E5A68D5"/>
    <w:rsid w:val="1E6171F3"/>
    <w:rsid w:val="1E672C03"/>
    <w:rsid w:val="1E7F03D3"/>
    <w:rsid w:val="1E9D4BE4"/>
    <w:rsid w:val="1EA05819"/>
    <w:rsid w:val="1EB55BA6"/>
    <w:rsid w:val="1ECD4789"/>
    <w:rsid w:val="1ED86D81"/>
    <w:rsid w:val="1EE1196F"/>
    <w:rsid w:val="1EF75168"/>
    <w:rsid w:val="1F003A85"/>
    <w:rsid w:val="1F0E6EA9"/>
    <w:rsid w:val="1F113F63"/>
    <w:rsid w:val="1F1576F7"/>
    <w:rsid w:val="1F5914A2"/>
    <w:rsid w:val="1F5C0230"/>
    <w:rsid w:val="1F67557E"/>
    <w:rsid w:val="1FC96179"/>
    <w:rsid w:val="1FE53758"/>
    <w:rsid w:val="1FE67582"/>
    <w:rsid w:val="1FFE776F"/>
    <w:rsid w:val="1FFF4E93"/>
    <w:rsid w:val="20025BE7"/>
    <w:rsid w:val="200A070F"/>
    <w:rsid w:val="20282194"/>
    <w:rsid w:val="2039664D"/>
    <w:rsid w:val="203B14F5"/>
    <w:rsid w:val="20427507"/>
    <w:rsid w:val="20494C78"/>
    <w:rsid w:val="204F32F3"/>
    <w:rsid w:val="20567D4F"/>
    <w:rsid w:val="206228B9"/>
    <w:rsid w:val="206A7885"/>
    <w:rsid w:val="20730FE4"/>
    <w:rsid w:val="20850E68"/>
    <w:rsid w:val="20886CCA"/>
    <w:rsid w:val="20896954"/>
    <w:rsid w:val="208E575D"/>
    <w:rsid w:val="20980818"/>
    <w:rsid w:val="20AC3FCF"/>
    <w:rsid w:val="20B95A0A"/>
    <w:rsid w:val="20C34A0E"/>
    <w:rsid w:val="20C92F2F"/>
    <w:rsid w:val="20DF0743"/>
    <w:rsid w:val="20E94F65"/>
    <w:rsid w:val="20FB0D6F"/>
    <w:rsid w:val="21067A60"/>
    <w:rsid w:val="2125663B"/>
    <w:rsid w:val="213E29CF"/>
    <w:rsid w:val="216956F3"/>
    <w:rsid w:val="216F6C92"/>
    <w:rsid w:val="217715E8"/>
    <w:rsid w:val="218D3F7C"/>
    <w:rsid w:val="2196373A"/>
    <w:rsid w:val="219A3B2E"/>
    <w:rsid w:val="219C0FE6"/>
    <w:rsid w:val="21A06557"/>
    <w:rsid w:val="21AA7C72"/>
    <w:rsid w:val="21AE0964"/>
    <w:rsid w:val="21C06483"/>
    <w:rsid w:val="21CA5EFA"/>
    <w:rsid w:val="21D13770"/>
    <w:rsid w:val="21E443FA"/>
    <w:rsid w:val="21E86655"/>
    <w:rsid w:val="21F46C47"/>
    <w:rsid w:val="22255D90"/>
    <w:rsid w:val="22257344"/>
    <w:rsid w:val="222A0208"/>
    <w:rsid w:val="222D35C3"/>
    <w:rsid w:val="22465C75"/>
    <w:rsid w:val="224B357D"/>
    <w:rsid w:val="2259718E"/>
    <w:rsid w:val="225D6E8D"/>
    <w:rsid w:val="227436A6"/>
    <w:rsid w:val="227D7D39"/>
    <w:rsid w:val="228951CB"/>
    <w:rsid w:val="229C7FCF"/>
    <w:rsid w:val="22AE0EB5"/>
    <w:rsid w:val="22CE7C45"/>
    <w:rsid w:val="22DF00AB"/>
    <w:rsid w:val="22EA3160"/>
    <w:rsid w:val="22FC1141"/>
    <w:rsid w:val="23024828"/>
    <w:rsid w:val="2311378A"/>
    <w:rsid w:val="231A74BD"/>
    <w:rsid w:val="23426048"/>
    <w:rsid w:val="235262BD"/>
    <w:rsid w:val="2352742E"/>
    <w:rsid w:val="235515FA"/>
    <w:rsid w:val="23593F54"/>
    <w:rsid w:val="236F3AD0"/>
    <w:rsid w:val="236F509B"/>
    <w:rsid w:val="238713B8"/>
    <w:rsid w:val="238D5451"/>
    <w:rsid w:val="239A7D57"/>
    <w:rsid w:val="23C253F1"/>
    <w:rsid w:val="23E30EFB"/>
    <w:rsid w:val="23EA25BE"/>
    <w:rsid w:val="23EF45C0"/>
    <w:rsid w:val="23F073F0"/>
    <w:rsid w:val="23FC6C47"/>
    <w:rsid w:val="240B78AD"/>
    <w:rsid w:val="242A1656"/>
    <w:rsid w:val="24365D7D"/>
    <w:rsid w:val="244D655F"/>
    <w:rsid w:val="244E42C8"/>
    <w:rsid w:val="24783CAA"/>
    <w:rsid w:val="24797359"/>
    <w:rsid w:val="248D2E9C"/>
    <w:rsid w:val="24A3083F"/>
    <w:rsid w:val="24AD60B3"/>
    <w:rsid w:val="24AF7CDB"/>
    <w:rsid w:val="24B23103"/>
    <w:rsid w:val="24B56F5B"/>
    <w:rsid w:val="24D312EE"/>
    <w:rsid w:val="24D63FDF"/>
    <w:rsid w:val="24D650E9"/>
    <w:rsid w:val="24DF0027"/>
    <w:rsid w:val="24E12C5A"/>
    <w:rsid w:val="25024EB6"/>
    <w:rsid w:val="251B4DDA"/>
    <w:rsid w:val="253D6161"/>
    <w:rsid w:val="25664EFE"/>
    <w:rsid w:val="256C2939"/>
    <w:rsid w:val="25770567"/>
    <w:rsid w:val="257E078F"/>
    <w:rsid w:val="259A7792"/>
    <w:rsid w:val="25B61173"/>
    <w:rsid w:val="25BE60A5"/>
    <w:rsid w:val="25D20A5A"/>
    <w:rsid w:val="25DE4490"/>
    <w:rsid w:val="25F25490"/>
    <w:rsid w:val="25F84A05"/>
    <w:rsid w:val="260D152D"/>
    <w:rsid w:val="261C1C80"/>
    <w:rsid w:val="26324BF0"/>
    <w:rsid w:val="26541EAD"/>
    <w:rsid w:val="266137BE"/>
    <w:rsid w:val="26644C74"/>
    <w:rsid w:val="26655CDB"/>
    <w:rsid w:val="26793F88"/>
    <w:rsid w:val="26993A0E"/>
    <w:rsid w:val="26AA4A8E"/>
    <w:rsid w:val="26B43CE3"/>
    <w:rsid w:val="26BA0BA9"/>
    <w:rsid w:val="26D7090C"/>
    <w:rsid w:val="26E67CC3"/>
    <w:rsid w:val="26EA72F2"/>
    <w:rsid w:val="27017A41"/>
    <w:rsid w:val="271A05DD"/>
    <w:rsid w:val="271E7719"/>
    <w:rsid w:val="272D1B25"/>
    <w:rsid w:val="272E009E"/>
    <w:rsid w:val="2739522F"/>
    <w:rsid w:val="274109C2"/>
    <w:rsid w:val="27462380"/>
    <w:rsid w:val="27983E75"/>
    <w:rsid w:val="27A72D03"/>
    <w:rsid w:val="27AD4CD3"/>
    <w:rsid w:val="27D01F1E"/>
    <w:rsid w:val="27D31C94"/>
    <w:rsid w:val="27D81240"/>
    <w:rsid w:val="27E461BF"/>
    <w:rsid w:val="27E539FF"/>
    <w:rsid w:val="27EA4FBC"/>
    <w:rsid w:val="28022980"/>
    <w:rsid w:val="282239CA"/>
    <w:rsid w:val="282F07BD"/>
    <w:rsid w:val="28310A96"/>
    <w:rsid w:val="28394F91"/>
    <w:rsid w:val="28474855"/>
    <w:rsid w:val="284953C4"/>
    <w:rsid w:val="285044A2"/>
    <w:rsid w:val="28547DF5"/>
    <w:rsid w:val="285C183C"/>
    <w:rsid w:val="285F7532"/>
    <w:rsid w:val="286041C7"/>
    <w:rsid w:val="28731AB2"/>
    <w:rsid w:val="287B2645"/>
    <w:rsid w:val="287E48B4"/>
    <w:rsid w:val="28961AB5"/>
    <w:rsid w:val="28D50583"/>
    <w:rsid w:val="28D62AA2"/>
    <w:rsid w:val="28E74FDD"/>
    <w:rsid w:val="28E87CDB"/>
    <w:rsid w:val="28EC54A4"/>
    <w:rsid w:val="28F16A37"/>
    <w:rsid w:val="28F75277"/>
    <w:rsid w:val="2915474B"/>
    <w:rsid w:val="292150A5"/>
    <w:rsid w:val="292C3178"/>
    <w:rsid w:val="29524D7A"/>
    <w:rsid w:val="2961672D"/>
    <w:rsid w:val="298677D4"/>
    <w:rsid w:val="298B7B20"/>
    <w:rsid w:val="298C2BEE"/>
    <w:rsid w:val="2998394E"/>
    <w:rsid w:val="29A27EBB"/>
    <w:rsid w:val="29BE3972"/>
    <w:rsid w:val="29E16DB7"/>
    <w:rsid w:val="29E21523"/>
    <w:rsid w:val="29E308A5"/>
    <w:rsid w:val="29FA26FE"/>
    <w:rsid w:val="2A035280"/>
    <w:rsid w:val="2A062BD9"/>
    <w:rsid w:val="2A104122"/>
    <w:rsid w:val="2A2A2A47"/>
    <w:rsid w:val="2A405578"/>
    <w:rsid w:val="2A4F1A1C"/>
    <w:rsid w:val="2A525550"/>
    <w:rsid w:val="2A525C65"/>
    <w:rsid w:val="2A590D26"/>
    <w:rsid w:val="2A5B5BD6"/>
    <w:rsid w:val="2A6908EF"/>
    <w:rsid w:val="2A8A12B7"/>
    <w:rsid w:val="2A8D242C"/>
    <w:rsid w:val="2A96158E"/>
    <w:rsid w:val="2A961628"/>
    <w:rsid w:val="2A9A0BD7"/>
    <w:rsid w:val="2AA611D9"/>
    <w:rsid w:val="2AAC236D"/>
    <w:rsid w:val="2AB534AA"/>
    <w:rsid w:val="2AC97EE3"/>
    <w:rsid w:val="2ACF4653"/>
    <w:rsid w:val="2AD314AB"/>
    <w:rsid w:val="2AD86B68"/>
    <w:rsid w:val="2AE44389"/>
    <w:rsid w:val="2B2449E5"/>
    <w:rsid w:val="2B2E1161"/>
    <w:rsid w:val="2B3402AE"/>
    <w:rsid w:val="2B343731"/>
    <w:rsid w:val="2B622E48"/>
    <w:rsid w:val="2B6E72A1"/>
    <w:rsid w:val="2B7336DA"/>
    <w:rsid w:val="2B757A6B"/>
    <w:rsid w:val="2B791BAD"/>
    <w:rsid w:val="2B844CAC"/>
    <w:rsid w:val="2B857D19"/>
    <w:rsid w:val="2B891109"/>
    <w:rsid w:val="2B9E33D0"/>
    <w:rsid w:val="2BA37038"/>
    <w:rsid w:val="2BB13808"/>
    <w:rsid w:val="2BB81138"/>
    <w:rsid w:val="2BBA29E6"/>
    <w:rsid w:val="2BBB0391"/>
    <w:rsid w:val="2BBB48F8"/>
    <w:rsid w:val="2BBD4670"/>
    <w:rsid w:val="2BBD5029"/>
    <w:rsid w:val="2BC64FAA"/>
    <w:rsid w:val="2BF50739"/>
    <w:rsid w:val="2BFA28BA"/>
    <w:rsid w:val="2BFF3D31"/>
    <w:rsid w:val="2C084FC9"/>
    <w:rsid w:val="2C1019FA"/>
    <w:rsid w:val="2C153170"/>
    <w:rsid w:val="2C187E58"/>
    <w:rsid w:val="2C1A41E1"/>
    <w:rsid w:val="2C28486A"/>
    <w:rsid w:val="2C397634"/>
    <w:rsid w:val="2C3B3437"/>
    <w:rsid w:val="2C4A239A"/>
    <w:rsid w:val="2C530C9D"/>
    <w:rsid w:val="2C542603"/>
    <w:rsid w:val="2C556598"/>
    <w:rsid w:val="2C7362FE"/>
    <w:rsid w:val="2C8E2A3A"/>
    <w:rsid w:val="2CA25C14"/>
    <w:rsid w:val="2CA362D6"/>
    <w:rsid w:val="2CA911B9"/>
    <w:rsid w:val="2CBB0C8B"/>
    <w:rsid w:val="2CC92869"/>
    <w:rsid w:val="2CCC64C1"/>
    <w:rsid w:val="2CCD46F1"/>
    <w:rsid w:val="2CCF7A44"/>
    <w:rsid w:val="2CFE657F"/>
    <w:rsid w:val="2D0A4C9F"/>
    <w:rsid w:val="2D247522"/>
    <w:rsid w:val="2D282D7C"/>
    <w:rsid w:val="2D2A50A3"/>
    <w:rsid w:val="2D380AAB"/>
    <w:rsid w:val="2D394727"/>
    <w:rsid w:val="2D4E318F"/>
    <w:rsid w:val="2D536C3C"/>
    <w:rsid w:val="2D580C06"/>
    <w:rsid w:val="2D781601"/>
    <w:rsid w:val="2D7B5CE5"/>
    <w:rsid w:val="2D835C9D"/>
    <w:rsid w:val="2D884611"/>
    <w:rsid w:val="2D8D3D55"/>
    <w:rsid w:val="2D9F4873"/>
    <w:rsid w:val="2DA44DE7"/>
    <w:rsid w:val="2DC71285"/>
    <w:rsid w:val="2DD761E2"/>
    <w:rsid w:val="2DF633BB"/>
    <w:rsid w:val="2DF719DC"/>
    <w:rsid w:val="2E241B52"/>
    <w:rsid w:val="2E2A3D29"/>
    <w:rsid w:val="2E323C25"/>
    <w:rsid w:val="2E382B25"/>
    <w:rsid w:val="2E4044C5"/>
    <w:rsid w:val="2E473492"/>
    <w:rsid w:val="2E4865B5"/>
    <w:rsid w:val="2E5448C3"/>
    <w:rsid w:val="2E6042B0"/>
    <w:rsid w:val="2E6601CC"/>
    <w:rsid w:val="2E681B77"/>
    <w:rsid w:val="2E760872"/>
    <w:rsid w:val="2E7E1248"/>
    <w:rsid w:val="2E8E23D1"/>
    <w:rsid w:val="2E9615DA"/>
    <w:rsid w:val="2ECC5250"/>
    <w:rsid w:val="2ED242E8"/>
    <w:rsid w:val="2ED30865"/>
    <w:rsid w:val="2EE240C5"/>
    <w:rsid w:val="2EE53CEC"/>
    <w:rsid w:val="2EE61EA5"/>
    <w:rsid w:val="2EEB3042"/>
    <w:rsid w:val="2EF66840"/>
    <w:rsid w:val="2EFA325F"/>
    <w:rsid w:val="2F0D487E"/>
    <w:rsid w:val="2F1456DF"/>
    <w:rsid w:val="2F1F2B27"/>
    <w:rsid w:val="2F357487"/>
    <w:rsid w:val="2F42337E"/>
    <w:rsid w:val="2F5B33D2"/>
    <w:rsid w:val="2F5C0389"/>
    <w:rsid w:val="2F763A9A"/>
    <w:rsid w:val="2F77075F"/>
    <w:rsid w:val="2F7F244D"/>
    <w:rsid w:val="2F90298A"/>
    <w:rsid w:val="2F914065"/>
    <w:rsid w:val="2F9D17B1"/>
    <w:rsid w:val="2FB01E28"/>
    <w:rsid w:val="2FD54D72"/>
    <w:rsid w:val="2FEB2CD1"/>
    <w:rsid w:val="2FEB3C67"/>
    <w:rsid w:val="2FF51D9E"/>
    <w:rsid w:val="30032353"/>
    <w:rsid w:val="30065484"/>
    <w:rsid w:val="301D69CA"/>
    <w:rsid w:val="30300464"/>
    <w:rsid w:val="30516F84"/>
    <w:rsid w:val="305428D9"/>
    <w:rsid w:val="305F105F"/>
    <w:rsid w:val="30695E0D"/>
    <w:rsid w:val="308357A3"/>
    <w:rsid w:val="3085130D"/>
    <w:rsid w:val="309A6501"/>
    <w:rsid w:val="30B67D2D"/>
    <w:rsid w:val="30C47209"/>
    <w:rsid w:val="30D67705"/>
    <w:rsid w:val="30E41B87"/>
    <w:rsid w:val="30E521E5"/>
    <w:rsid w:val="30E929C4"/>
    <w:rsid w:val="30EC7D5A"/>
    <w:rsid w:val="30F432C3"/>
    <w:rsid w:val="30F4482C"/>
    <w:rsid w:val="310E115D"/>
    <w:rsid w:val="3112290B"/>
    <w:rsid w:val="311253EE"/>
    <w:rsid w:val="31231834"/>
    <w:rsid w:val="316C1F74"/>
    <w:rsid w:val="316E09D3"/>
    <w:rsid w:val="317A4445"/>
    <w:rsid w:val="318A149B"/>
    <w:rsid w:val="319723BD"/>
    <w:rsid w:val="31B37286"/>
    <w:rsid w:val="31CF2056"/>
    <w:rsid w:val="31E86936"/>
    <w:rsid w:val="32075E5B"/>
    <w:rsid w:val="321939D8"/>
    <w:rsid w:val="321A13D8"/>
    <w:rsid w:val="321A2CCF"/>
    <w:rsid w:val="321E46B6"/>
    <w:rsid w:val="322A28D9"/>
    <w:rsid w:val="3235552B"/>
    <w:rsid w:val="3241304B"/>
    <w:rsid w:val="324658A1"/>
    <w:rsid w:val="324E0783"/>
    <w:rsid w:val="32504BF9"/>
    <w:rsid w:val="32512921"/>
    <w:rsid w:val="325C33BF"/>
    <w:rsid w:val="32610526"/>
    <w:rsid w:val="326E2A98"/>
    <w:rsid w:val="327E5D61"/>
    <w:rsid w:val="32871C77"/>
    <w:rsid w:val="32C40B33"/>
    <w:rsid w:val="32CB6900"/>
    <w:rsid w:val="331E0A04"/>
    <w:rsid w:val="331F33B1"/>
    <w:rsid w:val="33264C05"/>
    <w:rsid w:val="3338614B"/>
    <w:rsid w:val="333C5CF3"/>
    <w:rsid w:val="334A42AD"/>
    <w:rsid w:val="33790065"/>
    <w:rsid w:val="338262C7"/>
    <w:rsid w:val="33934BA5"/>
    <w:rsid w:val="339B3165"/>
    <w:rsid w:val="33A11151"/>
    <w:rsid w:val="33B73201"/>
    <w:rsid w:val="33BB12C5"/>
    <w:rsid w:val="33BB18E7"/>
    <w:rsid w:val="33BD7732"/>
    <w:rsid w:val="33D02DD3"/>
    <w:rsid w:val="33D11B4F"/>
    <w:rsid w:val="33D35318"/>
    <w:rsid w:val="33DB5980"/>
    <w:rsid w:val="33E30CCC"/>
    <w:rsid w:val="33E5730F"/>
    <w:rsid w:val="340816A5"/>
    <w:rsid w:val="34086D73"/>
    <w:rsid w:val="341632DE"/>
    <w:rsid w:val="341875EF"/>
    <w:rsid w:val="3421106E"/>
    <w:rsid w:val="342A7612"/>
    <w:rsid w:val="345E67C6"/>
    <w:rsid w:val="34794608"/>
    <w:rsid w:val="34806B1A"/>
    <w:rsid w:val="34840987"/>
    <w:rsid w:val="348567FC"/>
    <w:rsid w:val="34AE13CC"/>
    <w:rsid w:val="34B40E1B"/>
    <w:rsid w:val="34B44187"/>
    <w:rsid w:val="34BD5104"/>
    <w:rsid w:val="34E374FF"/>
    <w:rsid w:val="34E70E16"/>
    <w:rsid w:val="3504170B"/>
    <w:rsid w:val="351B74DB"/>
    <w:rsid w:val="351D6EFA"/>
    <w:rsid w:val="3526607D"/>
    <w:rsid w:val="35375A3E"/>
    <w:rsid w:val="354D1B95"/>
    <w:rsid w:val="3563564C"/>
    <w:rsid w:val="356D0D90"/>
    <w:rsid w:val="357A1BC1"/>
    <w:rsid w:val="357E534F"/>
    <w:rsid w:val="358657DA"/>
    <w:rsid w:val="358B5766"/>
    <w:rsid w:val="35964741"/>
    <w:rsid w:val="359876C7"/>
    <w:rsid w:val="35AD1611"/>
    <w:rsid w:val="35BC1043"/>
    <w:rsid w:val="35C36CA5"/>
    <w:rsid w:val="35C6109B"/>
    <w:rsid w:val="35EC6BDC"/>
    <w:rsid w:val="361A6EF4"/>
    <w:rsid w:val="3631684E"/>
    <w:rsid w:val="36533CE6"/>
    <w:rsid w:val="365A0EF6"/>
    <w:rsid w:val="365A2935"/>
    <w:rsid w:val="36605673"/>
    <w:rsid w:val="3679595E"/>
    <w:rsid w:val="367F7776"/>
    <w:rsid w:val="36956D66"/>
    <w:rsid w:val="369625F0"/>
    <w:rsid w:val="369922EE"/>
    <w:rsid w:val="36A02D12"/>
    <w:rsid w:val="36A83E3E"/>
    <w:rsid w:val="36B2356A"/>
    <w:rsid w:val="36B91F5E"/>
    <w:rsid w:val="36EA4977"/>
    <w:rsid w:val="370814A7"/>
    <w:rsid w:val="373F7315"/>
    <w:rsid w:val="3745098D"/>
    <w:rsid w:val="37520C7B"/>
    <w:rsid w:val="376C4EFE"/>
    <w:rsid w:val="377447F5"/>
    <w:rsid w:val="379929B0"/>
    <w:rsid w:val="379A7A24"/>
    <w:rsid w:val="379B070A"/>
    <w:rsid w:val="37A11190"/>
    <w:rsid w:val="37A30EDE"/>
    <w:rsid w:val="37AF3A14"/>
    <w:rsid w:val="37B87D16"/>
    <w:rsid w:val="37D60F11"/>
    <w:rsid w:val="37D90527"/>
    <w:rsid w:val="37E201AF"/>
    <w:rsid w:val="37E80BA4"/>
    <w:rsid w:val="383B1849"/>
    <w:rsid w:val="383C392E"/>
    <w:rsid w:val="383D0D43"/>
    <w:rsid w:val="38614A5C"/>
    <w:rsid w:val="38675D67"/>
    <w:rsid w:val="386D06DB"/>
    <w:rsid w:val="387B7D28"/>
    <w:rsid w:val="38804324"/>
    <w:rsid w:val="38835296"/>
    <w:rsid w:val="388C071B"/>
    <w:rsid w:val="38956B15"/>
    <w:rsid w:val="38965939"/>
    <w:rsid w:val="389E5F75"/>
    <w:rsid w:val="389F1950"/>
    <w:rsid w:val="38A4623D"/>
    <w:rsid w:val="38C512AA"/>
    <w:rsid w:val="38C719C4"/>
    <w:rsid w:val="38C938A1"/>
    <w:rsid w:val="38EA55AE"/>
    <w:rsid w:val="38F23DEF"/>
    <w:rsid w:val="390610CC"/>
    <w:rsid w:val="39101218"/>
    <w:rsid w:val="39542A30"/>
    <w:rsid w:val="39551C9D"/>
    <w:rsid w:val="39561984"/>
    <w:rsid w:val="396859C3"/>
    <w:rsid w:val="39730579"/>
    <w:rsid w:val="398215C8"/>
    <w:rsid w:val="39973C55"/>
    <w:rsid w:val="39AD40B0"/>
    <w:rsid w:val="39B71252"/>
    <w:rsid w:val="39BB36FC"/>
    <w:rsid w:val="39C11A7D"/>
    <w:rsid w:val="39C20E21"/>
    <w:rsid w:val="3A084160"/>
    <w:rsid w:val="3A2477CE"/>
    <w:rsid w:val="3A2654B5"/>
    <w:rsid w:val="3A4C5CEB"/>
    <w:rsid w:val="3A4E4242"/>
    <w:rsid w:val="3A744B26"/>
    <w:rsid w:val="3A7C79C4"/>
    <w:rsid w:val="3A860580"/>
    <w:rsid w:val="3A897EDE"/>
    <w:rsid w:val="3AC30252"/>
    <w:rsid w:val="3ACE0DEF"/>
    <w:rsid w:val="3AD75C1C"/>
    <w:rsid w:val="3AE76919"/>
    <w:rsid w:val="3AE87357"/>
    <w:rsid w:val="3AED2A68"/>
    <w:rsid w:val="3AF06E69"/>
    <w:rsid w:val="3AF516C7"/>
    <w:rsid w:val="3B260858"/>
    <w:rsid w:val="3B2E149C"/>
    <w:rsid w:val="3B42033B"/>
    <w:rsid w:val="3B44678E"/>
    <w:rsid w:val="3B486522"/>
    <w:rsid w:val="3B536E5C"/>
    <w:rsid w:val="3B600D2D"/>
    <w:rsid w:val="3B680D77"/>
    <w:rsid w:val="3B69561E"/>
    <w:rsid w:val="3B695C1B"/>
    <w:rsid w:val="3B6A4552"/>
    <w:rsid w:val="3B8031C4"/>
    <w:rsid w:val="3BBA5436"/>
    <w:rsid w:val="3BC01566"/>
    <w:rsid w:val="3BC1488A"/>
    <w:rsid w:val="3BC853F3"/>
    <w:rsid w:val="3BD4471D"/>
    <w:rsid w:val="3BD47F60"/>
    <w:rsid w:val="3BDB1A36"/>
    <w:rsid w:val="3BDC20CF"/>
    <w:rsid w:val="3BDF110F"/>
    <w:rsid w:val="3BE710B7"/>
    <w:rsid w:val="3BFC2F4B"/>
    <w:rsid w:val="3C08056E"/>
    <w:rsid w:val="3C0F2874"/>
    <w:rsid w:val="3C3C7D69"/>
    <w:rsid w:val="3C3E3285"/>
    <w:rsid w:val="3C3F49F6"/>
    <w:rsid w:val="3C4520C0"/>
    <w:rsid w:val="3C5C562B"/>
    <w:rsid w:val="3C613FEB"/>
    <w:rsid w:val="3C646372"/>
    <w:rsid w:val="3CA07D7B"/>
    <w:rsid w:val="3CBC023F"/>
    <w:rsid w:val="3CDD41E7"/>
    <w:rsid w:val="3CE51A26"/>
    <w:rsid w:val="3D001880"/>
    <w:rsid w:val="3D1F4950"/>
    <w:rsid w:val="3D340E4D"/>
    <w:rsid w:val="3D36677F"/>
    <w:rsid w:val="3D3E2448"/>
    <w:rsid w:val="3D3E64DA"/>
    <w:rsid w:val="3D4136DE"/>
    <w:rsid w:val="3D5F0C69"/>
    <w:rsid w:val="3D643A46"/>
    <w:rsid w:val="3D68713F"/>
    <w:rsid w:val="3D751657"/>
    <w:rsid w:val="3D883932"/>
    <w:rsid w:val="3D8D665C"/>
    <w:rsid w:val="3D95379F"/>
    <w:rsid w:val="3DA3505C"/>
    <w:rsid w:val="3DB57D32"/>
    <w:rsid w:val="3DC13F48"/>
    <w:rsid w:val="3DD079E6"/>
    <w:rsid w:val="3DDB55AC"/>
    <w:rsid w:val="3DE44360"/>
    <w:rsid w:val="3DE87997"/>
    <w:rsid w:val="3DF93B3E"/>
    <w:rsid w:val="3E1019D0"/>
    <w:rsid w:val="3E131E67"/>
    <w:rsid w:val="3E33604B"/>
    <w:rsid w:val="3E683EDD"/>
    <w:rsid w:val="3E6C5286"/>
    <w:rsid w:val="3EA311DB"/>
    <w:rsid w:val="3EAD7512"/>
    <w:rsid w:val="3EB15DF2"/>
    <w:rsid w:val="3EBD400C"/>
    <w:rsid w:val="3EC4454A"/>
    <w:rsid w:val="3ED87335"/>
    <w:rsid w:val="3EDA78EB"/>
    <w:rsid w:val="3EE70083"/>
    <w:rsid w:val="3EEB6066"/>
    <w:rsid w:val="3EEC27A6"/>
    <w:rsid w:val="3EEF2C21"/>
    <w:rsid w:val="3F0B45C0"/>
    <w:rsid w:val="3F1579B5"/>
    <w:rsid w:val="3F1D6F0B"/>
    <w:rsid w:val="3F266A7D"/>
    <w:rsid w:val="3F381848"/>
    <w:rsid w:val="3F491CDA"/>
    <w:rsid w:val="3F7D2C9E"/>
    <w:rsid w:val="3F856AB4"/>
    <w:rsid w:val="3F8E7AC8"/>
    <w:rsid w:val="3F941950"/>
    <w:rsid w:val="3FB13D7A"/>
    <w:rsid w:val="3FCB6B6E"/>
    <w:rsid w:val="3FE95E42"/>
    <w:rsid w:val="3FF7495D"/>
    <w:rsid w:val="40116433"/>
    <w:rsid w:val="402A5133"/>
    <w:rsid w:val="403541CD"/>
    <w:rsid w:val="4035434B"/>
    <w:rsid w:val="4049759F"/>
    <w:rsid w:val="40502C23"/>
    <w:rsid w:val="40685C8D"/>
    <w:rsid w:val="40751FF9"/>
    <w:rsid w:val="40840BF3"/>
    <w:rsid w:val="40864860"/>
    <w:rsid w:val="40A93291"/>
    <w:rsid w:val="40AB3DE8"/>
    <w:rsid w:val="40CB5CB8"/>
    <w:rsid w:val="40E57680"/>
    <w:rsid w:val="40E95392"/>
    <w:rsid w:val="41082009"/>
    <w:rsid w:val="41112F0B"/>
    <w:rsid w:val="41150B9F"/>
    <w:rsid w:val="41192F55"/>
    <w:rsid w:val="411E424D"/>
    <w:rsid w:val="412D1AF9"/>
    <w:rsid w:val="41421E8D"/>
    <w:rsid w:val="414338B3"/>
    <w:rsid w:val="41491CD6"/>
    <w:rsid w:val="415E2B35"/>
    <w:rsid w:val="41671218"/>
    <w:rsid w:val="417522DD"/>
    <w:rsid w:val="41775821"/>
    <w:rsid w:val="418D43E0"/>
    <w:rsid w:val="41A33202"/>
    <w:rsid w:val="41B25C09"/>
    <w:rsid w:val="41B81D15"/>
    <w:rsid w:val="41BA184C"/>
    <w:rsid w:val="41C00106"/>
    <w:rsid w:val="41C65D47"/>
    <w:rsid w:val="41D277CB"/>
    <w:rsid w:val="41D47D6F"/>
    <w:rsid w:val="41D951A0"/>
    <w:rsid w:val="41E10384"/>
    <w:rsid w:val="41E96BFF"/>
    <w:rsid w:val="41F20C16"/>
    <w:rsid w:val="41FD326A"/>
    <w:rsid w:val="420E03BC"/>
    <w:rsid w:val="42227A75"/>
    <w:rsid w:val="422B06A6"/>
    <w:rsid w:val="422C470D"/>
    <w:rsid w:val="422F591A"/>
    <w:rsid w:val="42306144"/>
    <w:rsid w:val="423C39D2"/>
    <w:rsid w:val="42536CD4"/>
    <w:rsid w:val="425E3905"/>
    <w:rsid w:val="426B3A1D"/>
    <w:rsid w:val="42876727"/>
    <w:rsid w:val="428A1BBE"/>
    <w:rsid w:val="42A92919"/>
    <w:rsid w:val="42B96579"/>
    <w:rsid w:val="42BF686B"/>
    <w:rsid w:val="42C21C09"/>
    <w:rsid w:val="42C46F83"/>
    <w:rsid w:val="42DD46FC"/>
    <w:rsid w:val="42DF345C"/>
    <w:rsid w:val="42E9734E"/>
    <w:rsid w:val="42FB6267"/>
    <w:rsid w:val="43086DC0"/>
    <w:rsid w:val="433253E2"/>
    <w:rsid w:val="43350BD3"/>
    <w:rsid w:val="434B6546"/>
    <w:rsid w:val="435246F4"/>
    <w:rsid w:val="43633680"/>
    <w:rsid w:val="436A45A0"/>
    <w:rsid w:val="439C5EE5"/>
    <w:rsid w:val="43CD414D"/>
    <w:rsid w:val="43D84264"/>
    <w:rsid w:val="43F515D1"/>
    <w:rsid w:val="440124FC"/>
    <w:rsid w:val="44325E7E"/>
    <w:rsid w:val="443A37E6"/>
    <w:rsid w:val="443C5DFA"/>
    <w:rsid w:val="446827DC"/>
    <w:rsid w:val="446B0DB2"/>
    <w:rsid w:val="446B1D0A"/>
    <w:rsid w:val="44772051"/>
    <w:rsid w:val="44933017"/>
    <w:rsid w:val="449B4F8B"/>
    <w:rsid w:val="44A05CE9"/>
    <w:rsid w:val="44B67BF0"/>
    <w:rsid w:val="44BE7A28"/>
    <w:rsid w:val="44C32D3D"/>
    <w:rsid w:val="44D80A81"/>
    <w:rsid w:val="44E14AD4"/>
    <w:rsid w:val="44E6514B"/>
    <w:rsid w:val="44FA7B92"/>
    <w:rsid w:val="45050F94"/>
    <w:rsid w:val="451540BA"/>
    <w:rsid w:val="451675AD"/>
    <w:rsid w:val="451A2176"/>
    <w:rsid w:val="451D0F22"/>
    <w:rsid w:val="45260469"/>
    <w:rsid w:val="4527789D"/>
    <w:rsid w:val="455058BC"/>
    <w:rsid w:val="455A3CA8"/>
    <w:rsid w:val="456276DE"/>
    <w:rsid w:val="45677320"/>
    <w:rsid w:val="459675E7"/>
    <w:rsid w:val="4598064A"/>
    <w:rsid w:val="45AD7C74"/>
    <w:rsid w:val="45AE63E4"/>
    <w:rsid w:val="45B20780"/>
    <w:rsid w:val="45B236B9"/>
    <w:rsid w:val="45CE05EB"/>
    <w:rsid w:val="45D22ABE"/>
    <w:rsid w:val="45E364C8"/>
    <w:rsid w:val="45F8438E"/>
    <w:rsid w:val="460A605E"/>
    <w:rsid w:val="461D0749"/>
    <w:rsid w:val="462D2541"/>
    <w:rsid w:val="46382212"/>
    <w:rsid w:val="465C5F07"/>
    <w:rsid w:val="46886A41"/>
    <w:rsid w:val="46A86FA7"/>
    <w:rsid w:val="46B304C4"/>
    <w:rsid w:val="46B7466C"/>
    <w:rsid w:val="46B779D8"/>
    <w:rsid w:val="46BC4355"/>
    <w:rsid w:val="46D2193C"/>
    <w:rsid w:val="46E117FA"/>
    <w:rsid w:val="46EA5A87"/>
    <w:rsid w:val="46F50B9E"/>
    <w:rsid w:val="47112622"/>
    <w:rsid w:val="471431DD"/>
    <w:rsid w:val="47240260"/>
    <w:rsid w:val="47246D8A"/>
    <w:rsid w:val="47414D13"/>
    <w:rsid w:val="47434DC4"/>
    <w:rsid w:val="47555A49"/>
    <w:rsid w:val="47673922"/>
    <w:rsid w:val="47857731"/>
    <w:rsid w:val="47A3693E"/>
    <w:rsid w:val="47AD4BF7"/>
    <w:rsid w:val="47B51C25"/>
    <w:rsid w:val="47C45C2A"/>
    <w:rsid w:val="47C77827"/>
    <w:rsid w:val="47E80373"/>
    <w:rsid w:val="47F4468C"/>
    <w:rsid w:val="4813798A"/>
    <w:rsid w:val="48252DBD"/>
    <w:rsid w:val="482777E6"/>
    <w:rsid w:val="482B54FB"/>
    <w:rsid w:val="4831785F"/>
    <w:rsid w:val="48342CE8"/>
    <w:rsid w:val="483B1424"/>
    <w:rsid w:val="4843648E"/>
    <w:rsid w:val="484F5F47"/>
    <w:rsid w:val="485E0255"/>
    <w:rsid w:val="487D41B9"/>
    <w:rsid w:val="48860B0E"/>
    <w:rsid w:val="4891221F"/>
    <w:rsid w:val="489A494A"/>
    <w:rsid w:val="48C21597"/>
    <w:rsid w:val="48C33CC5"/>
    <w:rsid w:val="48C766D5"/>
    <w:rsid w:val="48C93BB4"/>
    <w:rsid w:val="48D80C27"/>
    <w:rsid w:val="48DA3914"/>
    <w:rsid w:val="48DC2144"/>
    <w:rsid w:val="48EB305A"/>
    <w:rsid w:val="48EC1BCE"/>
    <w:rsid w:val="49015EC5"/>
    <w:rsid w:val="49077A5E"/>
    <w:rsid w:val="491F46BA"/>
    <w:rsid w:val="4920301D"/>
    <w:rsid w:val="49203434"/>
    <w:rsid w:val="49332B4C"/>
    <w:rsid w:val="494744FF"/>
    <w:rsid w:val="495359C6"/>
    <w:rsid w:val="4978456F"/>
    <w:rsid w:val="49A52C32"/>
    <w:rsid w:val="49B63858"/>
    <w:rsid w:val="49CA3DB0"/>
    <w:rsid w:val="49F02837"/>
    <w:rsid w:val="49F74694"/>
    <w:rsid w:val="49F805C3"/>
    <w:rsid w:val="49FB7D01"/>
    <w:rsid w:val="4A003E97"/>
    <w:rsid w:val="4A10761B"/>
    <w:rsid w:val="4A2547BA"/>
    <w:rsid w:val="4A271C24"/>
    <w:rsid w:val="4A290BBA"/>
    <w:rsid w:val="4A5E08E2"/>
    <w:rsid w:val="4A6650F0"/>
    <w:rsid w:val="4A6711FA"/>
    <w:rsid w:val="4A6D5D83"/>
    <w:rsid w:val="4A7F5CB0"/>
    <w:rsid w:val="4A8B4928"/>
    <w:rsid w:val="4A8D39F1"/>
    <w:rsid w:val="4AA141EF"/>
    <w:rsid w:val="4AAB2A2C"/>
    <w:rsid w:val="4AB62CB4"/>
    <w:rsid w:val="4AB84257"/>
    <w:rsid w:val="4ABE4611"/>
    <w:rsid w:val="4AC40010"/>
    <w:rsid w:val="4AD607A0"/>
    <w:rsid w:val="4B026637"/>
    <w:rsid w:val="4B0875F4"/>
    <w:rsid w:val="4B3F361D"/>
    <w:rsid w:val="4B4A7F5D"/>
    <w:rsid w:val="4B5347F9"/>
    <w:rsid w:val="4B7A3245"/>
    <w:rsid w:val="4B7F7E7F"/>
    <w:rsid w:val="4B964AD9"/>
    <w:rsid w:val="4B992B66"/>
    <w:rsid w:val="4B9E5C1B"/>
    <w:rsid w:val="4B9E5D37"/>
    <w:rsid w:val="4B9F5D9A"/>
    <w:rsid w:val="4BA172A4"/>
    <w:rsid w:val="4BD049DD"/>
    <w:rsid w:val="4BE724E4"/>
    <w:rsid w:val="4C0C4CAD"/>
    <w:rsid w:val="4C1B1F0A"/>
    <w:rsid w:val="4C4F6C27"/>
    <w:rsid w:val="4C724B84"/>
    <w:rsid w:val="4C7D6021"/>
    <w:rsid w:val="4C7D7934"/>
    <w:rsid w:val="4C8E38BF"/>
    <w:rsid w:val="4C910F80"/>
    <w:rsid w:val="4CBA125A"/>
    <w:rsid w:val="4CBE4CC3"/>
    <w:rsid w:val="4CD037B7"/>
    <w:rsid w:val="4CDE3D08"/>
    <w:rsid w:val="4CEB055F"/>
    <w:rsid w:val="4D060F3F"/>
    <w:rsid w:val="4D080B1A"/>
    <w:rsid w:val="4D18504E"/>
    <w:rsid w:val="4D1B742D"/>
    <w:rsid w:val="4D260D8D"/>
    <w:rsid w:val="4D3805FB"/>
    <w:rsid w:val="4D59384C"/>
    <w:rsid w:val="4D713AF3"/>
    <w:rsid w:val="4D7E0697"/>
    <w:rsid w:val="4DAA413E"/>
    <w:rsid w:val="4DAE6C54"/>
    <w:rsid w:val="4DBD1A56"/>
    <w:rsid w:val="4DF155A8"/>
    <w:rsid w:val="4E13189B"/>
    <w:rsid w:val="4E1E2C49"/>
    <w:rsid w:val="4E333981"/>
    <w:rsid w:val="4E34634B"/>
    <w:rsid w:val="4E4A395B"/>
    <w:rsid w:val="4E5811AF"/>
    <w:rsid w:val="4E5B00DB"/>
    <w:rsid w:val="4E6574D3"/>
    <w:rsid w:val="4EB0745A"/>
    <w:rsid w:val="4EBA5254"/>
    <w:rsid w:val="4EC85725"/>
    <w:rsid w:val="4EE85E16"/>
    <w:rsid w:val="4F010102"/>
    <w:rsid w:val="4F031A3F"/>
    <w:rsid w:val="4F0D22B7"/>
    <w:rsid w:val="4F227C3F"/>
    <w:rsid w:val="4F2A0614"/>
    <w:rsid w:val="4F430CCC"/>
    <w:rsid w:val="4F48024F"/>
    <w:rsid w:val="4F5B026A"/>
    <w:rsid w:val="4F5B2590"/>
    <w:rsid w:val="4F685387"/>
    <w:rsid w:val="4F6E0F5C"/>
    <w:rsid w:val="4F811123"/>
    <w:rsid w:val="4F811E9C"/>
    <w:rsid w:val="4F886FFC"/>
    <w:rsid w:val="4F8F5947"/>
    <w:rsid w:val="4F9D337D"/>
    <w:rsid w:val="4FA0577E"/>
    <w:rsid w:val="4FBD2671"/>
    <w:rsid w:val="4FC04D48"/>
    <w:rsid w:val="4FED5660"/>
    <w:rsid w:val="50074784"/>
    <w:rsid w:val="5008503B"/>
    <w:rsid w:val="502E6DB5"/>
    <w:rsid w:val="50477F96"/>
    <w:rsid w:val="50480EE9"/>
    <w:rsid w:val="50684926"/>
    <w:rsid w:val="507362FB"/>
    <w:rsid w:val="507E0888"/>
    <w:rsid w:val="5093184B"/>
    <w:rsid w:val="50956507"/>
    <w:rsid w:val="50A724C2"/>
    <w:rsid w:val="50AE228B"/>
    <w:rsid w:val="50BB24E7"/>
    <w:rsid w:val="50E17637"/>
    <w:rsid w:val="50E86BEB"/>
    <w:rsid w:val="5101060D"/>
    <w:rsid w:val="51025A7C"/>
    <w:rsid w:val="51053696"/>
    <w:rsid w:val="51064DB6"/>
    <w:rsid w:val="511F4617"/>
    <w:rsid w:val="512313CF"/>
    <w:rsid w:val="51253A53"/>
    <w:rsid w:val="512C2F7D"/>
    <w:rsid w:val="51354091"/>
    <w:rsid w:val="515621FF"/>
    <w:rsid w:val="515F5A2F"/>
    <w:rsid w:val="5161262A"/>
    <w:rsid w:val="5172374B"/>
    <w:rsid w:val="519C03D6"/>
    <w:rsid w:val="51A90E70"/>
    <w:rsid w:val="51AA65E4"/>
    <w:rsid w:val="51F60333"/>
    <w:rsid w:val="52050E75"/>
    <w:rsid w:val="520C62B6"/>
    <w:rsid w:val="521B647E"/>
    <w:rsid w:val="521F5E22"/>
    <w:rsid w:val="52271D4B"/>
    <w:rsid w:val="522E6934"/>
    <w:rsid w:val="524B381A"/>
    <w:rsid w:val="524D5263"/>
    <w:rsid w:val="52562309"/>
    <w:rsid w:val="525D0CA3"/>
    <w:rsid w:val="526015CC"/>
    <w:rsid w:val="526C66F6"/>
    <w:rsid w:val="526E1C18"/>
    <w:rsid w:val="527930C3"/>
    <w:rsid w:val="529D1584"/>
    <w:rsid w:val="52CA5DAF"/>
    <w:rsid w:val="52CD703B"/>
    <w:rsid w:val="52F24B5E"/>
    <w:rsid w:val="52F45B53"/>
    <w:rsid w:val="52FF267A"/>
    <w:rsid w:val="532649BB"/>
    <w:rsid w:val="533F60BD"/>
    <w:rsid w:val="53450CCF"/>
    <w:rsid w:val="534740B4"/>
    <w:rsid w:val="534E478F"/>
    <w:rsid w:val="53554140"/>
    <w:rsid w:val="536264BE"/>
    <w:rsid w:val="53662D09"/>
    <w:rsid w:val="537802B5"/>
    <w:rsid w:val="5382273E"/>
    <w:rsid w:val="53881904"/>
    <w:rsid w:val="53974B69"/>
    <w:rsid w:val="539C440F"/>
    <w:rsid w:val="53A53945"/>
    <w:rsid w:val="53A71C40"/>
    <w:rsid w:val="53A9046C"/>
    <w:rsid w:val="53BA123D"/>
    <w:rsid w:val="53C22F09"/>
    <w:rsid w:val="53D32916"/>
    <w:rsid w:val="53DC1CE3"/>
    <w:rsid w:val="53E51CEE"/>
    <w:rsid w:val="53E807BB"/>
    <w:rsid w:val="53EE7999"/>
    <w:rsid w:val="53FD74B4"/>
    <w:rsid w:val="5416364D"/>
    <w:rsid w:val="542773CA"/>
    <w:rsid w:val="543B00B4"/>
    <w:rsid w:val="543F70ED"/>
    <w:rsid w:val="544E0C4A"/>
    <w:rsid w:val="5453543F"/>
    <w:rsid w:val="5458114A"/>
    <w:rsid w:val="54B30792"/>
    <w:rsid w:val="54B851E3"/>
    <w:rsid w:val="54BA275E"/>
    <w:rsid w:val="54CB1196"/>
    <w:rsid w:val="54D52E42"/>
    <w:rsid w:val="54ED1AD3"/>
    <w:rsid w:val="554852F5"/>
    <w:rsid w:val="555B16C9"/>
    <w:rsid w:val="556A241A"/>
    <w:rsid w:val="55752277"/>
    <w:rsid w:val="557F0196"/>
    <w:rsid w:val="5586169D"/>
    <w:rsid w:val="558F29FA"/>
    <w:rsid w:val="55A63A85"/>
    <w:rsid w:val="55A818D1"/>
    <w:rsid w:val="55B11B5A"/>
    <w:rsid w:val="55CD3BA7"/>
    <w:rsid w:val="55D816F3"/>
    <w:rsid w:val="55DC0E0B"/>
    <w:rsid w:val="55F858AC"/>
    <w:rsid w:val="55F9748D"/>
    <w:rsid w:val="560636C1"/>
    <w:rsid w:val="560955D8"/>
    <w:rsid w:val="560C3AB2"/>
    <w:rsid w:val="56263B1D"/>
    <w:rsid w:val="5628146F"/>
    <w:rsid w:val="56293A19"/>
    <w:rsid w:val="5636564C"/>
    <w:rsid w:val="56475489"/>
    <w:rsid w:val="564E639C"/>
    <w:rsid w:val="56575EC7"/>
    <w:rsid w:val="56610204"/>
    <w:rsid w:val="56686FC0"/>
    <w:rsid w:val="567C6970"/>
    <w:rsid w:val="568037BC"/>
    <w:rsid w:val="56850C84"/>
    <w:rsid w:val="56987996"/>
    <w:rsid w:val="56A677A7"/>
    <w:rsid w:val="56A72DAB"/>
    <w:rsid w:val="56A94824"/>
    <w:rsid w:val="56B95E76"/>
    <w:rsid w:val="56BF2604"/>
    <w:rsid w:val="56C52C0C"/>
    <w:rsid w:val="56CE0DA6"/>
    <w:rsid w:val="56E964BD"/>
    <w:rsid w:val="56F705FF"/>
    <w:rsid w:val="57036793"/>
    <w:rsid w:val="570F64D8"/>
    <w:rsid w:val="57103854"/>
    <w:rsid w:val="57116F07"/>
    <w:rsid w:val="571A44F9"/>
    <w:rsid w:val="57261BE4"/>
    <w:rsid w:val="572E2AE2"/>
    <w:rsid w:val="573D3AA9"/>
    <w:rsid w:val="576D4A18"/>
    <w:rsid w:val="576E2F3F"/>
    <w:rsid w:val="57771798"/>
    <w:rsid w:val="577E7259"/>
    <w:rsid w:val="57804207"/>
    <w:rsid w:val="57973352"/>
    <w:rsid w:val="57C071A2"/>
    <w:rsid w:val="57D36BA2"/>
    <w:rsid w:val="57DC53B7"/>
    <w:rsid w:val="57E059D3"/>
    <w:rsid w:val="57E26BE1"/>
    <w:rsid w:val="57FF4985"/>
    <w:rsid w:val="580111EA"/>
    <w:rsid w:val="58043E3A"/>
    <w:rsid w:val="585174B4"/>
    <w:rsid w:val="586311D3"/>
    <w:rsid w:val="5867475A"/>
    <w:rsid w:val="587F60D1"/>
    <w:rsid w:val="58AC59DB"/>
    <w:rsid w:val="58B545D2"/>
    <w:rsid w:val="58B73129"/>
    <w:rsid w:val="58B86C4D"/>
    <w:rsid w:val="58DF435F"/>
    <w:rsid w:val="58E74FD0"/>
    <w:rsid w:val="58F850B8"/>
    <w:rsid w:val="5937014C"/>
    <w:rsid w:val="59400718"/>
    <w:rsid w:val="595E138B"/>
    <w:rsid w:val="5962307B"/>
    <w:rsid w:val="598A01DE"/>
    <w:rsid w:val="5990456C"/>
    <w:rsid w:val="59B5525F"/>
    <w:rsid w:val="59D07981"/>
    <w:rsid w:val="59D846B9"/>
    <w:rsid w:val="59E92F7F"/>
    <w:rsid w:val="5A0506B4"/>
    <w:rsid w:val="5A236D04"/>
    <w:rsid w:val="5A273E0B"/>
    <w:rsid w:val="5A495E68"/>
    <w:rsid w:val="5A4A773A"/>
    <w:rsid w:val="5A54610F"/>
    <w:rsid w:val="5A653E3B"/>
    <w:rsid w:val="5A6742B5"/>
    <w:rsid w:val="5A81484A"/>
    <w:rsid w:val="5A84266F"/>
    <w:rsid w:val="5A906581"/>
    <w:rsid w:val="5AAA5B00"/>
    <w:rsid w:val="5ABE61D6"/>
    <w:rsid w:val="5ACE78DA"/>
    <w:rsid w:val="5AE07DCF"/>
    <w:rsid w:val="5AE3212D"/>
    <w:rsid w:val="5AE4370F"/>
    <w:rsid w:val="5AF1202F"/>
    <w:rsid w:val="5AF904E4"/>
    <w:rsid w:val="5B31320C"/>
    <w:rsid w:val="5B3653B6"/>
    <w:rsid w:val="5B373AC1"/>
    <w:rsid w:val="5B3867F8"/>
    <w:rsid w:val="5B776B5A"/>
    <w:rsid w:val="5B7C0E1C"/>
    <w:rsid w:val="5B7F7000"/>
    <w:rsid w:val="5B985DFC"/>
    <w:rsid w:val="5BA0335A"/>
    <w:rsid w:val="5BA76CE6"/>
    <w:rsid w:val="5BBC01CF"/>
    <w:rsid w:val="5BBC24BA"/>
    <w:rsid w:val="5BBC4360"/>
    <w:rsid w:val="5BCD0197"/>
    <w:rsid w:val="5BCF78B9"/>
    <w:rsid w:val="5BD5515B"/>
    <w:rsid w:val="5C30407A"/>
    <w:rsid w:val="5C3C616E"/>
    <w:rsid w:val="5C47417E"/>
    <w:rsid w:val="5C5F5A1C"/>
    <w:rsid w:val="5C6E3C6D"/>
    <w:rsid w:val="5C780B1D"/>
    <w:rsid w:val="5C82652D"/>
    <w:rsid w:val="5C976E29"/>
    <w:rsid w:val="5C9C290F"/>
    <w:rsid w:val="5C9E1E91"/>
    <w:rsid w:val="5CA2695D"/>
    <w:rsid w:val="5CC30C00"/>
    <w:rsid w:val="5CD63462"/>
    <w:rsid w:val="5CD84642"/>
    <w:rsid w:val="5CDE1B6B"/>
    <w:rsid w:val="5CE66AD7"/>
    <w:rsid w:val="5CEA15C2"/>
    <w:rsid w:val="5CEE07DA"/>
    <w:rsid w:val="5CF32F31"/>
    <w:rsid w:val="5CF45F60"/>
    <w:rsid w:val="5D267912"/>
    <w:rsid w:val="5D401005"/>
    <w:rsid w:val="5D4D6ABD"/>
    <w:rsid w:val="5D551846"/>
    <w:rsid w:val="5D5766D8"/>
    <w:rsid w:val="5D5B6100"/>
    <w:rsid w:val="5D62278D"/>
    <w:rsid w:val="5D65098E"/>
    <w:rsid w:val="5D702ECF"/>
    <w:rsid w:val="5D8A0967"/>
    <w:rsid w:val="5D8B3918"/>
    <w:rsid w:val="5DA90768"/>
    <w:rsid w:val="5DB2683C"/>
    <w:rsid w:val="5DB37A99"/>
    <w:rsid w:val="5DC04AFC"/>
    <w:rsid w:val="5DC81764"/>
    <w:rsid w:val="5DDC458E"/>
    <w:rsid w:val="5E080681"/>
    <w:rsid w:val="5E0C0F80"/>
    <w:rsid w:val="5E0F1351"/>
    <w:rsid w:val="5E157B39"/>
    <w:rsid w:val="5E48308A"/>
    <w:rsid w:val="5E853D52"/>
    <w:rsid w:val="5E8E399A"/>
    <w:rsid w:val="5E9725F6"/>
    <w:rsid w:val="5EBA3756"/>
    <w:rsid w:val="5EBE6699"/>
    <w:rsid w:val="5EF05191"/>
    <w:rsid w:val="5EFF25A2"/>
    <w:rsid w:val="5F117D69"/>
    <w:rsid w:val="5F1A2545"/>
    <w:rsid w:val="5F237E79"/>
    <w:rsid w:val="5F2C773A"/>
    <w:rsid w:val="5F3E5675"/>
    <w:rsid w:val="5F475422"/>
    <w:rsid w:val="5F55704C"/>
    <w:rsid w:val="5F7E06E4"/>
    <w:rsid w:val="5F857D9B"/>
    <w:rsid w:val="5FAB77B6"/>
    <w:rsid w:val="5FBD43CB"/>
    <w:rsid w:val="5FCB152A"/>
    <w:rsid w:val="5FF9364B"/>
    <w:rsid w:val="60023791"/>
    <w:rsid w:val="600E5CFD"/>
    <w:rsid w:val="60172CA0"/>
    <w:rsid w:val="603A5A5D"/>
    <w:rsid w:val="604263C6"/>
    <w:rsid w:val="605002E9"/>
    <w:rsid w:val="60572F4F"/>
    <w:rsid w:val="605B7645"/>
    <w:rsid w:val="60631432"/>
    <w:rsid w:val="606C5137"/>
    <w:rsid w:val="6077793D"/>
    <w:rsid w:val="608067A4"/>
    <w:rsid w:val="60976E4E"/>
    <w:rsid w:val="60B67BCA"/>
    <w:rsid w:val="60D34434"/>
    <w:rsid w:val="60E15057"/>
    <w:rsid w:val="60EE1004"/>
    <w:rsid w:val="61004621"/>
    <w:rsid w:val="610A2406"/>
    <w:rsid w:val="61285CB7"/>
    <w:rsid w:val="612F400C"/>
    <w:rsid w:val="612F5632"/>
    <w:rsid w:val="61354768"/>
    <w:rsid w:val="61365D28"/>
    <w:rsid w:val="6138154A"/>
    <w:rsid w:val="613B5237"/>
    <w:rsid w:val="613E09CD"/>
    <w:rsid w:val="614559E1"/>
    <w:rsid w:val="614E7377"/>
    <w:rsid w:val="61637CBC"/>
    <w:rsid w:val="616B2DDB"/>
    <w:rsid w:val="616E5153"/>
    <w:rsid w:val="61780C3E"/>
    <w:rsid w:val="617A58B4"/>
    <w:rsid w:val="61A152C1"/>
    <w:rsid w:val="61B44469"/>
    <w:rsid w:val="61C15EB8"/>
    <w:rsid w:val="61D64345"/>
    <w:rsid w:val="61DF0CCE"/>
    <w:rsid w:val="61E0548C"/>
    <w:rsid w:val="61E1553E"/>
    <w:rsid w:val="61E835C4"/>
    <w:rsid w:val="621A036E"/>
    <w:rsid w:val="621B3532"/>
    <w:rsid w:val="621F3F02"/>
    <w:rsid w:val="62231911"/>
    <w:rsid w:val="62414727"/>
    <w:rsid w:val="625A7BA5"/>
    <w:rsid w:val="62652ED2"/>
    <w:rsid w:val="62663C91"/>
    <w:rsid w:val="62836BF7"/>
    <w:rsid w:val="629A2638"/>
    <w:rsid w:val="62A8772A"/>
    <w:rsid w:val="62BF7895"/>
    <w:rsid w:val="62C83F4C"/>
    <w:rsid w:val="62D11CBE"/>
    <w:rsid w:val="62E74ED5"/>
    <w:rsid w:val="62EE1A55"/>
    <w:rsid w:val="62F636EB"/>
    <w:rsid w:val="62FC1FBF"/>
    <w:rsid w:val="63047162"/>
    <w:rsid w:val="6308599D"/>
    <w:rsid w:val="63100C1E"/>
    <w:rsid w:val="632078D4"/>
    <w:rsid w:val="63220661"/>
    <w:rsid w:val="63255E4F"/>
    <w:rsid w:val="63304707"/>
    <w:rsid w:val="63316026"/>
    <w:rsid w:val="6333299B"/>
    <w:rsid w:val="633920DE"/>
    <w:rsid w:val="633B4B3C"/>
    <w:rsid w:val="63427035"/>
    <w:rsid w:val="636F23E7"/>
    <w:rsid w:val="639C12DF"/>
    <w:rsid w:val="63A524D9"/>
    <w:rsid w:val="63BC6FAF"/>
    <w:rsid w:val="63CC41F1"/>
    <w:rsid w:val="63EC1F8B"/>
    <w:rsid w:val="63ED67F0"/>
    <w:rsid w:val="63F117BE"/>
    <w:rsid w:val="63F76C2D"/>
    <w:rsid w:val="63F909CB"/>
    <w:rsid w:val="63F92A74"/>
    <w:rsid w:val="63FB235C"/>
    <w:rsid w:val="6408079B"/>
    <w:rsid w:val="642240A1"/>
    <w:rsid w:val="642535FA"/>
    <w:rsid w:val="64433A58"/>
    <w:rsid w:val="644366AD"/>
    <w:rsid w:val="644A5186"/>
    <w:rsid w:val="64546174"/>
    <w:rsid w:val="646A213F"/>
    <w:rsid w:val="647A038E"/>
    <w:rsid w:val="649714D0"/>
    <w:rsid w:val="64B54298"/>
    <w:rsid w:val="64BA3FE1"/>
    <w:rsid w:val="64BB3EE5"/>
    <w:rsid w:val="64BD0B94"/>
    <w:rsid w:val="64DB5E91"/>
    <w:rsid w:val="64E24B77"/>
    <w:rsid w:val="64ED1EC4"/>
    <w:rsid w:val="651233B8"/>
    <w:rsid w:val="65386762"/>
    <w:rsid w:val="65450A4C"/>
    <w:rsid w:val="65520367"/>
    <w:rsid w:val="65680A0C"/>
    <w:rsid w:val="65765341"/>
    <w:rsid w:val="657948BB"/>
    <w:rsid w:val="657E1967"/>
    <w:rsid w:val="657F3234"/>
    <w:rsid w:val="65904AB8"/>
    <w:rsid w:val="65A42B04"/>
    <w:rsid w:val="65B96C8D"/>
    <w:rsid w:val="65C756CE"/>
    <w:rsid w:val="65CC4DCE"/>
    <w:rsid w:val="65DB7C34"/>
    <w:rsid w:val="65E3007C"/>
    <w:rsid w:val="65E90725"/>
    <w:rsid w:val="65F1482B"/>
    <w:rsid w:val="65F469AE"/>
    <w:rsid w:val="65FE2D3A"/>
    <w:rsid w:val="661D1D9E"/>
    <w:rsid w:val="661F423C"/>
    <w:rsid w:val="66362D44"/>
    <w:rsid w:val="664860B3"/>
    <w:rsid w:val="664F0B55"/>
    <w:rsid w:val="66521E61"/>
    <w:rsid w:val="66552716"/>
    <w:rsid w:val="667B3005"/>
    <w:rsid w:val="667D6726"/>
    <w:rsid w:val="66915A1F"/>
    <w:rsid w:val="66A040EB"/>
    <w:rsid w:val="66B364E5"/>
    <w:rsid w:val="66BE6EC3"/>
    <w:rsid w:val="66D3120B"/>
    <w:rsid w:val="66D96094"/>
    <w:rsid w:val="66DF3DE6"/>
    <w:rsid w:val="66FC0870"/>
    <w:rsid w:val="66FE5AE5"/>
    <w:rsid w:val="671346E3"/>
    <w:rsid w:val="67296889"/>
    <w:rsid w:val="672D2D05"/>
    <w:rsid w:val="67391CD4"/>
    <w:rsid w:val="67452CCC"/>
    <w:rsid w:val="675220B0"/>
    <w:rsid w:val="67541A49"/>
    <w:rsid w:val="676055C9"/>
    <w:rsid w:val="67620DCB"/>
    <w:rsid w:val="67674F56"/>
    <w:rsid w:val="67881B91"/>
    <w:rsid w:val="678B4794"/>
    <w:rsid w:val="67AC07F7"/>
    <w:rsid w:val="67B26FAD"/>
    <w:rsid w:val="67C904DB"/>
    <w:rsid w:val="67C971F1"/>
    <w:rsid w:val="67CB5006"/>
    <w:rsid w:val="67D34F32"/>
    <w:rsid w:val="67E073D8"/>
    <w:rsid w:val="67F77902"/>
    <w:rsid w:val="68115688"/>
    <w:rsid w:val="68197B42"/>
    <w:rsid w:val="68214D61"/>
    <w:rsid w:val="68262490"/>
    <w:rsid w:val="68292428"/>
    <w:rsid w:val="6831150F"/>
    <w:rsid w:val="683808A6"/>
    <w:rsid w:val="683E3FE9"/>
    <w:rsid w:val="684053E6"/>
    <w:rsid w:val="68491794"/>
    <w:rsid w:val="6859257B"/>
    <w:rsid w:val="685A4BFD"/>
    <w:rsid w:val="685D174B"/>
    <w:rsid w:val="6874243C"/>
    <w:rsid w:val="687C34EB"/>
    <w:rsid w:val="687D2FB9"/>
    <w:rsid w:val="688253B9"/>
    <w:rsid w:val="688E1AB4"/>
    <w:rsid w:val="68A033E6"/>
    <w:rsid w:val="68C67F21"/>
    <w:rsid w:val="68D66B94"/>
    <w:rsid w:val="68D92766"/>
    <w:rsid w:val="68E25E7D"/>
    <w:rsid w:val="68EB7302"/>
    <w:rsid w:val="68F35C7F"/>
    <w:rsid w:val="690452EF"/>
    <w:rsid w:val="690B5258"/>
    <w:rsid w:val="690C35DB"/>
    <w:rsid w:val="691262B5"/>
    <w:rsid w:val="69186829"/>
    <w:rsid w:val="693D6953"/>
    <w:rsid w:val="695343A1"/>
    <w:rsid w:val="69867551"/>
    <w:rsid w:val="69991BBE"/>
    <w:rsid w:val="69AC2B92"/>
    <w:rsid w:val="69CB42C5"/>
    <w:rsid w:val="69D13864"/>
    <w:rsid w:val="69D149F6"/>
    <w:rsid w:val="69D427E8"/>
    <w:rsid w:val="6A06193C"/>
    <w:rsid w:val="6A402711"/>
    <w:rsid w:val="6A633DFE"/>
    <w:rsid w:val="6A8338B2"/>
    <w:rsid w:val="6A895E6C"/>
    <w:rsid w:val="6A991860"/>
    <w:rsid w:val="6AA62A7F"/>
    <w:rsid w:val="6AA82210"/>
    <w:rsid w:val="6AA86266"/>
    <w:rsid w:val="6AAA063B"/>
    <w:rsid w:val="6AF66189"/>
    <w:rsid w:val="6AFD0BCA"/>
    <w:rsid w:val="6AFD6BD3"/>
    <w:rsid w:val="6B12333A"/>
    <w:rsid w:val="6B1757C4"/>
    <w:rsid w:val="6B197F01"/>
    <w:rsid w:val="6B2075CA"/>
    <w:rsid w:val="6B3C2CCE"/>
    <w:rsid w:val="6B457699"/>
    <w:rsid w:val="6B4737AA"/>
    <w:rsid w:val="6B8A336A"/>
    <w:rsid w:val="6BA630FD"/>
    <w:rsid w:val="6BC96077"/>
    <w:rsid w:val="6BD91EF2"/>
    <w:rsid w:val="6BE0135C"/>
    <w:rsid w:val="6BE07040"/>
    <w:rsid w:val="6BE815B3"/>
    <w:rsid w:val="6BF36657"/>
    <w:rsid w:val="6BFB1C98"/>
    <w:rsid w:val="6BFB762C"/>
    <w:rsid w:val="6C10471F"/>
    <w:rsid w:val="6C124238"/>
    <w:rsid w:val="6C2A6786"/>
    <w:rsid w:val="6C316C87"/>
    <w:rsid w:val="6C320315"/>
    <w:rsid w:val="6C466381"/>
    <w:rsid w:val="6C8916E5"/>
    <w:rsid w:val="6C8D00F7"/>
    <w:rsid w:val="6CBD1761"/>
    <w:rsid w:val="6CC61E9B"/>
    <w:rsid w:val="6CDA2094"/>
    <w:rsid w:val="6CDA7B95"/>
    <w:rsid w:val="6CE80D5C"/>
    <w:rsid w:val="6CF70524"/>
    <w:rsid w:val="6D032D5C"/>
    <w:rsid w:val="6D177480"/>
    <w:rsid w:val="6D3E2431"/>
    <w:rsid w:val="6D41541C"/>
    <w:rsid w:val="6D425D72"/>
    <w:rsid w:val="6D4426FE"/>
    <w:rsid w:val="6D49140A"/>
    <w:rsid w:val="6D491E15"/>
    <w:rsid w:val="6D4A5D0C"/>
    <w:rsid w:val="6D501776"/>
    <w:rsid w:val="6D882526"/>
    <w:rsid w:val="6DBF3261"/>
    <w:rsid w:val="6DC62CB2"/>
    <w:rsid w:val="6DDD6A64"/>
    <w:rsid w:val="6DDD71B3"/>
    <w:rsid w:val="6DE04801"/>
    <w:rsid w:val="6DE12D58"/>
    <w:rsid w:val="6DEF616B"/>
    <w:rsid w:val="6DFB4367"/>
    <w:rsid w:val="6DFC5BD1"/>
    <w:rsid w:val="6E15365E"/>
    <w:rsid w:val="6E1B6AB4"/>
    <w:rsid w:val="6E2720C9"/>
    <w:rsid w:val="6E2F6438"/>
    <w:rsid w:val="6E3A0874"/>
    <w:rsid w:val="6E40767D"/>
    <w:rsid w:val="6E4A227F"/>
    <w:rsid w:val="6E6A2EF1"/>
    <w:rsid w:val="6E713251"/>
    <w:rsid w:val="6E765714"/>
    <w:rsid w:val="6E7900E8"/>
    <w:rsid w:val="6EB429B7"/>
    <w:rsid w:val="6EB82122"/>
    <w:rsid w:val="6EB96E8A"/>
    <w:rsid w:val="6EBC2A72"/>
    <w:rsid w:val="6ECE4897"/>
    <w:rsid w:val="6ED46220"/>
    <w:rsid w:val="6EDA3FDF"/>
    <w:rsid w:val="6EDD596B"/>
    <w:rsid w:val="6EDF448B"/>
    <w:rsid w:val="6EE20488"/>
    <w:rsid w:val="6EE73924"/>
    <w:rsid w:val="6EFD4353"/>
    <w:rsid w:val="6F216AEE"/>
    <w:rsid w:val="6F2963EB"/>
    <w:rsid w:val="6F3D746D"/>
    <w:rsid w:val="6F4254EA"/>
    <w:rsid w:val="6F5D415F"/>
    <w:rsid w:val="6F6F3F1E"/>
    <w:rsid w:val="6F761394"/>
    <w:rsid w:val="6F766DC0"/>
    <w:rsid w:val="6F8721A9"/>
    <w:rsid w:val="6FBE129F"/>
    <w:rsid w:val="6FC13941"/>
    <w:rsid w:val="6FD42CD5"/>
    <w:rsid w:val="6FFA7A32"/>
    <w:rsid w:val="6FFF0D92"/>
    <w:rsid w:val="700870A2"/>
    <w:rsid w:val="7010017C"/>
    <w:rsid w:val="701B2342"/>
    <w:rsid w:val="70202A8B"/>
    <w:rsid w:val="70212C58"/>
    <w:rsid w:val="702A5212"/>
    <w:rsid w:val="702D67CD"/>
    <w:rsid w:val="70322893"/>
    <w:rsid w:val="7034499B"/>
    <w:rsid w:val="703A58BF"/>
    <w:rsid w:val="70603932"/>
    <w:rsid w:val="70746856"/>
    <w:rsid w:val="7079659D"/>
    <w:rsid w:val="70865F98"/>
    <w:rsid w:val="708C6587"/>
    <w:rsid w:val="70AF3183"/>
    <w:rsid w:val="70CC570F"/>
    <w:rsid w:val="70DC6FC6"/>
    <w:rsid w:val="70EA2E1E"/>
    <w:rsid w:val="70EE0317"/>
    <w:rsid w:val="71076436"/>
    <w:rsid w:val="712C53F0"/>
    <w:rsid w:val="71426BE2"/>
    <w:rsid w:val="71512749"/>
    <w:rsid w:val="716C4B30"/>
    <w:rsid w:val="71850D67"/>
    <w:rsid w:val="718870CC"/>
    <w:rsid w:val="71A37DD5"/>
    <w:rsid w:val="71AF680D"/>
    <w:rsid w:val="71B64DD0"/>
    <w:rsid w:val="71B72E1C"/>
    <w:rsid w:val="71B8412F"/>
    <w:rsid w:val="71EF59C4"/>
    <w:rsid w:val="720F489A"/>
    <w:rsid w:val="72123627"/>
    <w:rsid w:val="72195E2A"/>
    <w:rsid w:val="725961CA"/>
    <w:rsid w:val="72597890"/>
    <w:rsid w:val="727A4252"/>
    <w:rsid w:val="727E1618"/>
    <w:rsid w:val="72822720"/>
    <w:rsid w:val="729B0504"/>
    <w:rsid w:val="72A524A7"/>
    <w:rsid w:val="72A70FDA"/>
    <w:rsid w:val="72AB64F8"/>
    <w:rsid w:val="72BE6010"/>
    <w:rsid w:val="72CF295D"/>
    <w:rsid w:val="72DD2584"/>
    <w:rsid w:val="72E63DBD"/>
    <w:rsid w:val="72EC3108"/>
    <w:rsid w:val="73181643"/>
    <w:rsid w:val="7327325B"/>
    <w:rsid w:val="732B0384"/>
    <w:rsid w:val="73352002"/>
    <w:rsid w:val="73490692"/>
    <w:rsid w:val="735276B2"/>
    <w:rsid w:val="735B617C"/>
    <w:rsid w:val="735E42A1"/>
    <w:rsid w:val="73601478"/>
    <w:rsid w:val="73622009"/>
    <w:rsid w:val="73766648"/>
    <w:rsid w:val="738068F7"/>
    <w:rsid w:val="738165EE"/>
    <w:rsid w:val="739A2924"/>
    <w:rsid w:val="73A00185"/>
    <w:rsid w:val="73A34A22"/>
    <w:rsid w:val="73C3416A"/>
    <w:rsid w:val="73CF6636"/>
    <w:rsid w:val="73D417BE"/>
    <w:rsid w:val="73F3613B"/>
    <w:rsid w:val="73FC1258"/>
    <w:rsid w:val="74034AB9"/>
    <w:rsid w:val="741E1E9E"/>
    <w:rsid w:val="741E2852"/>
    <w:rsid w:val="742526D7"/>
    <w:rsid w:val="742720F6"/>
    <w:rsid w:val="743924CC"/>
    <w:rsid w:val="743D496C"/>
    <w:rsid w:val="74403676"/>
    <w:rsid w:val="7453586B"/>
    <w:rsid w:val="74571F9C"/>
    <w:rsid w:val="74576E29"/>
    <w:rsid w:val="745D4E60"/>
    <w:rsid w:val="7470084B"/>
    <w:rsid w:val="749251CA"/>
    <w:rsid w:val="74A17685"/>
    <w:rsid w:val="74AD2212"/>
    <w:rsid w:val="74C46422"/>
    <w:rsid w:val="74C60FC4"/>
    <w:rsid w:val="74CB4881"/>
    <w:rsid w:val="74D5711D"/>
    <w:rsid w:val="74DF6381"/>
    <w:rsid w:val="74E07979"/>
    <w:rsid w:val="74E65737"/>
    <w:rsid w:val="750652DC"/>
    <w:rsid w:val="750E1DDF"/>
    <w:rsid w:val="75122B46"/>
    <w:rsid w:val="75253B83"/>
    <w:rsid w:val="75284F65"/>
    <w:rsid w:val="7531251E"/>
    <w:rsid w:val="754B18EA"/>
    <w:rsid w:val="7564247E"/>
    <w:rsid w:val="7568751F"/>
    <w:rsid w:val="75731273"/>
    <w:rsid w:val="7576664C"/>
    <w:rsid w:val="75850FE2"/>
    <w:rsid w:val="75877FA2"/>
    <w:rsid w:val="758F1095"/>
    <w:rsid w:val="7590295F"/>
    <w:rsid w:val="75946200"/>
    <w:rsid w:val="75B97D0F"/>
    <w:rsid w:val="75D805E1"/>
    <w:rsid w:val="75E74FE2"/>
    <w:rsid w:val="75ED3EC6"/>
    <w:rsid w:val="75FB2511"/>
    <w:rsid w:val="75FC1149"/>
    <w:rsid w:val="7614581B"/>
    <w:rsid w:val="76325305"/>
    <w:rsid w:val="7635745F"/>
    <w:rsid w:val="76417BF4"/>
    <w:rsid w:val="764D65CC"/>
    <w:rsid w:val="764F556D"/>
    <w:rsid w:val="765F2C94"/>
    <w:rsid w:val="76636DE1"/>
    <w:rsid w:val="768E0F80"/>
    <w:rsid w:val="768F7F94"/>
    <w:rsid w:val="76A371A0"/>
    <w:rsid w:val="76D360E7"/>
    <w:rsid w:val="76DF25FC"/>
    <w:rsid w:val="76E20518"/>
    <w:rsid w:val="76EB4999"/>
    <w:rsid w:val="76F323AE"/>
    <w:rsid w:val="770062EE"/>
    <w:rsid w:val="771D2818"/>
    <w:rsid w:val="77480FFA"/>
    <w:rsid w:val="77482635"/>
    <w:rsid w:val="774910EB"/>
    <w:rsid w:val="774B2D09"/>
    <w:rsid w:val="774E6335"/>
    <w:rsid w:val="7762222C"/>
    <w:rsid w:val="776A2402"/>
    <w:rsid w:val="777741D2"/>
    <w:rsid w:val="778D27B0"/>
    <w:rsid w:val="77940CF7"/>
    <w:rsid w:val="77A7201A"/>
    <w:rsid w:val="77AA4241"/>
    <w:rsid w:val="77B35006"/>
    <w:rsid w:val="77B973E5"/>
    <w:rsid w:val="77C46815"/>
    <w:rsid w:val="77FA7315"/>
    <w:rsid w:val="77FC3669"/>
    <w:rsid w:val="78234EE7"/>
    <w:rsid w:val="7853753B"/>
    <w:rsid w:val="785A3BDB"/>
    <w:rsid w:val="78636944"/>
    <w:rsid w:val="78766A58"/>
    <w:rsid w:val="787E7514"/>
    <w:rsid w:val="78815012"/>
    <w:rsid w:val="788A1470"/>
    <w:rsid w:val="7892533D"/>
    <w:rsid w:val="789B6DAC"/>
    <w:rsid w:val="78A13812"/>
    <w:rsid w:val="78B43564"/>
    <w:rsid w:val="78B43CFE"/>
    <w:rsid w:val="78BA419C"/>
    <w:rsid w:val="78BC45F2"/>
    <w:rsid w:val="78DD684A"/>
    <w:rsid w:val="78E90AB7"/>
    <w:rsid w:val="78EC51BA"/>
    <w:rsid w:val="78EC7377"/>
    <w:rsid w:val="78F3278E"/>
    <w:rsid w:val="78F52EBB"/>
    <w:rsid w:val="791841ED"/>
    <w:rsid w:val="791B28C5"/>
    <w:rsid w:val="79233122"/>
    <w:rsid w:val="792D5136"/>
    <w:rsid w:val="7936583C"/>
    <w:rsid w:val="793A55CD"/>
    <w:rsid w:val="79590895"/>
    <w:rsid w:val="798A0677"/>
    <w:rsid w:val="79970989"/>
    <w:rsid w:val="79A239A5"/>
    <w:rsid w:val="79A25FEF"/>
    <w:rsid w:val="79A41885"/>
    <w:rsid w:val="79A570CE"/>
    <w:rsid w:val="79AF26A1"/>
    <w:rsid w:val="79CE4310"/>
    <w:rsid w:val="79D03F9F"/>
    <w:rsid w:val="79DE494C"/>
    <w:rsid w:val="79F26940"/>
    <w:rsid w:val="79FA3A6D"/>
    <w:rsid w:val="7A1B7554"/>
    <w:rsid w:val="7A1F5415"/>
    <w:rsid w:val="7A352CE1"/>
    <w:rsid w:val="7A3B64C0"/>
    <w:rsid w:val="7A521C25"/>
    <w:rsid w:val="7A60041B"/>
    <w:rsid w:val="7A644279"/>
    <w:rsid w:val="7A6D0E80"/>
    <w:rsid w:val="7A7A5BD5"/>
    <w:rsid w:val="7A8E630D"/>
    <w:rsid w:val="7AB177AE"/>
    <w:rsid w:val="7AB4397D"/>
    <w:rsid w:val="7AC170BE"/>
    <w:rsid w:val="7AF41112"/>
    <w:rsid w:val="7B2D3A79"/>
    <w:rsid w:val="7B337F43"/>
    <w:rsid w:val="7B3B3FA3"/>
    <w:rsid w:val="7B3C7856"/>
    <w:rsid w:val="7B4A1CFC"/>
    <w:rsid w:val="7B4B6627"/>
    <w:rsid w:val="7B564A3C"/>
    <w:rsid w:val="7B5F55F3"/>
    <w:rsid w:val="7B6018CA"/>
    <w:rsid w:val="7B625615"/>
    <w:rsid w:val="7B6A31A7"/>
    <w:rsid w:val="7B784D9B"/>
    <w:rsid w:val="7B8001E9"/>
    <w:rsid w:val="7B9450A7"/>
    <w:rsid w:val="7BA242C7"/>
    <w:rsid w:val="7BA3265C"/>
    <w:rsid w:val="7BAA54E2"/>
    <w:rsid w:val="7BAC4BF4"/>
    <w:rsid w:val="7BAD21B7"/>
    <w:rsid w:val="7BAE0961"/>
    <w:rsid w:val="7BBB3124"/>
    <w:rsid w:val="7BC045ED"/>
    <w:rsid w:val="7BDB572A"/>
    <w:rsid w:val="7BF20921"/>
    <w:rsid w:val="7C1B3F69"/>
    <w:rsid w:val="7C36583F"/>
    <w:rsid w:val="7C412419"/>
    <w:rsid w:val="7C4F124C"/>
    <w:rsid w:val="7C4F4A5F"/>
    <w:rsid w:val="7C6D0747"/>
    <w:rsid w:val="7C7F2304"/>
    <w:rsid w:val="7C912232"/>
    <w:rsid w:val="7C97151E"/>
    <w:rsid w:val="7C9773CC"/>
    <w:rsid w:val="7CC477E4"/>
    <w:rsid w:val="7CE71333"/>
    <w:rsid w:val="7CE97ADB"/>
    <w:rsid w:val="7CEC34AA"/>
    <w:rsid w:val="7CEC7374"/>
    <w:rsid w:val="7CED4B3F"/>
    <w:rsid w:val="7CFB630C"/>
    <w:rsid w:val="7CFC652B"/>
    <w:rsid w:val="7D0248C8"/>
    <w:rsid w:val="7D0422F1"/>
    <w:rsid w:val="7D052ED6"/>
    <w:rsid w:val="7D0E5001"/>
    <w:rsid w:val="7D150C7F"/>
    <w:rsid w:val="7D150D41"/>
    <w:rsid w:val="7D1C13E0"/>
    <w:rsid w:val="7D2F5DFE"/>
    <w:rsid w:val="7D4E3AD4"/>
    <w:rsid w:val="7D550657"/>
    <w:rsid w:val="7D577DF6"/>
    <w:rsid w:val="7D5A71B0"/>
    <w:rsid w:val="7D62709D"/>
    <w:rsid w:val="7D681A6B"/>
    <w:rsid w:val="7D6B1265"/>
    <w:rsid w:val="7D752FFD"/>
    <w:rsid w:val="7D7E7760"/>
    <w:rsid w:val="7D8361A9"/>
    <w:rsid w:val="7D8C0C31"/>
    <w:rsid w:val="7D9C6680"/>
    <w:rsid w:val="7D9E2E69"/>
    <w:rsid w:val="7DA73608"/>
    <w:rsid w:val="7DAC27A9"/>
    <w:rsid w:val="7DAD34AB"/>
    <w:rsid w:val="7DB0173E"/>
    <w:rsid w:val="7DCE3D78"/>
    <w:rsid w:val="7DE51819"/>
    <w:rsid w:val="7DE65A94"/>
    <w:rsid w:val="7DEC4F03"/>
    <w:rsid w:val="7DF374C3"/>
    <w:rsid w:val="7DF57ACA"/>
    <w:rsid w:val="7E096219"/>
    <w:rsid w:val="7E2A4C3B"/>
    <w:rsid w:val="7E3C4E0D"/>
    <w:rsid w:val="7E522030"/>
    <w:rsid w:val="7E5D5C35"/>
    <w:rsid w:val="7E7A0BFC"/>
    <w:rsid w:val="7E8E0052"/>
    <w:rsid w:val="7E8F6862"/>
    <w:rsid w:val="7E932435"/>
    <w:rsid w:val="7E9C42BF"/>
    <w:rsid w:val="7EA43C57"/>
    <w:rsid w:val="7EA946E2"/>
    <w:rsid w:val="7EB91953"/>
    <w:rsid w:val="7EE74FB9"/>
    <w:rsid w:val="7EED484F"/>
    <w:rsid w:val="7EF37F5F"/>
    <w:rsid w:val="7EFA6B9C"/>
    <w:rsid w:val="7EFD0525"/>
    <w:rsid w:val="7F095EE3"/>
    <w:rsid w:val="7F0E6EA3"/>
    <w:rsid w:val="7F146303"/>
    <w:rsid w:val="7F330FA0"/>
    <w:rsid w:val="7F3E4460"/>
    <w:rsid w:val="7F404A58"/>
    <w:rsid w:val="7F42605E"/>
    <w:rsid w:val="7F484EB4"/>
    <w:rsid w:val="7F7526BA"/>
    <w:rsid w:val="7F7545BA"/>
    <w:rsid w:val="7F7C7A59"/>
    <w:rsid w:val="7F896A28"/>
    <w:rsid w:val="7F9D1971"/>
    <w:rsid w:val="7FB7245B"/>
    <w:rsid w:val="7FF002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jc w:val="center"/>
      <w:outlineLvl w:val="0"/>
    </w:pPr>
    <w:rPr>
      <w:rFonts w:ascii="黑体" w:eastAsia="黑体"/>
      <w:sz w:val="52"/>
      <w:szCs w:val="24"/>
    </w:rPr>
  </w:style>
  <w:style w:type="paragraph" w:styleId="3">
    <w:name w:val="heading 2"/>
    <w:basedOn w:val="1"/>
    <w:next w:val="1"/>
    <w:link w:val="5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7"/>
    <w:qFormat/>
    <w:uiPriority w:val="9"/>
    <w:pPr>
      <w:keepNext/>
      <w:keepLines/>
      <w:spacing w:before="260" w:after="260" w:line="416" w:lineRule="auto"/>
      <w:outlineLvl w:val="2"/>
    </w:pPr>
    <w:rPr>
      <w:b/>
      <w:bCs/>
      <w:sz w:val="32"/>
      <w:szCs w:val="32"/>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1260"/>
      <w:jc w:val="left"/>
    </w:pPr>
    <w:rPr>
      <w:rFonts w:asciiTheme="minorHAnsi" w:hAnsiTheme="minorHAnsi" w:cstheme="minorHAnsi"/>
      <w:sz w:val="18"/>
      <w:szCs w:val="18"/>
    </w:rPr>
  </w:style>
  <w:style w:type="paragraph" w:styleId="6">
    <w:name w:val="Normal Indent"/>
    <w:basedOn w:val="1"/>
    <w:next w:val="1"/>
    <w:link w:val="56"/>
    <w:qFormat/>
    <w:uiPriority w:val="99"/>
    <w:pPr>
      <w:autoSpaceDE w:val="0"/>
      <w:autoSpaceDN w:val="0"/>
      <w:adjustRightInd w:val="0"/>
      <w:ind w:firstLine="420"/>
    </w:pPr>
    <w:rPr>
      <w:rFonts w:ascii="宋体"/>
      <w:sz w:val="24"/>
    </w:rPr>
  </w:style>
  <w:style w:type="paragraph" w:styleId="7">
    <w:name w:val="Document Map"/>
    <w:basedOn w:val="1"/>
    <w:link w:val="59"/>
    <w:qFormat/>
    <w:uiPriority w:val="0"/>
    <w:rPr>
      <w:rFonts w:ascii="宋体"/>
      <w:sz w:val="18"/>
      <w:szCs w:val="18"/>
    </w:rPr>
  </w:style>
  <w:style w:type="paragraph" w:styleId="8">
    <w:name w:val="Closing"/>
    <w:basedOn w:val="1"/>
    <w:link w:val="49"/>
    <w:qFormat/>
    <w:uiPriority w:val="0"/>
    <w:pPr>
      <w:ind w:left="100" w:leftChars="2100"/>
    </w:pPr>
    <w:rPr>
      <w:szCs w:val="24"/>
    </w:rPr>
  </w:style>
  <w:style w:type="paragraph" w:styleId="9">
    <w:name w:val="Body Text"/>
    <w:basedOn w:val="1"/>
    <w:next w:val="1"/>
    <w:link w:val="53"/>
    <w:qFormat/>
    <w:uiPriority w:val="0"/>
    <w:pPr>
      <w:spacing w:after="120"/>
    </w:pPr>
    <w:rPr>
      <w:szCs w:val="24"/>
    </w:rPr>
  </w:style>
  <w:style w:type="paragraph" w:styleId="10">
    <w:name w:val="Body Text Indent"/>
    <w:basedOn w:val="1"/>
    <w:qFormat/>
    <w:uiPriority w:val="0"/>
    <w:pPr>
      <w:spacing w:line="440" w:lineRule="exact"/>
      <w:ind w:firstLine="419" w:firstLineChars="196"/>
    </w:pPr>
    <w:rPr>
      <w:rFonts w:ascii="宋体" w:hAnsi="宋体" w:cs="Century"/>
      <w:spacing w:val="2"/>
    </w:rPr>
  </w:style>
  <w:style w:type="paragraph" w:styleId="11">
    <w:name w:val="toc 5"/>
    <w:basedOn w:val="1"/>
    <w:next w:val="1"/>
    <w:qFormat/>
    <w:uiPriority w:val="0"/>
    <w:pPr>
      <w:ind w:left="840"/>
      <w:jc w:val="left"/>
    </w:pPr>
    <w:rPr>
      <w:rFonts w:asciiTheme="minorHAnsi" w:hAnsiTheme="minorHAnsi" w:cstheme="minorHAnsi"/>
      <w:sz w:val="18"/>
      <w:szCs w:val="18"/>
    </w:rPr>
  </w:style>
  <w:style w:type="paragraph" w:styleId="12">
    <w:name w:val="toc 3"/>
    <w:basedOn w:val="1"/>
    <w:next w:val="1"/>
    <w:qFormat/>
    <w:uiPriority w:val="39"/>
    <w:pPr>
      <w:ind w:left="420"/>
      <w:jc w:val="left"/>
    </w:pPr>
    <w:rPr>
      <w:rFonts w:asciiTheme="minorHAnsi" w:hAnsiTheme="minorHAnsi" w:cstheme="minorHAnsi"/>
      <w:i/>
      <w:iCs/>
      <w:sz w:val="20"/>
    </w:rPr>
  </w:style>
  <w:style w:type="paragraph" w:styleId="13">
    <w:name w:val="Plain Text"/>
    <w:basedOn w:val="1"/>
    <w:next w:val="6"/>
    <w:qFormat/>
    <w:uiPriority w:val="99"/>
    <w:rPr>
      <w:rFonts w:ascii="宋体" w:hAnsi="宋体" w:eastAsiaTheme="minorEastAsia" w:cstheme="minorBidi"/>
      <w:sz w:val="26"/>
      <w:szCs w:val="22"/>
    </w:rPr>
  </w:style>
  <w:style w:type="paragraph" w:styleId="14">
    <w:name w:val="toc 8"/>
    <w:basedOn w:val="1"/>
    <w:next w:val="1"/>
    <w:qFormat/>
    <w:uiPriority w:val="0"/>
    <w:pPr>
      <w:ind w:left="1470"/>
      <w:jc w:val="left"/>
    </w:pPr>
    <w:rPr>
      <w:rFonts w:asciiTheme="minorHAnsi" w:hAnsiTheme="minorHAnsi" w:cstheme="minorHAnsi"/>
      <w:sz w:val="18"/>
      <w:szCs w:val="18"/>
    </w:rPr>
  </w:style>
  <w:style w:type="paragraph" w:styleId="15">
    <w:name w:val="Date"/>
    <w:basedOn w:val="1"/>
    <w:next w:val="1"/>
    <w:link w:val="57"/>
    <w:qFormat/>
    <w:uiPriority w:val="99"/>
    <w:pPr>
      <w:ind w:left="100" w:leftChars="2500"/>
    </w:pPr>
    <w:rPr>
      <w:rFonts w:asciiTheme="minorHAnsi" w:hAnsiTheme="minorHAnsi" w:eastAsiaTheme="minorEastAsia" w:cstheme="minorBidi"/>
      <w:kern w:val="0"/>
      <w:sz w:val="20"/>
    </w:rPr>
  </w:style>
  <w:style w:type="paragraph" w:styleId="16">
    <w:name w:val="Balloon Text"/>
    <w:basedOn w:val="1"/>
    <w:link w:val="46"/>
    <w:unhideWhenUsed/>
    <w:qFormat/>
    <w:uiPriority w:val="99"/>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spacing w:before="120" w:after="120"/>
      <w:jc w:val="left"/>
    </w:pPr>
    <w:rPr>
      <w:rFonts w:asciiTheme="minorHAnsi" w:hAnsiTheme="minorHAnsi" w:cstheme="minorHAnsi"/>
      <w:b/>
      <w:bCs/>
      <w:caps/>
      <w:sz w:val="20"/>
    </w:rPr>
  </w:style>
  <w:style w:type="paragraph" w:styleId="20">
    <w:name w:val="toc 4"/>
    <w:basedOn w:val="1"/>
    <w:next w:val="1"/>
    <w:qFormat/>
    <w:uiPriority w:val="0"/>
    <w:pPr>
      <w:ind w:left="630"/>
      <w:jc w:val="left"/>
    </w:pPr>
    <w:rPr>
      <w:rFonts w:asciiTheme="minorHAnsi" w:hAnsiTheme="minorHAnsi" w:cstheme="minorHAnsi"/>
      <w:sz w:val="18"/>
      <w:szCs w:val="18"/>
    </w:rPr>
  </w:style>
  <w:style w:type="paragraph" w:styleId="21">
    <w:name w:val="Subtitle"/>
    <w:basedOn w:val="1"/>
    <w:next w:val="1"/>
    <w:link w:val="50"/>
    <w:qFormat/>
    <w:uiPriority w:val="0"/>
    <w:pPr>
      <w:spacing w:before="240" w:after="60" w:line="312" w:lineRule="auto"/>
      <w:jc w:val="center"/>
      <w:outlineLvl w:val="1"/>
    </w:pPr>
    <w:rPr>
      <w:rFonts w:ascii="Cambria" w:hAnsi="Cambria" w:eastAsiaTheme="minorEastAsia"/>
      <w:b/>
      <w:bCs/>
      <w:kern w:val="28"/>
      <w:sz w:val="32"/>
      <w:szCs w:val="32"/>
    </w:rPr>
  </w:style>
  <w:style w:type="paragraph" w:styleId="22">
    <w:name w:val="toc 6"/>
    <w:basedOn w:val="1"/>
    <w:next w:val="1"/>
    <w:qFormat/>
    <w:uiPriority w:val="0"/>
    <w:pPr>
      <w:ind w:left="1050"/>
      <w:jc w:val="left"/>
    </w:pPr>
    <w:rPr>
      <w:rFonts w:asciiTheme="minorHAnsi" w:hAnsiTheme="minorHAnsi" w:cstheme="minorHAnsi"/>
      <w:sz w:val="18"/>
      <w:szCs w:val="18"/>
    </w:rPr>
  </w:style>
  <w:style w:type="paragraph" w:styleId="23">
    <w:name w:val="toc 2"/>
    <w:basedOn w:val="1"/>
    <w:next w:val="1"/>
    <w:qFormat/>
    <w:uiPriority w:val="39"/>
    <w:pPr>
      <w:ind w:left="210"/>
      <w:jc w:val="center"/>
    </w:pPr>
    <w:rPr>
      <w:rFonts w:asciiTheme="minorHAnsi" w:hAnsiTheme="minorHAnsi" w:cstheme="minorHAnsi"/>
      <w:smallCaps/>
      <w:kern w:val="0"/>
      <w:sz w:val="32"/>
    </w:rPr>
  </w:style>
  <w:style w:type="paragraph" w:styleId="24">
    <w:name w:val="toc 9"/>
    <w:basedOn w:val="1"/>
    <w:next w:val="1"/>
    <w:qFormat/>
    <w:uiPriority w:val="0"/>
    <w:pPr>
      <w:ind w:left="1680"/>
      <w:jc w:val="left"/>
    </w:pPr>
    <w:rPr>
      <w:rFonts w:asciiTheme="minorHAnsi" w:hAnsiTheme="minorHAnsi" w:cstheme="minorHAnsi"/>
      <w:sz w:val="18"/>
      <w:szCs w:val="18"/>
    </w:rPr>
  </w:style>
  <w:style w:type="paragraph" w:styleId="25">
    <w:name w:val="Normal (Web)"/>
    <w:basedOn w:val="1"/>
    <w:qFormat/>
    <w:uiPriority w:val="0"/>
    <w:pPr>
      <w:spacing w:before="100" w:beforeAutospacing="1" w:after="100" w:afterAutospacing="1"/>
      <w:jc w:val="left"/>
    </w:pPr>
    <w:rPr>
      <w:rFonts w:ascii="Calibri" w:hAnsi="Calibri"/>
      <w:kern w:val="0"/>
      <w:sz w:val="24"/>
      <w:szCs w:val="24"/>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unhideWhenUsed/>
    <w:qFormat/>
    <w:uiPriority w:val="22"/>
    <w:rPr>
      <w:rFonts w:hint="default"/>
      <w:b/>
      <w:sz w:val="24"/>
    </w:rPr>
  </w:style>
  <w:style w:type="character" w:styleId="30">
    <w:name w:val="page number"/>
    <w:qFormat/>
    <w:uiPriority w:val="99"/>
    <w:rPr>
      <w:rFonts w:ascii="Times New Roman" w:cs="Times New Roman"/>
    </w:rPr>
  </w:style>
  <w:style w:type="character" w:styleId="31">
    <w:name w:val="FollowedHyperlink"/>
    <w:basedOn w:val="28"/>
    <w:qFormat/>
    <w:uiPriority w:val="0"/>
    <w:rPr>
      <w:color w:val="954F72" w:themeColor="followedHyperlink"/>
      <w:u w:val="single"/>
    </w:rPr>
  </w:style>
  <w:style w:type="character" w:styleId="32">
    <w:name w:val="Hyperlink"/>
    <w:qFormat/>
    <w:uiPriority w:val="99"/>
    <w:rPr>
      <w:color w:val="000000"/>
      <w:u w:val="none"/>
    </w:rPr>
  </w:style>
  <w:style w:type="character" w:customStyle="1" w:styleId="33">
    <w:name w:val="批注主题 Char"/>
    <w:qFormat/>
    <w:uiPriority w:val="99"/>
    <w:rPr>
      <w:rFonts w:eastAsia="宋体"/>
      <w:b/>
      <w:bCs/>
    </w:rPr>
  </w:style>
  <w:style w:type="character" w:customStyle="1" w:styleId="34">
    <w:name w:val="font21"/>
    <w:basedOn w:val="28"/>
    <w:qFormat/>
    <w:uiPriority w:val="0"/>
    <w:rPr>
      <w:rFonts w:hint="eastAsia" w:ascii="宋体" w:hAnsi="宋体" w:eastAsia="宋体" w:cs="宋体"/>
      <w:color w:val="000000"/>
      <w:sz w:val="20"/>
      <w:szCs w:val="20"/>
      <w:u w:val="none"/>
    </w:rPr>
  </w:style>
  <w:style w:type="character" w:customStyle="1" w:styleId="35">
    <w:name w:val="font51"/>
    <w:basedOn w:val="28"/>
    <w:qFormat/>
    <w:uiPriority w:val="0"/>
    <w:rPr>
      <w:rFonts w:hint="eastAsia" w:ascii="宋体" w:hAnsi="宋体" w:eastAsia="宋体" w:cs="宋体"/>
      <w:color w:val="000000"/>
      <w:sz w:val="18"/>
      <w:szCs w:val="18"/>
      <w:u w:val="none"/>
    </w:rPr>
  </w:style>
  <w:style w:type="paragraph" w:customStyle="1" w:styleId="36">
    <w:name w:val="Í¼±íÕýÎÄ"/>
    <w:basedOn w:val="1"/>
    <w:next w:val="6"/>
    <w:qFormat/>
    <w:uiPriority w:val="0"/>
    <w:pPr>
      <w:ind w:firstLine="420" w:firstLineChars="200"/>
    </w:pPr>
    <w:rPr>
      <w:sz w:val="24"/>
    </w:rPr>
  </w:style>
  <w:style w:type="paragraph" w:customStyle="1" w:styleId="37">
    <w:name w:val="纯文本1"/>
    <w:next w:val="20"/>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38">
    <w:name w:val="纯文本2"/>
    <w:next w:val="20"/>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character" w:customStyle="1" w:styleId="39">
    <w:name w:val="页码1"/>
    <w:basedOn w:val="28"/>
    <w:qFormat/>
    <w:uiPriority w:val="0"/>
  </w:style>
  <w:style w:type="paragraph" w:customStyle="1" w:styleId="40">
    <w:name w:val="正文 + Courier New"/>
    <w:basedOn w:val="1"/>
    <w:qFormat/>
    <w:uiPriority w:val="0"/>
    <w:pPr>
      <w:spacing w:line="360" w:lineRule="auto"/>
    </w:pPr>
    <w:rPr>
      <w:rFonts w:ascii="Courier New" w:hAnsi="Courier New"/>
      <w:sz w:val="24"/>
    </w:rPr>
  </w:style>
  <w:style w:type="paragraph" w:customStyle="1" w:styleId="41">
    <w:name w:val="纯文本3"/>
    <w:next w:val="20"/>
    <w:qFormat/>
    <w:uiPriority w:val="99"/>
    <w:pPr>
      <w:widowControl w:val="0"/>
      <w:adjustRightInd w:val="0"/>
      <w:jc w:val="both"/>
      <w:textAlignment w:val="baseline"/>
    </w:pPr>
    <w:rPr>
      <w:rFonts w:ascii="宋体" w:hAnsi="Times New Roman" w:eastAsia="宋体" w:cs="宋体"/>
      <w:kern w:val="2"/>
      <w:sz w:val="26"/>
      <w:szCs w:val="26"/>
      <w:lang w:val="en-US" w:eastAsia="zh-CN" w:bidi="ar-SA"/>
    </w:rPr>
  </w:style>
  <w:style w:type="paragraph" w:styleId="42">
    <w:name w:val="List Paragraph"/>
    <w:basedOn w:val="1"/>
    <w:qFormat/>
    <w:uiPriority w:val="34"/>
    <w:pPr>
      <w:ind w:firstLine="420" w:firstLineChars="200"/>
    </w:pPr>
  </w:style>
  <w:style w:type="paragraph" w:customStyle="1" w:styleId="43">
    <w:name w:val="p0"/>
    <w:basedOn w:val="1"/>
    <w:qFormat/>
    <w:uiPriority w:val="99"/>
    <w:pPr>
      <w:widowControl/>
    </w:pPr>
    <w:rPr>
      <w:rFonts w:ascii="Calibri" w:hAnsi="Calibri" w:cs="宋体"/>
      <w:kern w:val="0"/>
      <w:szCs w:val="21"/>
    </w:rPr>
  </w:style>
  <w:style w:type="paragraph" w:customStyle="1" w:styleId="44">
    <w:name w:val="普通 (Web)"/>
    <w:basedOn w:val="1"/>
    <w:unhideWhenUsed/>
    <w:qFormat/>
    <w:uiPriority w:val="0"/>
    <w:pPr>
      <w:widowControl/>
      <w:spacing w:beforeAutospacing="1" w:afterAutospacing="1"/>
      <w:jc w:val="left"/>
    </w:pPr>
    <w:rPr>
      <w:rFonts w:hint="eastAsia" w:ascii="宋体" w:hAnsi="宋体"/>
      <w:kern w:val="0"/>
      <w:sz w:val="24"/>
    </w:rPr>
  </w:style>
  <w:style w:type="paragraph" w:customStyle="1" w:styleId="45">
    <w:name w:val="WPSOffice手动目录 1"/>
    <w:qFormat/>
    <w:uiPriority w:val="0"/>
    <w:rPr>
      <w:rFonts w:asciiTheme="minorHAnsi" w:hAnsiTheme="minorHAnsi" w:eastAsiaTheme="minorEastAsia" w:cstheme="minorBidi"/>
      <w:lang w:val="en-US" w:eastAsia="zh-CN" w:bidi="ar-SA"/>
    </w:rPr>
  </w:style>
  <w:style w:type="character" w:customStyle="1" w:styleId="46">
    <w:name w:val="批注框文本 Char"/>
    <w:basedOn w:val="28"/>
    <w:link w:val="16"/>
    <w:qFormat/>
    <w:uiPriority w:val="99"/>
    <w:rPr>
      <w:rFonts w:ascii="Times New Roman" w:hAnsi="Times New Roman" w:eastAsia="宋体" w:cs="Times New Roman"/>
      <w:kern w:val="2"/>
      <w:sz w:val="18"/>
      <w:szCs w:val="18"/>
    </w:rPr>
  </w:style>
  <w:style w:type="character" w:customStyle="1" w:styleId="47">
    <w:name w:val="标题 3 Char"/>
    <w:basedOn w:val="28"/>
    <w:link w:val="4"/>
    <w:qFormat/>
    <w:uiPriority w:val="9"/>
    <w:rPr>
      <w:rFonts w:ascii="Times New Roman" w:hAnsi="Times New Roman" w:eastAsia="宋体" w:cs="Times New Roman"/>
      <w:b/>
      <w:bCs/>
      <w:kern w:val="2"/>
      <w:sz w:val="32"/>
      <w:szCs w:val="32"/>
    </w:rPr>
  </w:style>
  <w:style w:type="character" w:customStyle="1" w:styleId="48">
    <w:name w:val="info1"/>
    <w:qFormat/>
    <w:uiPriority w:val="99"/>
    <w:rPr>
      <w:rFonts w:hint="default"/>
      <w:sz w:val="29"/>
      <w:szCs w:val="29"/>
    </w:rPr>
  </w:style>
  <w:style w:type="character" w:customStyle="1" w:styleId="49">
    <w:name w:val="结束语 Char"/>
    <w:basedOn w:val="28"/>
    <w:link w:val="8"/>
    <w:qFormat/>
    <w:uiPriority w:val="0"/>
    <w:rPr>
      <w:rFonts w:ascii="Times New Roman" w:hAnsi="Times New Roman" w:eastAsia="宋体" w:cs="Times New Roman"/>
      <w:kern w:val="2"/>
      <w:sz w:val="21"/>
      <w:szCs w:val="24"/>
    </w:rPr>
  </w:style>
  <w:style w:type="character" w:customStyle="1" w:styleId="50">
    <w:name w:val="副标题 Char"/>
    <w:link w:val="21"/>
    <w:qFormat/>
    <w:uiPriority w:val="0"/>
    <w:rPr>
      <w:rFonts w:ascii="Cambria" w:hAnsi="Cambria" w:cs="Times New Roman"/>
      <w:b/>
      <w:bCs/>
      <w:kern w:val="28"/>
      <w:sz w:val="32"/>
      <w:szCs w:val="32"/>
    </w:rPr>
  </w:style>
  <w:style w:type="character" w:customStyle="1" w:styleId="51">
    <w:name w:val="副标题 Char1"/>
    <w:basedOn w:val="28"/>
    <w:qFormat/>
    <w:uiPriority w:val="11"/>
    <w:rPr>
      <w:rFonts w:eastAsia="宋体" w:asciiTheme="majorHAnsi" w:hAnsiTheme="majorHAnsi" w:cstheme="majorBidi"/>
      <w:b/>
      <w:bCs/>
      <w:kern w:val="28"/>
      <w:sz w:val="32"/>
      <w:szCs w:val="32"/>
    </w:rPr>
  </w:style>
  <w:style w:type="paragraph" w:customStyle="1" w:styleId="52">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3">
    <w:name w:val="正文文本 Char"/>
    <w:basedOn w:val="28"/>
    <w:link w:val="9"/>
    <w:qFormat/>
    <w:uiPriority w:val="0"/>
    <w:rPr>
      <w:rFonts w:ascii="Times New Roman" w:hAnsi="Times New Roman" w:eastAsia="宋体" w:cs="Times New Roman"/>
      <w:kern w:val="2"/>
      <w:sz w:val="21"/>
      <w:szCs w:val="24"/>
    </w:rPr>
  </w:style>
  <w:style w:type="paragraph" w:customStyle="1" w:styleId="54">
    <w:name w:val="Default"/>
    <w:qFormat/>
    <w:uiPriority w:val="0"/>
    <w:pPr>
      <w:autoSpaceDE w:val="0"/>
      <w:autoSpaceDN w:val="0"/>
    </w:pPr>
    <w:rPr>
      <w:rFonts w:ascii="宋体" w:hAnsi="宋体" w:eastAsia="宋体" w:cs="Times New Roman"/>
      <w:color w:val="000000"/>
      <w:sz w:val="24"/>
      <w:szCs w:val="24"/>
      <w:lang w:val="en-US" w:eastAsia="zh-CN" w:bidi="ar-SA"/>
    </w:rPr>
  </w:style>
  <w:style w:type="character" w:customStyle="1" w:styleId="55">
    <w:name w:val="标题 2 Char"/>
    <w:basedOn w:val="28"/>
    <w:link w:val="3"/>
    <w:qFormat/>
    <w:uiPriority w:val="0"/>
    <w:rPr>
      <w:rFonts w:asciiTheme="majorHAnsi" w:hAnsiTheme="majorHAnsi" w:eastAsiaTheme="majorEastAsia" w:cstheme="majorBidi"/>
      <w:b/>
      <w:bCs/>
      <w:kern w:val="2"/>
      <w:sz w:val="32"/>
      <w:szCs w:val="32"/>
    </w:rPr>
  </w:style>
  <w:style w:type="character" w:customStyle="1" w:styleId="56">
    <w:name w:val="正文缩进 Char"/>
    <w:link w:val="6"/>
    <w:qFormat/>
    <w:locked/>
    <w:uiPriority w:val="99"/>
    <w:rPr>
      <w:rFonts w:ascii="宋体" w:hAnsi="Times New Roman" w:eastAsia="宋体" w:cs="Times New Roman"/>
      <w:kern w:val="2"/>
      <w:sz w:val="24"/>
    </w:rPr>
  </w:style>
  <w:style w:type="character" w:customStyle="1" w:styleId="57">
    <w:name w:val="日期 Char"/>
    <w:link w:val="15"/>
    <w:qFormat/>
    <w:uiPriority w:val="99"/>
  </w:style>
  <w:style w:type="character" w:customStyle="1" w:styleId="58">
    <w:name w:val="日期 Char1"/>
    <w:basedOn w:val="28"/>
    <w:qFormat/>
    <w:uiPriority w:val="0"/>
    <w:rPr>
      <w:rFonts w:ascii="Times New Roman" w:hAnsi="Times New Roman" w:eastAsia="宋体" w:cs="Times New Roman"/>
      <w:kern w:val="2"/>
      <w:sz w:val="21"/>
    </w:rPr>
  </w:style>
  <w:style w:type="character" w:customStyle="1" w:styleId="59">
    <w:name w:val="文档结构图 Char"/>
    <w:basedOn w:val="28"/>
    <w:link w:val="7"/>
    <w:qFormat/>
    <w:uiPriority w:val="0"/>
    <w:rPr>
      <w:rFonts w:ascii="宋体" w:hAnsi="Times New Roman" w:eastAsia="宋体" w:cs="Times New Roman"/>
      <w:kern w:val="2"/>
      <w:sz w:val="18"/>
      <w:szCs w:val="18"/>
    </w:rPr>
  </w:style>
  <w:style w:type="character" w:customStyle="1" w:styleId="60">
    <w:name w:val="已访问的超链接1"/>
    <w:qFormat/>
    <w:uiPriority w:val="99"/>
    <w:rPr>
      <w:rFonts w:ascii="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608486-9D3F-4D75-AB7D-8061A8488AD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16120</Words>
  <Characters>16538</Characters>
  <Lines>147</Lines>
  <Paragraphs>41</Paragraphs>
  <TotalTime>1</TotalTime>
  <ScaleCrop>false</ScaleCrop>
  <LinksUpToDate>false</LinksUpToDate>
  <CharactersWithSpaces>19378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2019-07-22T05:49:00Z</dcterms:created>
  <dc:creator>Dell</dc:creator>
  <cp:lastModifiedBy>pc</cp:lastModifiedBy>
  <cp:lastPrinted>2019-08-14T02:13:00Z</cp:lastPrinted>
  <dcterms:modified xsi:type="dcterms:W3CDTF">2022-12-08T04:36:23Z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83B4C3CE4AAD44FEB80F0B164F4A6CAA</vt:lpwstr>
  </property>
</Properties>
</file>