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你好，橘子君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通过前两周活动的开展，71.4%的孩子能运用多种感官观察自己喜欢的水果并发现其明显特征，还通过多种方式表达表现了对水果的认识和喜爱，89.3%的孩子在与同伴分享自己喜欢的水果的过程中，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67%的孩子知道橘子长在树上，47.3%孩子知道橘子的种类，26%的孩子知道橘子可以做什么</w:t>
            </w:r>
            <w:r>
              <w:rPr>
                <w:rFonts w:hint="eastAsia" w:ascii="宋体" w:hAnsi="宋体" w:cs="宋体"/>
                <w:kern w:val="0"/>
                <w:szCs w:val="21"/>
              </w:rPr>
              <w:t>所以本周我们将从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认识橘子到了解橘子再到橘子可以怎么玩来铺开。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1.乐意与同伴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共同发现橘子的秘密，乐于参与活动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2.认识各种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不同的橘子，探索橘子的玩法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1.继续布置主题《我喜欢》的主题氛围，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橘子、多种水果等装饰</w:t>
            </w:r>
            <w:r>
              <w:rPr>
                <w:rFonts w:hint="eastAsia" w:ascii="宋体" w:hAnsi="宋体" w:cs="宋体"/>
                <w:szCs w:val="21"/>
              </w:rPr>
              <w:t>；益智区提供玩具拼图，数量4-8块为宜，也可以提供各种玩具卡片，点卡1—3让幼儿根据点卡数量取物；阅读区提供《闻一闻》、《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橘子宝宝</w:t>
            </w:r>
            <w:r>
              <w:rPr>
                <w:rFonts w:hint="eastAsia" w:ascii="宋体" w:hAnsi="宋体" w:cs="宋体"/>
                <w:szCs w:val="21"/>
              </w:rPr>
              <w:t>》等图书；娃娃家提供娃娃、动物玩具、电话等供幼儿自由玩耍，利用煤气灶、各类蔬果、盘子等让幼儿模仿爸爸、妈妈或爷爷、奶奶烧饭。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户外活动时能在老师的提醒下用手帕擦汗，自主休息、喝水、穿脱衣物等；有序排队参与游戏、不追跑打闹，安全地进行各种户外活动。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橘子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涂色、手指印画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撕贴橘子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2.益智区：玩具拼图、玩具卡片、停车场、七巧板等；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娃娃家：给宝宝穿衣裤、叠衣裤、照顾宝宝、烧饭等；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4.自然角：种植大蒜，观赏植物等；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5.阅读区：故事讲述《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橘子宝宝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》、故事盒等；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6.科探区：光与色彩、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地球仪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、放大镜、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陀螺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7.建构区：好玩的小汽车、我喜欢的玩具等。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</w:rPr>
              <w:t>】幼儿是否主动选择区域并按选择进区游戏。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丁</w:t>
            </w:r>
            <w:r>
              <w:rPr>
                <w:rFonts w:hint="eastAsia" w:ascii="宋体" w:hAnsi="宋体" w:cs="宋体"/>
              </w:rPr>
              <w:t>】区域材料的整理情况。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="宋体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4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40" w:lineRule="exact"/>
              <w:ind w:firstLine="1050" w:firstLineChars="500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40" w:lineRule="exact"/>
              <w:ind w:firstLine="1050" w:firstLineChars="500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谈话：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橘子大调查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科学：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剥橘子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</w:p>
          <w:p>
            <w:pPr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绘画：橘宝宝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体育：跑跑兔摘果子</w:t>
            </w:r>
            <w:bookmarkStart w:id="0" w:name="_GoBack"/>
            <w:bookmarkEnd w:id="0"/>
          </w:p>
          <w:p>
            <w:pPr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榨橘子汁                      科学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橘子沉浮</w:t>
            </w:r>
          </w:p>
          <w:p>
            <w:pPr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每周一整理：整理鞋套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林其强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lang w:val="en-US" w:eastAsia="zh-CN"/>
        </w:rPr>
        <w:t>林其强</w:t>
      </w: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790144D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4AA2238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1026</Words>
  <Characters>1064</Characters>
  <Lines>10</Lines>
  <Paragraphs>2</Paragraphs>
  <TotalTime>2</TotalTime>
  <ScaleCrop>false</ScaleCrop>
  <LinksUpToDate>false</LinksUpToDate>
  <CharactersWithSpaces>1146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车行天下</cp:lastModifiedBy>
  <cp:lastPrinted>2022-11-14T03:00:15Z</cp:lastPrinted>
  <dcterms:modified xsi:type="dcterms:W3CDTF">2022-11-14T06:36:12Z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BD5AD52983E44D648811C6B1390066EA</vt:lpwstr>
  </property>
</Properties>
</file>