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480" w:firstLineChars="200"/>
        <w:rPr>
          <w:rFonts w:ascii="宋体" w:hAnsi="宋体" w:eastAsia="宋体" w:cs="宋体"/>
          <w:bCs/>
          <w:sz w:val="24"/>
        </w:rPr>
      </w:pPr>
      <w:r>
        <w:rPr>
          <w:rFonts w:hint="eastAsia" w:ascii="宋体" w:hAnsi="宋体" w:eastAsia="宋体" w:cs="宋体"/>
          <w:bCs/>
          <w:sz w:val="24"/>
        </w:rPr>
        <w:t>围绕课题研究目标内容，我们先进行了文献查阅，分析了文献内涵，了解了国内外研究动态，明确了双减背景下中段语文写话作业设计与实施的研究价值，从文献研究、设计策略、实施策略、评价策略这几方面同步研究，架构双减背景下中段语文写话作业实施的研究思路。</w:t>
      </w:r>
    </w:p>
    <w:p>
      <w:pPr>
        <w:numPr>
          <w:ilvl w:val="0"/>
          <w:numId w:val="1"/>
        </w:numPr>
        <w:spacing w:line="460" w:lineRule="exact"/>
        <w:rPr>
          <w:rFonts w:ascii="宋体" w:hAnsi="宋体" w:eastAsia="宋体" w:cs="宋体"/>
          <w:b/>
          <w:sz w:val="24"/>
        </w:rPr>
      </w:pPr>
      <w:r>
        <w:rPr>
          <w:rFonts w:hint="eastAsia" w:ascii="宋体" w:hAnsi="宋体" w:eastAsia="宋体" w:cs="宋体"/>
          <w:b/>
          <w:sz w:val="24"/>
        </w:rPr>
        <w:t>双减背景下中段语文写话作业设计与实施的文献研究</w:t>
      </w:r>
    </w:p>
    <w:p>
      <w:pPr>
        <w:numPr>
          <w:ilvl w:val="0"/>
          <w:numId w:val="2"/>
        </w:numPr>
        <w:spacing w:line="460" w:lineRule="exact"/>
        <w:rPr>
          <w:rFonts w:ascii="宋体" w:hAnsi="宋体" w:eastAsia="宋体" w:cs="宋体"/>
          <w:bCs/>
          <w:sz w:val="24"/>
        </w:rPr>
      </w:pPr>
      <w:r>
        <w:rPr>
          <w:rFonts w:hint="eastAsia" w:ascii="宋体" w:hAnsi="宋体" w:eastAsia="宋体" w:cs="宋体"/>
          <w:bCs/>
          <w:sz w:val="24"/>
        </w:rPr>
        <w:t>文献查找</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在“双减背景下中段语文写话作业实施”的研究初期，我们通过知网，查阅了关于小学语文写话教学、写话作业、作业设计、中段写作的相关文献，进行了数据整理，形成了自己的认识。</w:t>
      </w:r>
    </w:p>
    <w:tbl>
      <w:tblPr>
        <w:tblStyle w:val="3"/>
        <w:tblW w:w="8522" w:type="dxa"/>
        <w:tblInd w:w="0" w:type="dxa"/>
        <w:tblBorders>
          <w:top w:val="single" w:color="2E75B5" w:themeColor="accent5" w:themeShade="BF" w:sz="12" w:space="0"/>
          <w:left w:val="single" w:color="2E75B5" w:themeColor="accent5" w:themeShade="BF" w:sz="12" w:space="0"/>
          <w:bottom w:val="single" w:color="2E75B5" w:themeColor="accent5" w:themeShade="BF" w:sz="12" w:space="0"/>
          <w:right w:val="single" w:color="2E75B5" w:themeColor="accent5" w:themeShade="BF" w:sz="12" w:space="0"/>
          <w:insideH w:val="single" w:color="2E75B5" w:themeColor="accent5" w:themeShade="BF" w:sz="12" w:space="0"/>
          <w:insideV w:val="single" w:color="2E75B5" w:themeColor="accent5" w:themeShade="BF" w:sz="12" w:space="0"/>
        </w:tblBorders>
        <w:tblLayout w:type="fixed"/>
        <w:tblCellMar>
          <w:top w:w="0" w:type="dxa"/>
          <w:left w:w="108" w:type="dxa"/>
          <w:bottom w:w="0" w:type="dxa"/>
          <w:right w:w="108" w:type="dxa"/>
        </w:tblCellMar>
      </w:tblPr>
      <w:tblGrid>
        <w:gridCol w:w="1861"/>
        <w:gridCol w:w="3820"/>
        <w:gridCol w:w="2841"/>
      </w:tblGrid>
      <w:tr>
        <w:tblPrEx>
          <w:tblBorders>
            <w:top w:val="single" w:color="2E75B5" w:themeColor="accent5" w:themeShade="BF" w:sz="12" w:space="0"/>
            <w:left w:val="single" w:color="2E75B5" w:themeColor="accent5" w:themeShade="BF" w:sz="12" w:space="0"/>
            <w:bottom w:val="single" w:color="2E75B5" w:themeColor="accent5" w:themeShade="BF" w:sz="12" w:space="0"/>
            <w:right w:val="single" w:color="2E75B5" w:themeColor="accent5" w:themeShade="BF" w:sz="12" w:space="0"/>
            <w:insideH w:val="single" w:color="2E75B5" w:themeColor="accent5" w:themeShade="BF" w:sz="12" w:space="0"/>
            <w:insideV w:val="single" w:color="2E75B5" w:themeColor="accent5" w:themeShade="BF" w:sz="12" w:space="0"/>
          </w:tblBorders>
          <w:tblCellMar>
            <w:top w:w="0" w:type="dxa"/>
            <w:left w:w="108" w:type="dxa"/>
            <w:bottom w:w="0" w:type="dxa"/>
            <w:right w:w="108" w:type="dxa"/>
          </w:tblCellMar>
        </w:tblPrEx>
        <w:trPr>
          <w:trHeight w:val="932" w:hRule="atLeast"/>
        </w:trPr>
        <w:tc>
          <w:tcPr>
            <w:tcW w:w="1861" w:type="dxa"/>
            <w:tcBorders>
              <w:tl2br w:val="nil"/>
              <w:tr2bl w:val="nil"/>
            </w:tcBorders>
            <w:vAlign w:val="center"/>
          </w:tcPr>
          <w:p>
            <w:pPr>
              <w:spacing w:line="460" w:lineRule="exact"/>
              <w:ind w:firstLine="480" w:firstLineChars="200"/>
              <w:jc w:val="center"/>
              <w:rPr>
                <w:rFonts w:ascii="宋体" w:hAnsi="宋体" w:eastAsia="宋体" w:cs="宋体"/>
                <w:bCs/>
                <w:kern w:val="2"/>
                <w:sz w:val="24"/>
              </w:rPr>
            </w:pPr>
            <w:r>
              <w:rPr>
                <w:rFonts w:ascii="宋体" w:hAnsi="宋体" w:eastAsia="宋体" w:cs="宋体"/>
                <w:bCs/>
                <w:kern w:val="0"/>
                <w:sz w:val="24"/>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173990</wp:posOffset>
                      </wp:positionV>
                      <wp:extent cx="476250" cy="5041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6250" cy="504190"/>
                              </a:xfrm>
                              <a:prstGeom prst="rect">
                                <a:avLst/>
                              </a:prstGeom>
                              <a:noFill/>
                              <a:ln w="6350">
                                <a:noFill/>
                              </a:ln>
                              <a:effectLst/>
                            </wps:spPr>
                            <wps:txbx>
                              <w:txbxContent>
                                <w:p>
                                  <w:r>
                                    <w:rPr>
                                      <w:rFonts w:hint="eastAsia"/>
                                    </w:rPr>
                                    <w:t>研究对象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13.7pt;height:39.7pt;width:37.5pt;z-index:251660288;mso-width-relative:page;mso-height-relative:page;" filled="f" stroked="f" coordsize="21600,21600" o:gfxdata="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Iw3sjZAAAACAEAAA8AAAAAAAAAAQAgAAAAIgAA&#10;AGRycy9kb3ducmV2LnhtbFBLAQIUABQAAAAIAIdO4kC7H71nQAIAAHMEAAAOAAAAAAAAAAEAIAAA&#10;ACgBAABkcnMvZTJvRG9jLnhtbFBLBQYAAAAABgAGAFkBAADaBQAAAAA=&#10;">
                      <v:fill on="f" focussize="0,0"/>
                      <v:stroke on="f" weight="0.5pt"/>
                      <v:imagedata o:title=""/>
                      <o:lock v:ext="edit" aspectratio="f"/>
                      <v:textbox>
                        <w:txbxContent>
                          <w:p>
                            <w:r>
                              <w:rPr>
                                <w:rFonts w:hint="eastAsia"/>
                              </w:rPr>
                              <w:t>研究对象</w:t>
                            </w:r>
                          </w:p>
                        </w:txbxContent>
                      </v:textbox>
                    </v:shape>
                  </w:pict>
                </mc:Fallback>
              </mc:AlternateContent>
            </w:r>
            <w:r>
              <w:rPr>
                <w:rFonts w:ascii="宋体" w:hAnsi="宋体" w:eastAsia="宋体" w:cs="宋体"/>
                <w:bCs/>
                <w:kern w:val="0"/>
                <w:sz w:val="24"/>
              </w:rPr>
              <mc:AlternateContent>
                <mc:Choice Requires="wps">
                  <w:drawing>
                    <wp:anchor distT="0" distB="0" distL="114300" distR="114300" simplePos="0" relativeHeight="251659264" behindDoc="0" locked="0" layoutInCell="1" allowOverlap="1">
                      <wp:simplePos x="0" y="0"/>
                      <wp:positionH relativeFrom="column">
                        <wp:posOffset>484505</wp:posOffset>
                      </wp:positionH>
                      <wp:positionV relativeFrom="paragraph">
                        <wp:posOffset>69215</wp:posOffset>
                      </wp:positionV>
                      <wp:extent cx="571500" cy="314325"/>
                      <wp:effectExtent l="0" t="0" r="0" b="0"/>
                      <wp:wrapNone/>
                      <wp:docPr id="5" name="文本框 5"/>
                      <wp:cNvGraphicFramePr/>
                      <a:graphic xmlns:a="http://schemas.openxmlformats.org/drawingml/2006/main">
                        <a:graphicData uri="http://schemas.microsoft.com/office/word/2010/wordprocessingShape">
                          <wps:wsp>
                            <wps:cNvSpPr txBox="1"/>
                            <wps:spPr>
                              <a:xfrm>
                                <a:off x="1570355" y="1811020"/>
                                <a:ext cx="571500" cy="314325"/>
                              </a:xfrm>
                              <a:prstGeom prst="rect">
                                <a:avLst/>
                              </a:prstGeom>
                              <a:noFill/>
                              <a:ln w="6350">
                                <a:noFill/>
                              </a:ln>
                              <a:effectLst/>
                            </wps:spPr>
                            <wps:txbx>
                              <w:txbxContent>
                                <w:p>
                                  <w:r>
                                    <w:rPr>
                                      <w:rFonts w:hint="eastAsia"/>
                                    </w:rPr>
                                    <w:t>数据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5pt;margin-top:5.45pt;height:24.75pt;width:45pt;z-index:251659264;mso-width-relative:page;mso-height-relative:page;" filled="f" stroked="f" coordsize="21600,21600" o:gfxdata="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EFiedgAAAAIAQAADwAAAAAA&#10;AAABACAAAAAiAAAAZHJzL2Rvd25yZXYueG1sUEsBAhQAFAAAAAgAh07iQBnqcIBMAgAAfwQAAA4A&#10;AAAAAAAAAQAgAAAAJwEAAGRycy9lMm9Eb2MueG1sUEsFBgAAAAAGAAYAWQEAAOUFAAAAAA==&#10;">
                      <v:fill on="f" focussize="0,0"/>
                      <v:stroke on="f" weight="0.5pt"/>
                      <v:imagedata o:title=""/>
                      <o:lock v:ext="edit" aspectratio="f"/>
                      <v:textbox>
                        <w:txbxContent>
                          <w:p>
                            <w:r>
                              <w:rPr>
                                <w:rFonts w:hint="eastAsia"/>
                              </w:rPr>
                              <w:t>数据</w:t>
                            </w:r>
                          </w:p>
                        </w:txbxContent>
                      </v:textbox>
                    </v:shape>
                  </w:pict>
                </mc:Fallback>
              </mc:AlternateContent>
            </w:r>
            <w:r>
              <w:rPr>
                <w:rFonts w:ascii="宋体" w:hAnsi="宋体" w:eastAsia="宋体" w:cs="宋体"/>
                <w:bCs/>
                <w:kern w:val="0"/>
                <w:sz w:val="24"/>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48260</wp:posOffset>
                      </wp:positionV>
                      <wp:extent cx="1133475" cy="542925"/>
                      <wp:effectExtent l="2540" t="5715" r="6985" b="22860"/>
                      <wp:wrapNone/>
                      <wp:docPr id="6" name="直接连接符 6"/>
                      <wp:cNvGraphicFramePr/>
                      <a:graphic xmlns:a="http://schemas.openxmlformats.org/drawingml/2006/main">
                        <a:graphicData uri="http://schemas.microsoft.com/office/word/2010/wordprocessingShape">
                          <wps:wsp>
                            <wps:cNvCnPr/>
                            <wps:spPr>
                              <a:xfrm flipH="1" flipV="1">
                                <a:off x="1103630" y="1563370"/>
                                <a:ext cx="1133475" cy="5429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3.1pt;margin-top:3.8pt;height:42.75pt;width:89.25pt;z-index:251661312;mso-width-relative:page;mso-height-relative:page;" filled="f" stroked="t" coordsize="21600,21600" o:gfxdata="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qFantgAAAAHAQAADwAAAAAAAAABACAAAAAiAAAAZHJz&#10;L2Rvd25yZXYueG1sUEsBAhQAFAAAAAgAh07iQA6K8mEEAgAA5QMAAA4AAAAAAAAAAQAgAAAAJwEA&#10;AGRycy9lMm9Eb2MueG1sUEsFBgAAAAAGAAYAWQEAAJ0FAAAAAA==&#10;">
                      <v:fill on="f" focussize="0,0"/>
                      <v:stroke weight="1pt" color="#000000" miterlimit="8" joinstyle="miter"/>
                      <v:imagedata o:title=""/>
                      <o:lock v:ext="edit" aspectratio="f"/>
                    </v:line>
                  </w:pict>
                </mc:Fallback>
              </mc:AlternateContent>
            </w:r>
          </w:p>
        </w:tc>
        <w:tc>
          <w:tcPr>
            <w:tcW w:w="3820" w:type="dxa"/>
            <w:tcBorders>
              <w:tl2br w:val="nil"/>
              <w:tr2bl w:val="nil"/>
            </w:tcBorders>
            <w:vAlign w:val="center"/>
          </w:tcPr>
          <w:p>
            <w:pPr>
              <w:spacing w:line="460" w:lineRule="exact"/>
              <w:ind w:firstLine="480" w:firstLineChars="200"/>
              <w:jc w:val="center"/>
              <w:rPr>
                <w:rFonts w:ascii="宋体" w:hAnsi="宋体" w:eastAsia="宋体" w:cs="宋体"/>
                <w:bCs/>
                <w:kern w:val="2"/>
                <w:sz w:val="24"/>
              </w:rPr>
            </w:pPr>
            <w:r>
              <w:rPr>
                <w:rFonts w:hint="eastAsia" w:ascii="宋体" w:hAnsi="宋体" w:eastAsia="宋体" w:cs="宋体"/>
                <w:bCs/>
                <w:kern w:val="2"/>
                <w:sz w:val="24"/>
              </w:rPr>
              <w:t>总篇数（篇）</w:t>
            </w:r>
          </w:p>
        </w:tc>
        <w:tc>
          <w:tcPr>
            <w:tcW w:w="2841" w:type="dxa"/>
            <w:tcBorders>
              <w:tl2br w:val="nil"/>
              <w:tr2bl w:val="nil"/>
            </w:tcBorders>
            <w:vAlign w:val="center"/>
          </w:tcPr>
          <w:p>
            <w:pPr>
              <w:spacing w:line="460" w:lineRule="exact"/>
              <w:ind w:firstLine="480" w:firstLineChars="200"/>
              <w:jc w:val="center"/>
              <w:rPr>
                <w:rFonts w:ascii="宋体" w:hAnsi="宋体" w:eastAsia="宋体" w:cs="宋体"/>
                <w:bCs/>
                <w:kern w:val="2"/>
                <w:sz w:val="24"/>
              </w:rPr>
            </w:pPr>
            <w:r>
              <w:rPr>
                <w:rFonts w:hint="eastAsia" w:ascii="宋体" w:hAnsi="宋体" w:eastAsia="宋体" w:cs="宋体"/>
                <w:bCs/>
                <w:kern w:val="2"/>
                <w:sz w:val="24"/>
              </w:rPr>
              <w:t>核心期刊（篇）</w:t>
            </w:r>
          </w:p>
        </w:tc>
      </w:tr>
      <w:tr>
        <w:tblPrEx>
          <w:tblBorders>
            <w:top w:val="single" w:color="2E75B5" w:themeColor="accent5" w:themeShade="BF" w:sz="12" w:space="0"/>
            <w:left w:val="single" w:color="2E75B5" w:themeColor="accent5" w:themeShade="BF" w:sz="12" w:space="0"/>
            <w:bottom w:val="single" w:color="2E75B5" w:themeColor="accent5" w:themeShade="BF" w:sz="12" w:space="0"/>
            <w:right w:val="single" w:color="2E75B5" w:themeColor="accent5" w:themeShade="BF" w:sz="12" w:space="0"/>
            <w:insideH w:val="single" w:color="2E75B5" w:themeColor="accent5" w:themeShade="BF" w:sz="12" w:space="0"/>
            <w:insideV w:val="single" w:color="2E75B5" w:themeColor="accent5" w:themeShade="BF" w:sz="12"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spacing w:line="460" w:lineRule="exact"/>
              <w:rPr>
                <w:rFonts w:ascii="宋体" w:hAnsi="宋体" w:eastAsia="宋体" w:cs="宋体"/>
                <w:bCs/>
                <w:kern w:val="2"/>
                <w:sz w:val="24"/>
              </w:rPr>
            </w:pPr>
            <w:r>
              <w:rPr>
                <w:rFonts w:hint="eastAsia" w:ascii="宋体" w:hAnsi="宋体" w:eastAsia="宋体" w:cs="宋体"/>
                <w:bCs/>
                <w:kern w:val="2"/>
                <w:sz w:val="24"/>
              </w:rPr>
              <w:t>写话作业</w:t>
            </w:r>
          </w:p>
        </w:tc>
        <w:tc>
          <w:tcPr>
            <w:tcW w:w="3820" w:type="dxa"/>
            <w:tcBorders>
              <w:tl2br w:val="nil"/>
              <w:tr2bl w:val="nil"/>
            </w:tcBorders>
            <w:vAlign w:val="center"/>
          </w:tcPr>
          <w:p>
            <w:pPr>
              <w:spacing w:line="460" w:lineRule="exact"/>
              <w:ind w:firstLine="480" w:firstLineChars="200"/>
              <w:jc w:val="center"/>
              <w:rPr>
                <w:rFonts w:ascii="宋体" w:hAnsi="宋体" w:eastAsia="宋体" w:cs="宋体"/>
                <w:bCs/>
                <w:kern w:val="2"/>
                <w:sz w:val="24"/>
              </w:rPr>
            </w:pPr>
            <w:r>
              <w:rPr>
                <w:rFonts w:hint="eastAsia" w:ascii="宋体" w:hAnsi="宋体" w:eastAsia="宋体" w:cs="宋体"/>
                <w:bCs/>
                <w:kern w:val="2"/>
                <w:sz w:val="24"/>
              </w:rPr>
              <w:t>3</w:t>
            </w:r>
            <w:r>
              <w:rPr>
                <w:rFonts w:ascii="宋体" w:hAnsi="宋体" w:eastAsia="宋体" w:cs="宋体"/>
                <w:bCs/>
                <w:kern w:val="2"/>
                <w:sz w:val="24"/>
              </w:rPr>
              <w:t>37</w:t>
            </w:r>
          </w:p>
        </w:tc>
        <w:tc>
          <w:tcPr>
            <w:tcW w:w="2841" w:type="dxa"/>
            <w:tcBorders>
              <w:tl2br w:val="nil"/>
              <w:tr2bl w:val="nil"/>
            </w:tcBorders>
            <w:vAlign w:val="center"/>
          </w:tcPr>
          <w:p>
            <w:pPr>
              <w:spacing w:line="460" w:lineRule="exact"/>
              <w:ind w:firstLine="480" w:firstLineChars="200"/>
              <w:jc w:val="center"/>
              <w:rPr>
                <w:rFonts w:ascii="宋体" w:hAnsi="宋体" w:eastAsia="宋体" w:cs="宋体"/>
                <w:bCs/>
                <w:kern w:val="2"/>
                <w:sz w:val="24"/>
              </w:rPr>
            </w:pPr>
            <w:r>
              <w:rPr>
                <w:rFonts w:hint="eastAsia" w:ascii="宋体" w:hAnsi="宋体" w:eastAsia="宋体" w:cs="宋体"/>
                <w:bCs/>
                <w:kern w:val="2"/>
                <w:sz w:val="24"/>
              </w:rPr>
              <w:t>2</w:t>
            </w:r>
            <w:r>
              <w:rPr>
                <w:rFonts w:ascii="宋体" w:hAnsi="宋体" w:eastAsia="宋体" w:cs="宋体"/>
                <w:bCs/>
                <w:kern w:val="2"/>
                <w:sz w:val="24"/>
              </w:rPr>
              <w:t>3</w:t>
            </w:r>
          </w:p>
        </w:tc>
      </w:tr>
      <w:tr>
        <w:tblPrEx>
          <w:tblBorders>
            <w:top w:val="single" w:color="2E75B5" w:themeColor="accent5" w:themeShade="BF" w:sz="12" w:space="0"/>
            <w:left w:val="single" w:color="2E75B5" w:themeColor="accent5" w:themeShade="BF" w:sz="12" w:space="0"/>
            <w:bottom w:val="single" w:color="2E75B5" w:themeColor="accent5" w:themeShade="BF" w:sz="12" w:space="0"/>
            <w:right w:val="single" w:color="2E75B5" w:themeColor="accent5" w:themeShade="BF" w:sz="12" w:space="0"/>
            <w:insideH w:val="single" w:color="2E75B5" w:themeColor="accent5" w:themeShade="BF" w:sz="12" w:space="0"/>
            <w:insideV w:val="single" w:color="2E75B5" w:themeColor="accent5" w:themeShade="BF" w:sz="12" w:space="0"/>
          </w:tblBorders>
          <w:tblCellMar>
            <w:top w:w="0" w:type="dxa"/>
            <w:left w:w="108" w:type="dxa"/>
            <w:bottom w:w="0" w:type="dxa"/>
            <w:right w:w="108" w:type="dxa"/>
          </w:tblCellMar>
        </w:tblPrEx>
        <w:trPr>
          <w:trHeight w:val="662" w:hRule="atLeast"/>
        </w:trPr>
        <w:tc>
          <w:tcPr>
            <w:tcW w:w="1861" w:type="dxa"/>
            <w:tcBorders>
              <w:tl2br w:val="nil"/>
              <w:tr2bl w:val="nil"/>
            </w:tcBorders>
            <w:vAlign w:val="center"/>
          </w:tcPr>
          <w:p>
            <w:pPr>
              <w:spacing w:line="460" w:lineRule="exact"/>
              <w:rPr>
                <w:rFonts w:ascii="宋体" w:hAnsi="宋体" w:eastAsia="宋体" w:cs="宋体"/>
                <w:bCs/>
                <w:kern w:val="2"/>
                <w:sz w:val="24"/>
              </w:rPr>
            </w:pPr>
            <w:r>
              <w:rPr>
                <w:rFonts w:hint="eastAsia" w:ascii="宋体" w:hAnsi="宋体" w:eastAsia="宋体" w:cs="宋体"/>
                <w:bCs/>
                <w:kern w:val="2"/>
                <w:sz w:val="24"/>
              </w:rPr>
              <w:t>写话教学</w:t>
            </w:r>
          </w:p>
        </w:tc>
        <w:tc>
          <w:tcPr>
            <w:tcW w:w="3820" w:type="dxa"/>
            <w:tcBorders>
              <w:tl2br w:val="nil"/>
              <w:tr2bl w:val="nil"/>
            </w:tcBorders>
            <w:vAlign w:val="center"/>
          </w:tcPr>
          <w:p>
            <w:pPr>
              <w:spacing w:line="460" w:lineRule="exact"/>
              <w:ind w:firstLine="480" w:firstLineChars="200"/>
              <w:jc w:val="center"/>
              <w:rPr>
                <w:rFonts w:ascii="宋体" w:hAnsi="宋体" w:eastAsia="宋体" w:cs="宋体"/>
                <w:bCs/>
                <w:kern w:val="2"/>
                <w:sz w:val="24"/>
              </w:rPr>
            </w:pPr>
            <w:r>
              <w:rPr>
                <w:rFonts w:ascii="宋体" w:hAnsi="宋体" w:eastAsia="宋体" w:cs="宋体"/>
                <w:bCs/>
                <w:kern w:val="2"/>
                <w:sz w:val="24"/>
              </w:rPr>
              <w:t>1634</w:t>
            </w:r>
          </w:p>
        </w:tc>
        <w:tc>
          <w:tcPr>
            <w:tcW w:w="2841" w:type="dxa"/>
            <w:tcBorders>
              <w:tl2br w:val="nil"/>
              <w:tr2bl w:val="nil"/>
            </w:tcBorders>
            <w:vAlign w:val="center"/>
          </w:tcPr>
          <w:p>
            <w:pPr>
              <w:spacing w:line="460" w:lineRule="exact"/>
              <w:ind w:firstLine="480" w:firstLineChars="200"/>
              <w:jc w:val="center"/>
              <w:rPr>
                <w:rFonts w:ascii="宋体" w:hAnsi="宋体" w:eastAsia="宋体" w:cs="宋体"/>
                <w:bCs/>
                <w:kern w:val="2"/>
                <w:sz w:val="24"/>
              </w:rPr>
            </w:pPr>
            <w:r>
              <w:rPr>
                <w:rFonts w:ascii="宋体" w:hAnsi="宋体" w:eastAsia="宋体" w:cs="宋体"/>
                <w:bCs/>
                <w:kern w:val="2"/>
                <w:sz w:val="24"/>
              </w:rPr>
              <w:t>107</w:t>
            </w:r>
          </w:p>
        </w:tc>
      </w:tr>
      <w:tr>
        <w:tblPrEx>
          <w:tblBorders>
            <w:top w:val="single" w:color="2E75B5" w:themeColor="accent5" w:themeShade="BF" w:sz="12" w:space="0"/>
            <w:left w:val="single" w:color="2E75B5" w:themeColor="accent5" w:themeShade="BF" w:sz="12" w:space="0"/>
            <w:bottom w:val="single" w:color="2E75B5" w:themeColor="accent5" w:themeShade="BF" w:sz="12" w:space="0"/>
            <w:right w:val="single" w:color="2E75B5" w:themeColor="accent5" w:themeShade="BF" w:sz="12" w:space="0"/>
            <w:insideH w:val="single" w:color="2E75B5" w:themeColor="accent5" w:themeShade="BF" w:sz="12" w:space="0"/>
            <w:insideV w:val="single" w:color="2E75B5" w:themeColor="accent5" w:themeShade="BF" w:sz="12"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spacing w:line="460" w:lineRule="exact"/>
              <w:rPr>
                <w:rFonts w:ascii="宋体" w:hAnsi="宋体" w:eastAsia="宋体" w:cs="宋体"/>
                <w:bCs/>
                <w:kern w:val="2"/>
                <w:sz w:val="24"/>
              </w:rPr>
            </w:pPr>
            <w:r>
              <w:rPr>
                <w:rFonts w:hint="eastAsia" w:ascii="宋体" w:hAnsi="宋体" w:eastAsia="宋体" w:cs="宋体"/>
                <w:bCs/>
                <w:kern w:val="2"/>
                <w:sz w:val="24"/>
              </w:rPr>
              <w:t>小学语文作业设计</w:t>
            </w:r>
          </w:p>
        </w:tc>
        <w:tc>
          <w:tcPr>
            <w:tcW w:w="3820" w:type="dxa"/>
            <w:tcBorders>
              <w:tl2br w:val="nil"/>
              <w:tr2bl w:val="nil"/>
            </w:tcBorders>
            <w:vAlign w:val="center"/>
          </w:tcPr>
          <w:p>
            <w:pPr>
              <w:spacing w:line="460" w:lineRule="exact"/>
              <w:ind w:firstLine="480" w:firstLineChars="200"/>
              <w:jc w:val="center"/>
              <w:rPr>
                <w:rFonts w:ascii="宋体" w:hAnsi="宋体" w:eastAsia="宋体" w:cs="宋体"/>
                <w:bCs/>
                <w:kern w:val="2"/>
                <w:sz w:val="24"/>
              </w:rPr>
            </w:pPr>
            <w:r>
              <w:rPr>
                <w:rFonts w:ascii="宋体" w:hAnsi="宋体" w:eastAsia="宋体" w:cs="宋体"/>
                <w:bCs/>
                <w:kern w:val="2"/>
                <w:sz w:val="24"/>
              </w:rPr>
              <w:t>2153</w:t>
            </w:r>
          </w:p>
        </w:tc>
        <w:tc>
          <w:tcPr>
            <w:tcW w:w="2841" w:type="dxa"/>
            <w:tcBorders>
              <w:tl2br w:val="nil"/>
              <w:tr2bl w:val="nil"/>
            </w:tcBorders>
            <w:vAlign w:val="center"/>
          </w:tcPr>
          <w:p>
            <w:pPr>
              <w:spacing w:line="460" w:lineRule="exact"/>
              <w:ind w:firstLine="480" w:firstLineChars="200"/>
              <w:jc w:val="center"/>
              <w:rPr>
                <w:rFonts w:ascii="宋体" w:hAnsi="宋体" w:eastAsia="宋体" w:cs="宋体"/>
                <w:bCs/>
                <w:kern w:val="2"/>
                <w:sz w:val="24"/>
              </w:rPr>
            </w:pPr>
            <w:r>
              <w:rPr>
                <w:rFonts w:ascii="宋体" w:hAnsi="宋体" w:eastAsia="宋体" w:cs="宋体"/>
                <w:bCs/>
                <w:kern w:val="2"/>
                <w:sz w:val="24"/>
              </w:rPr>
              <w:t>188</w:t>
            </w:r>
          </w:p>
        </w:tc>
      </w:tr>
      <w:tr>
        <w:tblPrEx>
          <w:tblBorders>
            <w:top w:val="single" w:color="2E75B5" w:themeColor="accent5" w:themeShade="BF" w:sz="12" w:space="0"/>
            <w:left w:val="single" w:color="2E75B5" w:themeColor="accent5" w:themeShade="BF" w:sz="12" w:space="0"/>
            <w:bottom w:val="single" w:color="2E75B5" w:themeColor="accent5" w:themeShade="BF" w:sz="12" w:space="0"/>
            <w:right w:val="single" w:color="2E75B5" w:themeColor="accent5" w:themeShade="BF" w:sz="12" w:space="0"/>
            <w:insideH w:val="single" w:color="2E75B5" w:themeColor="accent5" w:themeShade="BF" w:sz="12" w:space="0"/>
            <w:insideV w:val="single" w:color="2E75B5" w:themeColor="accent5" w:themeShade="BF" w:sz="12"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spacing w:line="460" w:lineRule="exact"/>
              <w:rPr>
                <w:rFonts w:ascii="宋体" w:hAnsi="宋体" w:eastAsia="宋体" w:cs="宋体"/>
                <w:bCs/>
                <w:kern w:val="2"/>
                <w:sz w:val="24"/>
              </w:rPr>
            </w:pPr>
            <w:r>
              <w:rPr>
                <w:rFonts w:hint="eastAsia" w:ascii="宋体" w:hAnsi="宋体" w:eastAsia="宋体" w:cs="宋体"/>
                <w:bCs/>
                <w:kern w:val="2"/>
                <w:sz w:val="24"/>
              </w:rPr>
              <w:t>小学语文中段写作</w:t>
            </w:r>
          </w:p>
        </w:tc>
        <w:tc>
          <w:tcPr>
            <w:tcW w:w="3820" w:type="dxa"/>
            <w:tcBorders>
              <w:tl2br w:val="nil"/>
              <w:tr2bl w:val="nil"/>
            </w:tcBorders>
            <w:vAlign w:val="center"/>
          </w:tcPr>
          <w:p>
            <w:pPr>
              <w:spacing w:line="460" w:lineRule="exact"/>
              <w:ind w:firstLine="480" w:firstLineChars="200"/>
              <w:jc w:val="center"/>
              <w:rPr>
                <w:rFonts w:ascii="宋体" w:hAnsi="宋体" w:eastAsia="宋体" w:cs="宋体"/>
                <w:bCs/>
                <w:kern w:val="2"/>
                <w:sz w:val="24"/>
              </w:rPr>
            </w:pPr>
            <w:r>
              <w:rPr>
                <w:rFonts w:hint="eastAsia" w:ascii="宋体" w:hAnsi="宋体" w:eastAsia="宋体" w:cs="宋体"/>
                <w:bCs/>
                <w:kern w:val="2"/>
                <w:sz w:val="24"/>
              </w:rPr>
              <w:t>5</w:t>
            </w:r>
            <w:r>
              <w:rPr>
                <w:rFonts w:ascii="宋体" w:hAnsi="宋体" w:eastAsia="宋体" w:cs="宋体"/>
                <w:bCs/>
                <w:kern w:val="2"/>
                <w:sz w:val="24"/>
              </w:rPr>
              <w:t>4</w:t>
            </w:r>
          </w:p>
        </w:tc>
        <w:tc>
          <w:tcPr>
            <w:tcW w:w="2841" w:type="dxa"/>
            <w:tcBorders>
              <w:tl2br w:val="nil"/>
              <w:tr2bl w:val="nil"/>
            </w:tcBorders>
            <w:vAlign w:val="center"/>
          </w:tcPr>
          <w:p>
            <w:pPr>
              <w:spacing w:line="460" w:lineRule="exact"/>
              <w:ind w:firstLine="480" w:firstLineChars="200"/>
              <w:jc w:val="center"/>
              <w:rPr>
                <w:rFonts w:ascii="宋体" w:hAnsi="宋体" w:eastAsia="宋体" w:cs="宋体"/>
                <w:bCs/>
                <w:kern w:val="2"/>
                <w:sz w:val="24"/>
              </w:rPr>
            </w:pPr>
            <w:r>
              <w:rPr>
                <w:rFonts w:hint="eastAsia" w:ascii="宋体" w:hAnsi="宋体" w:eastAsia="宋体" w:cs="宋体"/>
                <w:bCs/>
                <w:kern w:val="2"/>
                <w:sz w:val="24"/>
              </w:rPr>
              <w:t>3</w:t>
            </w:r>
          </w:p>
        </w:tc>
      </w:tr>
    </w:tbl>
    <w:p>
      <w:pPr>
        <w:numPr>
          <w:ilvl w:val="0"/>
          <w:numId w:val="2"/>
        </w:numPr>
        <w:spacing w:line="460" w:lineRule="exact"/>
        <w:rPr>
          <w:rFonts w:ascii="宋体" w:hAnsi="宋体" w:eastAsia="宋体" w:cs="宋体"/>
          <w:bCs/>
          <w:sz w:val="24"/>
        </w:rPr>
      </w:pPr>
      <w:r>
        <w:rPr>
          <w:rFonts w:hint="eastAsia" w:ascii="宋体" w:hAnsi="宋体" w:eastAsia="宋体" w:cs="宋体"/>
          <w:bCs/>
          <w:sz w:val="24"/>
        </w:rPr>
        <w:t>文献分析</w:t>
      </w:r>
    </w:p>
    <w:p>
      <w:pPr>
        <w:spacing w:line="460" w:lineRule="exact"/>
        <w:rPr>
          <w:rFonts w:ascii="宋体" w:hAnsi="宋体" w:eastAsia="宋体" w:cs="宋体"/>
          <w:bCs/>
          <w:sz w:val="24"/>
        </w:rPr>
      </w:pPr>
      <w:r>
        <w:rPr>
          <w:rFonts w:hint="eastAsia" w:ascii="宋体" w:hAnsi="宋体" w:eastAsia="宋体" w:cs="宋体"/>
          <w:bCs/>
          <w:sz w:val="24"/>
        </w:rPr>
        <w:t>（1）关于小学语文写话作业的文献研究　</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首先，大多数学者都认为写话是习作的基础，但受课程标准的影响，对于写话的研究主要是针对小学低年级学生进行的；其次，许多学者发现了写话教学中存在的问题，并分析了其中的原因，还提出了相应的解决策略，但是这些都是较为宏观的观点，没有具体的实施方案；最后，大多数研究成果都是从写话教学策略展开的，对于写话作业设计的研究几乎没有甚至是空白。</w:t>
      </w:r>
    </w:p>
    <w:p>
      <w:pPr>
        <w:spacing w:line="460" w:lineRule="exact"/>
        <w:rPr>
          <w:rFonts w:ascii="宋体" w:hAnsi="宋体" w:eastAsia="宋体" w:cs="宋体"/>
          <w:bCs/>
          <w:sz w:val="24"/>
        </w:rPr>
      </w:pPr>
      <w:r>
        <w:rPr>
          <w:rFonts w:hint="eastAsia" w:ascii="宋体" w:hAnsi="宋体" w:eastAsia="宋体" w:cs="宋体"/>
          <w:bCs/>
          <w:sz w:val="24"/>
        </w:rPr>
        <w:t>（2）关于小学语文写话教学的文献研究</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首先是关于写话教学形式的研究。孙健龙等人提出具体的写话教学形式，李吉林提出写话的训练方式力求多样。闫淑玲提出了以“记录”为主、简短应用文的传达为路径的写话教学形式。</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其次是关于写话教学资源的研究。资源主要包括教材、绘本和周围事物这三个方面。一是以教材为写话教学资源的研究。寻找读写结合的切入点，并采用多种形式引导学生进行写话练习或是借助课文情节续编故事，巧用课文插图引导想象说话来优化写话训练。二是以绘本为写话教学资源的研究，比如创编情节、补白图画、仿写句子、写绘故事情节等有效策略。三是以周围事物为写话教学资源的研究。陈瑾提出通过观察周围景色、观察身边人物、亲身体验活动走进生活并丰富题材。李吉林提出，教师考虑儿童写话内容时应首先关注儿童的生活。“写想象中的事物”要从儿童的生活出发，从他们亲身经历的周围事物中获得表象，在热烈的情绪以及启发下促成其组合成新的形象。</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再次是关于写话教学评价内容和方法的研究。王俭提出要从五个层面去评价学生的写话。黄巧妍、赵宁宁、李珍华提出从观察、联想和想象以及思维能力，审题立意和选材、布局谋篇、语言表达以及自评自改的能力两方面来进行评价。随后黄巧妍，赵宁宁，霍韵斯又在此基础上提出了新的看图写话测评标准，以“审题立意选材”为重点，突破低年级学生在“布局谋篇”和“语言表达”上的习作难点。朱洁提出改进书面评价模式，采用即时评价等方式。陈佳提出作文档案袋的评价方法，其中包括作文台、展示库及评价包这三个必备项目。</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 xml:space="preserve">最后是关于写话教学评价主体的研究。韦林枫提出要注重评价主体的多元化，具体包括：自我评价、相互评价、集体评价以及家长评价。刘瑶也提出了利用多元主体评价，激发学生参与评价的兴趣，具体包括：师生共评、生生互评以及家长评价。 </w:t>
      </w:r>
    </w:p>
    <w:p>
      <w:pPr>
        <w:spacing w:line="460" w:lineRule="exact"/>
        <w:rPr>
          <w:rFonts w:ascii="宋体" w:hAnsi="宋体" w:eastAsia="宋体" w:cs="宋体"/>
          <w:bCs/>
          <w:sz w:val="24"/>
        </w:rPr>
      </w:pPr>
      <w:r>
        <w:rPr>
          <w:rFonts w:hint="eastAsia" w:ascii="宋体" w:hAnsi="宋体" w:eastAsia="宋体" w:cs="宋体"/>
          <w:bCs/>
          <w:sz w:val="24"/>
        </w:rPr>
        <w:t>（</w:t>
      </w:r>
      <w:r>
        <w:rPr>
          <w:rFonts w:ascii="宋体" w:hAnsi="宋体" w:eastAsia="宋体" w:cs="宋体"/>
          <w:bCs/>
          <w:sz w:val="24"/>
        </w:rPr>
        <w:t>3</w:t>
      </w:r>
      <w:r>
        <w:rPr>
          <w:rFonts w:hint="eastAsia" w:ascii="宋体" w:hAnsi="宋体" w:eastAsia="宋体" w:cs="宋体"/>
          <w:bCs/>
          <w:sz w:val="24"/>
        </w:rPr>
        <w:t>）关于小学语文作业设计的文献研究</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作为教学五环节中的重要一环，作业的设计一直是国内教育领域关心的问题。纵观现有文献，国内学者对小学语文作业设计做了比较多的研究，根据其研究的注重点不同，大体集中在两方面：一方面，大部分研究者都认为当前的作业设计是与新课程改革前进的步伐不符合的，存在着许多问题。另一方面，许多一线教师结合自身的教学经验，对作业设计中的某一方面进行了具体论述。</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首先是小学语文作业设计中遇到的问题。一些一线教师认为当前小学语文作业的问题有：作业中思维成分太少，缺乏与各学科的密切联系，无意义作业太多。谷秀琴提到当前作业设计存在的问题：单科作业量适中，但作业总量较大；作业类型单一，以书面作业为主；统一布置，忽视学生的个体差异；评价以教师为主导，方式陈旧。</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其次，国内学者也一直致力于研究如何提高作业的质量，如何在作业设计中关注学生的需求。余瑞清在</w:t>
      </w:r>
      <w:r>
        <w:rPr>
          <w:rFonts w:ascii="宋体" w:hAnsi="宋体" w:eastAsia="宋体" w:cs="宋体"/>
          <w:bCs/>
          <w:sz w:val="24"/>
        </w:rPr>
        <w:t>谈到作业设计的具体策略为</w:t>
      </w:r>
      <w:r>
        <w:rPr>
          <w:rFonts w:hint="eastAsia" w:ascii="宋体" w:hAnsi="宋体" w:eastAsia="宋体" w:cs="宋体"/>
          <w:bCs/>
          <w:sz w:val="24"/>
        </w:rPr>
        <w:t>：第一，</w:t>
      </w:r>
      <w:r>
        <w:rPr>
          <w:rFonts w:ascii="宋体" w:hAnsi="宋体" w:eastAsia="宋体" w:cs="宋体"/>
          <w:bCs/>
          <w:sz w:val="24"/>
        </w:rPr>
        <w:t>作业设计要有趣味性，要能够激</w:t>
      </w:r>
      <w:r>
        <w:rPr>
          <w:rFonts w:hint="eastAsia" w:ascii="宋体" w:hAnsi="宋体" w:eastAsia="宋体" w:cs="宋体"/>
          <w:bCs/>
          <w:sz w:val="24"/>
        </w:rPr>
        <w:t>发学生学习兴趣。第二，</w:t>
      </w:r>
      <w:r>
        <w:rPr>
          <w:rFonts w:ascii="宋体" w:hAnsi="宋体" w:eastAsia="宋体" w:cs="宋体"/>
          <w:bCs/>
          <w:sz w:val="24"/>
        </w:rPr>
        <w:t>作业设计要注重学生综合能力的培养。</w:t>
      </w:r>
      <w:r>
        <w:rPr>
          <w:rFonts w:hint="eastAsia" w:ascii="宋体" w:hAnsi="宋体" w:eastAsia="宋体" w:cs="宋体"/>
          <w:bCs/>
          <w:sz w:val="24"/>
        </w:rPr>
        <w:t>第三，</w:t>
      </w:r>
      <w:r>
        <w:rPr>
          <w:rFonts w:ascii="宋体" w:hAnsi="宋体" w:eastAsia="宋体" w:cs="宋体"/>
          <w:bCs/>
          <w:sz w:val="24"/>
        </w:rPr>
        <w:t>注重培养学生的</w:t>
      </w:r>
      <w:r>
        <w:rPr>
          <w:rFonts w:hint="eastAsia" w:ascii="宋体" w:hAnsi="宋体" w:eastAsia="宋体" w:cs="宋体"/>
          <w:bCs/>
          <w:sz w:val="24"/>
        </w:rPr>
        <w:t>实践性学习能力。孙莹莹强调要注意的是作业视角和广度生活化，让学生找“活水”——设计回归生活的作业、设计自主开放性的作业、设计具有合作性的作业；作业设计要捕捉到生活中的小学语文资源素材，留心生活中发生的重大事件，关注生活中出现的喜怒哀乐。</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再次，小学语文作业的形式也应多种多样。王翠清提到作业设计应可写、可读、可看、可操作、可玩耍，要充分发挥学生的主动性和创造性，让听、说、读、写与演、唱、画、做等多种形式相结合，让学生既动脑又动手。</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最后，吴杨芬强调</w:t>
      </w:r>
      <w:r>
        <w:rPr>
          <w:rFonts w:ascii="宋体" w:hAnsi="宋体" w:eastAsia="宋体" w:cs="宋体"/>
          <w:bCs/>
          <w:sz w:val="24"/>
        </w:rPr>
        <w:t>评价</w:t>
      </w:r>
      <w:r>
        <w:rPr>
          <w:rFonts w:hint="eastAsia" w:ascii="宋体" w:hAnsi="宋体" w:eastAsia="宋体" w:cs="宋体"/>
          <w:bCs/>
          <w:sz w:val="24"/>
        </w:rPr>
        <w:t>的目的不是为了检查、甄别和选拔</w:t>
      </w:r>
      <w:r>
        <w:rPr>
          <w:rFonts w:ascii="宋体" w:hAnsi="宋体" w:eastAsia="宋体" w:cs="宋体"/>
          <w:bCs/>
          <w:sz w:val="24"/>
        </w:rPr>
        <w:t>, 而是在于如何通过评价来促使被评价者改</w:t>
      </w:r>
      <w:r>
        <w:rPr>
          <w:rFonts w:hint="eastAsia" w:ascii="宋体" w:hAnsi="宋体" w:eastAsia="宋体" w:cs="宋体"/>
          <w:bCs/>
          <w:sz w:val="24"/>
        </w:rPr>
        <w:t>进</w:t>
      </w:r>
      <w:r>
        <w:rPr>
          <w:rFonts w:ascii="宋体" w:hAnsi="宋体" w:eastAsia="宋体" w:cs="宋体"/>
          <w:bCs/>
          <w:sz w:val="24"/>
        </w:rPr>
        <w:t>, 促进其发展。同时提出了通过多元评价来促进学生多层发展：一是要激励</w:t>
      </w:r>
      <w:r>
        <w:rPr>
          <w:rFonts w:hint="eastAsia" w:ascii="宋体" w:hAnsi="宋体" w:eastAsia="宋体" w:cs="宋体"/>
          <w:bCs/>
          <w:sz w:val="24"/>
        </w:rPr>
        <w:t>评价，寻找两点；二是过程评价，着眼发展；三是多向评价共同参与。</w:t>
      </w:r>
    </w:p>
    <w:p>
      <w:pPr>
        <w:spacing w:line="460" w:lineRule="exact"/>
        <w:rPr>
          <w:rFonts w:ascii="宋体" w:hAnsi="宋体" w:eastAsia="宋体" w:cs="宋体"/>
          <w:bCs/>
          <w:sz w:val="24"/>
        </w:rPr>
      </w:pPr>
      <w:r>
        <w:rPr>
          <w:rFonts w:hint="eastAsia" w:ascii="宋体" w:hAnsi="宋体" w:eastAsia="宋体" w:cs="宋体"/>
          <w:bCs/>
          <w:sz w:val="24"/>
        </w:rPr>
        <w:t>（</w:t>
      </w:r>
      <w:r>
        <w:rPr>
          <w:rFonts w:ascii="宋体" w:hAnsi="宋体" w:eastAsia="宋体" w:cs="宋体"/>
          <w:bCs/>
          <w:sz w:val="24"/>
        </w:rPr>
        <w:t>4</w:t>
      </w:r>
      <w:r>
        <w:rPr>
          <w:rFonts w:hint="eastAsia" w:ascii="宋体" w:hAnsi="宋体" w:eastAsia="宋体" w:cs="宋体"/>
          <w:bCs/>
          <w:sz w:val="24"/>
        </w:rPr>
        <w:t>）关于小学语文中段写作的文献研究</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 xml:space="preserve">国内对小学语文写作教学的研究，可以从大量的实践教学探索和理论思考论著两个方面来衡量。随着小学语文写作教学研究的繁荣，各种写作教学流派也纷纷问世，如李吉林老师提出的“情境作文”、广东省普遍采用的“五步教学法”等等，不同地区的教学流派异彩纷呈，为写作教学注入了新鲜的活力。 </w:t>
      </w:r>
      <w:r>
        <w:rPr>
          <w:rFonts w:ascii="宋体" w:hAnsi="宋体" w:eastAsia="宋体" w:cs="宋体"/>
          <w:bCs/>
          <w:sz w:val="24"/>
        </w:rPr>
        <w:t xml:space="preserve">  </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还有的语文教育研究者从尊重学生的主体地位，注重学生在写作中的个人体验出发，提出体验式作文教学的理念。</w:t>
      </w:r>
    </w:p>
    <w:p>
      <w:pPr>
        <w:spacing w:line="460" w:lineRule="exact"/>
        <w:ind w:firstLine="480" w:firstLineChars="200"/>
        <w:rPr>
          <w:rFonts w:ascii="宋体" w:hAnsi="宋体" w:eastAsia="宋体" w:cs="宋体"/>
          <w:bCs/>
          <w:sz w:val="24"/>
        </w:rPr>
      </w:pPr>
      <w:r>
        <w:rPr>
          <w:rFonts w:hint="eastAsia" w:ascii="宋体" w:hAnsi="宋体" w:eastAsia="宋体" w:cs="宋体"/>
          <w:bCs/>
          <w:sz w:val="24"/>
        </w:rPr>
        <w:t>从以上分析我们可以看到，诸多学者对我国小学作文研究进行了深入的探讨，从诸多方面对我国小学语文作文质量水平的提高进行了有益的尝试，这些都构成了小学写作教学研究的既有基础，成为我们进一步进行探索与分析的前提。</w:t>
      </w:r>
    </w:p>
    <w:p>
      <w:pPr>
        <w:spacing w:line="460" w:lineRule="exact"/>
        <w:rPr>
          <w:rFonts w:ascii="宋体" w:hAnsi="宋体" w:eastAsia="宋体" w:cs="宋体"/>
          <w:bCs/>
          <w:sz w:val="24"/>
        </w:rPr>
      </w:pPr>
      <w:r>
        <w:rPr>
          <w:rFonts w:hint="eastAsia" w:ascii="宋体" w:hAnsi="宋体" w:eastAsia="宋体" w:cs="宋体"/>
          <w:bCs/>
          <w:sz w:val="24"/>
        </w:rPr>
        <w:t>（4）总结提炼</w:t>
      </w:r>
    </w:p>
    <w:p>
      <w:pPr>
        <w:tabs>
          <w:tab w:val="left" w:pos="312"/>
        </w:tabs>
        <w:spacing w:line="460" w:lineRule="exact"/>
        <w:ind w:firstLine="480" w:firstLineChars="200"/>
        <w:rPr>
          <w:rFonts w:ascii="宋体" w:hAnsi="宋体" w:eastAsia="宋体" w:cs="宋体"/>
          <w:bCs/>
          <w:sz w:val="24"/>
        </w:rPr>
      </w:pPr>
      <w:r>
        <w:rPr>
          <w:rFonts w:hint="eastAsia" w:ascii="宋体" w:hAnsi="宋体" w:eastAsia="宋体" w:cs="宋体"/>
          <w:bCs/>
          <w:sz w:val="24"/>
        </w:rPr>
        <w:t>“写话”阶段的三项要求设计的意图是“把说话和写话作为习作训练的起点，从口语入手，以口语带动书面语言的训练。这样可以培养学生写话的兴趣和乐于写的习惯，鼓励学生自由的表达，减轻学生对习作的思想负担和心理压力，也符合儿童语言发展的规律”。</w:t>
      </w:r>
    </w:p>
    <w:p>
      <w:pPr>
        <w:tabs>
          <w:tab w:val="left" w:pos="312"/>
        </w:tabs>
        <w:spacing w:line="460" w:lineRule="exact"/>
        <w:ind w:firstLine="480" w:firstLineChars="200"/>
        <w:rPr>
          <w:rFonts w:ascii="宋体" w:hAnsi="宋体" w:eastAsia="宋体" w:cs="宋体"/>
          <w:bCs/>
          <w:sz w:val="24"/>
        </w:rPr>
      </w:pPr>
      <w:r>
        <w:rPr>
          <w:rFonts w:hint="eastAsia" w:ascii="宋体" w:hAnsi="宋体" w:eastAsia="宋体" w:cs="宋体"/>
          <w:bCs/>
          <w:sz w:val="24"/>
        </w:rPr>
        <w:t>中段语文写话作业设计的目的则是在“双减”政策下，促进减负增效的落实。如果将一篇完整的习作看作一条紧实的绳索，而每一次的写话作业则是一根根丝带，教师通过系统化、程序化的设计将这些丝带扭结在一起，帮助学生减轻每一次习作的负担，还能够从多方面积累素材，在一次次常态化的练习中不断提高自己的语文素养。从低年级的写话过渡到初步的习作，转换教学目标、教学内容和教学方法的衔接，坚持先说后写、说写结合的原则，适当安排训练的梯度。设计多层次、有弹性、学生可以充分选择的习作训练，组织学生进行语言实践活动。增强学生对于习作的自信心，鼓励学生自由表达，关注书面表达的规范，养成良好的作文修改习惯，体会实用文在社会生活中的使用价值及意义。</w:t>
      </w:r>
    </w:p>
    <w:p>
      <w:pPr>
        <w:spacing w:line="460" w:lineRule="exact"/>
        <w:ind w:firstLine="480" w:firstLineChars="200"/>
        <w:rPr>
          <w:rFonts w:ascii="宋体" w:hAnsi="宋体" w:eastAsia="宋体" w:cs="宋体"/>
          <w:bCs/>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3D3E1"/>
    <w:multiLevelType w:val="singleLevel"/>
    <w:tmpl w:val="9003D3E1"/>
    <w:lvl w:ilvl="0" w:tentative="0">
      <w:start w:val="1"/>
      <w:numFmt w:val="chineseCounting"/>
      <w:suff w:val="nothing"/>
      <w:lvlText w:val="（%1）"/>
      <w:lvlJc w:val="left"/>
      <w:rPr>
        <w:rFonts w:hint="eastAsia"/>
      </w:rPr>
    </w:lvl>
  </w:abstractNum>
  <w:abstractNum w:abstractNumId="1">
    <w:nsid w:val="5954D020"/>
    <w:multiLevelType w:val="singleLevel"/>
    <w:tmpl w:val="5954D02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91750C"/>
    <w:rsid w:val="000577C5"/>
    <w:rsid w:val="00072531"/>
    <w:rsid w:val="00077F52"/>
    <w:rsid w:val="0009343C"/>
    <w:rsid w:val="00097225"/>
    <w:rsid w:val="000B1561"/>
    <w:rsid w:val="00145E8E"/>
    <w:rsid w:val="00171650"/>
    <w:rsid w:val="001C1C28"/>
    <w:rsid w:val="001E1AD7"/>
    <w:rsid w:val="002147C8"/>
    <w:rsid w:val="002C4002"/>
    <w:rsid w:val="002E2E53"/>
    <w:rsid w:val="002F2877"/>
    <w:rsid w:val="003068BF"/>
    <w:rsid w:val="003738DA"/>
    <w:rsid w:val="003B0324"/>
    <w:rsid w:val="003C7DEB"/>
    <w:rsid w:val="004678F3"/>
    <w:rsid w:val="004717FB"/>
    <w:rsid w:val="004D6B42"/>
    <w:rsid w:val="00525E26"/>
    <w:rsid w:val="00537B57"/>
    <w:rsid w:val="006451C8"/>
    <w:rsid w:val="006705CD"/>
    <w:rsid w:val="006845B6"/>
    <w:rsid w:val="006C34DE"/>
    <w:rsid w:val="007A5654"/>
    <w:rsid w:val="007D388A"/>
    <w:rsid w:val="00827CE8"/>
    <w:rsid w:val="00877B93"/>
    <w:rsid w:val="008B43B5"/>
    <w:rsid w:val="0091750C"/>
    <w:rsid w:val="0092158E"/>
    <w:rsid w:val="00971350"/>
    <w:rsid w:val="009E3F86"/>
    <w:rsid w:val="009F021E"/>
    <w:rsid w:val="00A23130"/>
    <w:rsid w:val="00A24320"/>
    <w:rsid w:val="00A32C05"/>
    <w:rsid w:val="00AB7138"/>
    <w:rsid w:val="00AF7AF9"/>
    <w:rsid w:val="00B53FDD"/>
    <w:rsid w:val="00B94BC0"/>
    <w:rsid w:val="00B95B48"/>
    <w:rsid w:val="00BA631A"/>
    <w:rsid w:val="00C55914"/>
    <w:rsid w:val="00C6646A"/>
    <w:rsid w:val="00C7558C"/>
    <w:rsid w:val="00C96F63"/>
    <w:rsid w:val="00CB7884"/>
    <w:rsid w:val="00D11784"/>
    <w:rsid w:val="00D87090"/>
    <w:rsid w:val="00DA098A"/>
    <w:rsid w:val="00DB2D4E"/>
    <w:rsid w:val="00DE1262"/>
    <w:rsid w:val="00E058CF"/>
    <w:rsid w:val="00E50172"/>
    <w:rsid w:val="00F071F6"/>
    <w:rsid w:val="00F30400"/>
    <w:rsid w:val="00F72872"/>
    <w:rsid w:val="00FA3015"/>
    <w:rsid w:val="00FC6171"/>
    <w:rsid w:val="00FF1636"/>
    <w:rsid w:val="3CB9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1410</Words>
  <Characters>8038</Characters>
  <Lines>66</Lines>
  <Paragraphs>18</Paragraphs>
  <TotalTime>460</TotalTime>
  <ScaleCrop>false</ScaleCrop>
  <LinksUpToDate>false</LinksUpToDate>
  <CharactersWithSpaces>9430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2022-08-01T12:42:00Z</dcterms:created>
  <dc:creator>胡 田</dc:creator>
  <cp:lastModifiedBy>sl</cp:lastModifiedBy>
  <dcterms:modified xsi:type="dcterms:W3CDTF">2022-11-22T03:16:15Z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C29B6312593C4659A624AF4B96243F76</vt:lpwstr>
  </property>
</Properties>
</file>