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ascii="方正公文小标宋" w:hAnsi="方正公文小标宋" w:eastAsia="方正公文小标宋" w:cs="方正公文小标宋"/>
          <w:b w:val="0"/>
          <w:sz w:val="36"/>
          <w:szCs w:val="36"/>
        </w:rPr>
      </w:pPr>
      <w:r>
        <w:rPr>
          <w:rFonts w:hint="eastAsia" w:ascii="方正公文小标宋" w:hAnsi="方正公文小标宋" w:eastAsia="方正公文小标宋" w:cs="方正公文小标宋"/>
          <w:b w:val="0"/>
          <w:sz w:val="36"/>
          <w:szCs w:val="36"/>
          <w:lang w:val="zh-TW" w:eastAsia="zh-TW"/>
        </w:rPr>
        <w:t>溧阳市教师发展中心</w:t>
      </w:r>
      <w:r>
        <w:rPr>
          <w:rFonts w:hint="eastAsia" w:ascii="方正公文小标宋" w:hAnsi="方正公文小标宋" w:eastAsia="方正公文小标宋" w:cs="方正公文小标宋"/>
          <w:b w:val="0"/>
          <w:sz w:val="36"/>
          <w:szCs w:val="36"/>
        </w:rPr>
        <w:t>2021—2022</w:t>
      </w:r>
      <w:r>
        <w:rPr>
          <w:rFonts w:hint="eastAsia" w:ascii="方正公文小标宋" w:hAnsi="方正公文小标宋" w:eastAsia="方正公文小标宋" w:cs="方正公文小标宋"/>
          <w:b w:val="0"/>
          <w:sz w:val="36"/>
          <w:szCs w:val="36"/>
          <w:lang w:val="zh-TW" w:eastAsia="zh-TW"/>
        </w:rPr>
        <w:t>学年度第一学期</w:t>
      </w:r>
    </w:p>
    <w:p>
      <w:pPr>
        <w:pStyle w:val="2"/>
        <w:keepNext/>
        <w:keepLines/>
        <w:pageBreakBefore w:val="0"/>
        <w:widowControl w:val="0"/>
        <w:kinsoku/>
        <w:wordWrap/>
        <w:overflowPunct/>
        <w:topLinePunct w:val="0"/>
        <w:autoSpaceDE/>
        <w:autoSpaceDN/>
        <w:bidi w:val="0"/>
        <w:adjustRightInd/>
        <w:snapToGrid/>
        <w:spacing w:before="0" w:after="0" w:line="240" w:lineRule="auto"/>
        <w:jc w:val="center"/>
        <w:textAlignment w:val="auto"/>
        <w:rPr>
          <w:rFonts w:hint="default" w:ascii="Songti SC" w:hAnsi="Songti SC" w:eastAsia="Songti SC" w:cs="宋体"/>
          <w:b w:val="0"/>
          <w:sz w:val="36"/>
          <w:szCs w:val="36"/>
          <w:lang w:val="zh-TW" w:eastAsia="zh-TW"/>
        </w:rPr>
      </w:pPr>
      <w:r>
        <w:rPr>
          <w:rFonts w:hint="eastAsia" w:ascii="方正公文小标宋" w:hAnsi="方正公文小标宋" w:eastAsia="方正公文小标宋" w:cs="方正公文小标宋"/>
          <w:b w:val="0"/>
          <w:sz w:val="36"/>
          <w:szCs w:val="36"/>
          <w:lang w:val="zh-TW" w:eastAsia="zh-TW"/>
        </w:rPr>
        <w:t>小学数学学科</w:t>
      </w:r>
      <w:r>
        <w:rPr>
          <w:rFonts w:hint="eastAsia" w:ascii="方正公文小标宋" w:hAnsi="方正公文小标宋" w:eastAsia="方正公文小标宋" w:cs="方正公文小标宋"/>
          <w:b w:val="0"/>
          <w:sz w:val="36"/>
          <w:szCs w:val="36"/>
          <w:lang w:val="en-US" w:eastAsia="zh-CN"/>
        </w:rPr>
        <w:t>研训</w:t>
      </w:r>
      <w:r>
        <w:rPr>
          <w:rFonts w:hint="eastAsia" w:ascii="方正公文小标宋" w:hAnsi="方正公文小标宋" w:eastAsia="方正公文小标宋" w:cs="方正公文小标宋"/>
          <w:b w:val="0"/>
          <w:sz w:val="36"/>
          <w:szCs w:val="36"/>
          <w:lang w:val="zh-TW" w:eastAsia="zh-TW"/>
        </w:rPr>
        <w:t>工作计划</w:t>
      </w:r>
    </w:p>
    <w:p>
      <w:pPr>
        <w:spacing w:line="560" w:lineRule="exact"/>
        <w:ind w:firstLine="482"/>
        <w:rPr>
          <w:rFonts w:ascii="黑体" w:hAnsi="黑体" w:eastAsia="黑体"/>
          <w:sz w:val="24"/>
          <w:szCs w:val="24"/>
          <w:lang w:val="zh-TW" w:eastAsia="zh-TW"/>
        </w:rPr>
      </w:pPr>
      <w:r>
        <w:rPr>
          <w:rFonts w:ascii="黑体" w:hAnsi="黑体" w:eastAsia="黑体"/>
          <w:bCs/>
          <w:sz w:val="24"/>
          <w:szCs w:val="24"/>
          <w:lang w:val="zh-TW" w:eastAsia="zh-TW"/>
        </w:rPr>
        <w:t>一、指导思想</w:t>
      </w:r>
    </w:p>
    <w:p>
      <w:pPr>
        <w:spacing w:line="560" w:lineRule="exact"/>
        <w:ind w:firstLine="482"/>
        <w:rPr>
          <w:rFonts w:ascii="仿宋_GB2312" w:hAnsi="仿宋_GB2312" w:eastAsia="仿宋_GB2312" w:cs="仿宋_GB2312"/>
          <w:sz w:val="24"/>
          <w:szCs w:val="24"/>
        </w:rPr>
      </w:pPr>
      <w:r>
        <w:rPr>
          <w:rFonts w:hint="eastAsia" w:ascii="仿宋_GB2312" w:hAnsi="仿宋_GB2312" w:eastAsia="仿宋_GB2312" w:cs="仿宋_GB2312"/>
          <w:sz w:val="24"/>
          <w:szCs w:val="24"/>
        </w:rPr>
        <w:t>2021年是学科“十四五”规划启动年，本学期，我们</w:t>
      </w:r>
      <w:r>
        <w:rPr>
          <w:rFonts w:ascii="仿宋_GB2312" w:hAnsi="仿宋_GB2312" w:eastAsia="仿宋_GB2312" w:cs="仿宋_GB2312"/>
          <w:sz w:val="24"/>
          <w:szCs w:val="24"/>
        </w:rPr>
        <w:t>将</w:t>
      </w:r>
      <w:r>
        <w:rPr>
          <w:rFonts w:hint="eastAsia" w:ascii="仿宋_GB2312" w:hAnsi="仿宋_GB2312" w:eastAsia="仿宋_GB2312" w:cs="仿宋_GB2312"/>
          <w:sz w:val="24"/>
          <w:szCs w:val="24"/>
        </w:rPr>
        <w:t>在教育局领导下，</w:t>
      </w:r>
      <w:r>
        <w:rPr>
          <w:rFonts w:ascii="仿宋_GB2312" w:hAnsi="仿宋_GB2312" w:eastAsia="仿宋_GB2312" w:cs="仿宋_GB2312"/>
          <w:sz w:val="24"/>
          <w:szCs w:val="24"/>
        </w:rPr>
        <w:t>根据溧阳市教师发展中心的工作意见和常州市小学数学教研工作计划，</w:t>
      </w:r>
      <w:r>
        <w:rPr>
          <w:rFonts w:hint="eastAsia" w:ascii="仿宋_GB2312" w:hAnsi="仿宋_GB2312" w:eastAsia="仿宋_GB2312" w:cs="仿宋_GB2312"/>
          <w:sz w:val="24"/>
          <w:szCs w:val="24"/>
        </w:rPr>
        <w:t>切实履行“</w:t>
      </w:r>
      <w:r>
        <w:rPr>
          <w:rFonts w:ascii="仿宋_GB2312" w:hAnsi="仿宋_GB2312" w:eastAsia="仿宋_GB2312" w:cs="仿宋_GB2312"/>
          <w:sz w:val="24"/>
          <w:szCs w:val="24"/>
        </w:rPr>
        <w:t>潜心研究、悉心指导、热情服务、规范管理</w:t>
      </w:r>
      <w:r>
        <w:rPr>
          <w:rFonts w:hint="eastAsia" w:ascii="仿宋_GB2312" w:hAnsi="仿宋_GB2312" w:eastAsia="仿宋_GB2312" w:cs="仿宋_GB2312"/>
          <w:sz w:val="24"/>
          <w:szCs w:val="24"/>
        </w:rPr>
        <w:t xml:space="preserve"> ”</w:t>
      </w:r>
      <w:r>
        <w:rPr>
          <w:rFonts w:ascii="仿宋_GB2312" w:hAnsi="仿宋_GB2312" w:eastAsia="仿宋_GB2312" w:cs="仿宋_GB2312"/>
          <w:sz w:val="24"/>
          <w:szCs w:val="24"/>
        </w:rPr>
        <w:t>的工作原则，围绕“创造适合每一个孩子的数学教育”这一学科建设特色目标，</w:t>
      </w:r>
      <w:r>
        <w:rPr>
          <w:rFonts w:hint="eastAsia" w:ascii="仿宋_GB2312" w:hAnsi="仿宋_GB2312" w:eastAsia="仿宋_GB2312" w:cs="仿宋_GB2312"/>
          <w:sz w:val="24"/>
          <w:szCs w:val="24"/>
        </w:rPr>
        <w:t>遵循“双减”措施，坚守教育常识，抓</w:t>
      </w:r>
      <w:r>
        <w:rPr>
          <w:rFonts w:ascii="仿宋_GB2312" w:hAnsi="仿宋_GB2312" w:eastAsia="仿宋_GB2312" w:cs="仿宋_GB2312"/>
          <w:sz w:val="24"/>
          <w:szCs w:val="24"/>
        </w:rPr>
        <w:t>常规教研，</w:t>
      </w:r>
      <w:r>
        <w:rPr>
          <w:rFonts w:hint="eastAsia" w:ascii="仿宋_GB2312" w:hAnsi="仿宋_GB2312" w:eastAsia="仿宋_GB2312" w:cs="仿宋_GB2312"/>
          <w:sz w:val="24"/>
          <w:szCs w:val="24"/>
        </w:rPr>
        <w:t>促</w:t>
      </w:r>
      <w:r>
        <w:rPr>
          <w:rFonts w:ascii="仿宋_GB2312" w:hAnsi="仿宋_GB2312" w:eastAsia="仿宋_GB2312" w:cs="仿宋_GB2312"/>
          <w:sz w:val="24"/>
          <w:szCs w:val="24"/>
        </w:rPr>
        <w:t>品牌教研</w:t>
      </w:r>
      <w:r>
        <w:rPr>
          <w:rFonts w:hint="eastAsia" w:ascii="仿宋_GB2312" w:hAnsi="仿宋_GB2312" w:eastAsia="仿宋_GB2312" w:cs="仿宋_GB2312"/>
          <w:sz w:val="24"/>
          <w:szCs w:val="24"/>
        </w:rPr>
        <w:t>，立</w:t>
      </w:r>
      <w:r>
        <w:rPr>
          <w:rFonts w:ascii="仿宋_GB2312" w:hAnsi="仿宋_GB2312" w:eastAsia="仿宋_GB2312" w:cs="仿宋_GB2312"/>
          <w:sz w:val="24"/>
          <w:szCs w:val="24"/>
        </w:rPr>
        <w:t>精品研究</w:t>
      </w:r>
      <w:r>
        <w:rPr>
          <w:rFonts w:hint="eastAsia" w:ascii="仿宋_GB2312" w:hAnsi="仿宋_GB2312" w:eastAsia="仿宋_GB2312" w:cs="仿宋_GB2312"/>
          <w:sz w:val="24"/>
          <w:szCs w:val="24"/>
        </w:rPr>
        <w:t>成</w:t>
      </w:r>
      <w:r>
        <w:rPr>
          <w:rFonts w:ascii="仿宋_GB2312" w:hAnsi="仿宋_GB2312" w:eastAsia="仿宋_GB2312" w:cs="仿宋_GB2312"/>
          <w:sz w:val="24"/>
          <w:szCs w:val="24"/>
        </w:rPr>
        <w:t>果，</w:t>
      </w:r>
      <w:r>
        <w:rPr>
          <w:rFonts w:hint="eastAsia" w:ascii="仿宋_GB2312" w:hAnsi="仿宋_GB2312" w:eastAsia="仿宋_GB2312" w:cs="仿宋_GB2312"/>
          <w:sz w:val="24"/>
          <w:szCs w:val="24"/>
        </w:rPr>
        <w:t>推优</w:t>
      </w:r>
      <w:r>
        <w:rPr>
          <w:rFonts w:ascii="仿宋_GB2312" w:hAnsi="仿宋_GB2312" w:eastAsia="仿宋_GB2312" w:cs="仿宋_GB2312"/>
          <w:sz w:val="24"/>
          <w:szCs w:val="24"/>
        </w:rPr>
        <w:t>质项目建设，</w:t>
      </w:r>
      <w:r>
        <w:rPr>
          <w:rFonts w:hint="eastAsia" w:ascii="仿宋_GB2312" w:hAnsi="仿宋_GB2312" w:eastAsia="仿宋_GB2312" w:cs="仿宋_GB2312"/>
          <w:sz w:val="24"/>
          <w:szCs w:val="24"/>
        </w:rPr>
        <w:t>不</w:t>
      </w:r>
      <w:r>
        <w:rPr>
          <w:rFonts w:ascii="仿宋_GB2312" w:hAnsi="仿宋_GB2312" w:eastAsia="仿宋_GB2312" w:cs="仿宋_GB2312"/>
          <w:sz w:val="24"/>
          <w:szCs w:val="24"/>
        </w:rPr>
        <w:t>断</w:t>
      </w:r>
      <w:r>
        <w:rPr>
          <w:rFonts w:hint="eastAsia" w:ascii="仿宋_GB2312" w:hAnsi="仿宋_GB2312" w:eastAsia="仿宋_GB2312" w:cs="仿宋_GB2312"/>
          <w:sz w:val="24"/>
          <w:szCs w:val="24"/>
        </w:rPr>
        <w:t>提高全</w:t>
      </w:r>
      <w:r>
        <w:rPr>
          <w:rFonts w:ascii="仿宋_GB2312" w:hAnsi="仿宋_GB2312" w:eastAsia="仿宋_GB2312" w:cs="仿宋_GB2312"/>
          <w:sz w:val="24"/>
          <w:szCs w:val="24"/>
        </w:rPr>
        <w:t>市各</w:t>
      </w:r>
      <w:r>
        <w:rPr>
          <w:rFonts w:hint="eastAsia" w:ascii="仿宋_GB2312" w:hAnsi="仿宋_GB2312" w:eastAsia="仿宋_GB2312" w:cs="仿宋_GB2312"/>
          <w:sz w:val="24"/>
          <w:szCs w:val="24"/>
        </w:rPr>
        <w:t>校学生学业质量均衡</w:t>
      </w:r>
      <w:r>
        <w:rPr>
          <w:rFonts w:ascii="仿宋_GB2312" w:hAnsi="仿宋_GB2312" w:eastAsia="仿宋_GB2312" w:cs="仿宋_GB2312"/>
          <w:sz w:val="24"/>
          <w:szCs w:val="24"/>
        </w:rPr>
        <w:t>发展</w:t>
      </w:r>
      <w:r>
        <w:rPr>
          <w:rFonts w:hint="eastAsia" w:ascii="仿宋_GB2312" w:hAnsi="仿宋_GB2312" w:eastAsia="仿宋_GB2312" w:cs="仿宋_GB2312"/>
          <w:sz w:val="24"/>
          <w:szCs w:val="24"/>
        </w:rPr>
        <w:t>，不断推进提升溧阳市小学数学课程实施水平。</w:t>
      </w:r>
    </w:p>
    <w:p>
      <w:pPr>
        <w:spacing w:line="560" w:lineRule="exact"/>
        <w:ind w:firstLine="482"/>
        <w:rPr>
          <w:rFonts w:ascii="黑体" w:hAnsi="黑体" w:eastAsia="黑体"/>
          <w:bCs/>
          <w:sz w:val="24"/>
          <w:szCs w:val="24"/>
          <w:lang w:val="zh-TW"/>
        </w:rPr>
      </w:pPr>
      <w:r>
        <w:rPr>
          <w:rFonts w:hint="eastAsia" w:ascii="黑体" w:hAnsi="黑体" w:eastAsia="黑体"/>
          <w:bCs/>
          <w:sz w:val="24"/>
          <w:szCs w:val="24"/>
          <w:lang w:val="zh-TW" w:eastAsia="zh-TW"/>
        </w:rPr>
        <w:t>二、主要</w:t>
      </w:r>
      <w:r>
        <w:rPr>
          <w:rFonts w:hint="eastAsia" w:ascii="黑体" w:hAnsi="黑体" w:eastAsia="黑体"/>
          <w:bCs/>
          <w:sz w:val="24"/>
          <w:szCs w:val="24"/>
          <w:lang w:val="zh-TW"/>
        </w:rPr>
        <w:t>工作</w:t>
      </w:r>
    </w:p>
    <w:p>
      <w:pPr>
        <w:spacing w:line="560" w:lineRule="exact"/>
        <w:ind w:firstLine="480"/>
        <w:rPr>
          <w:rFonts w:ascii="FangSong_GB2312" w:hAnsi="仿宋" w:eastAsia="FangSong_GB2312" w:cs="宋体"/>
          <w:b/>
          <w:kern w:val="0"/>
          <w:sz w:val="24"/>
          <w:szCs w:val="24"/>
        </w:rPr>
      </w:pPr>
      <w:r>
        <w:rPr>
          <w:rFonts w:hint="eastAsia" w:ascii="FangSong_GB2312" w:hAnsi="仿宋" w:eastAsia="FangSong_GB2312" w:cs="宋体"/>
          <w:b/>
          <w:kern w:val="0"/>
          <w:sz w:val="24"/>
          <w:szCs w:val="24"/>
        </w:rPr>
        <w:t>1. 以核心素养为导向，积极开展课程及教学研究</w:t>
      </w:r>
    </w:p>
    <w:p>
      <w:pPr>
        <w:spacing w:line="560" w:lineRule="exact"/>
        <w:ind w:firstLine="480" w:firstLineChars="200"/>
        <w:rPr>
          <w:rFonts w:ascii="FangSong_GB2312" w:hAnsi="仿宋_GB2312" w:eastAsia="FangSong_GB2312" w:cs="仿宋_GB2312"/>
          <w:sz w:val="24"/>
          <w:szCs w:val="24"/>
        </w:rPr>
      </w:pPr>
      <w:r>
        <w:rPr>
          <w:rFonts w:hint="eastAsia" w:ascii="FangSong_GB2312" w:hAnsi="仿宋_GB2312" w:eastAsia="FangSong_GB2312" w:cs="仿宋_GB2312"/>
          <w:sz w:val="24"/>
          <w:szCs w:val="24"/>
        </w:rPr>
        <w:t>新时代发展，尤其是高质量推进学科发展，需要进一步明确学科发展追求的时代内涵，进而丰富课程实施样态。</w:t>
      </w:r>
    </w:p>
    <w:p>
      <w:pPr>
        <w:spacing w:line="560" w:lineRule="exact"/>
        <w:ind w:firstLine="480" w:firstLineChars="200"/>
        <w:jc w:val="left"/>
        <w:rPr>
          <w:rFonts w:ascii="FangSong_GB2312" w:hAnsi="仿宋_GB2312" w:eastAsia="FangSong_GB2312" w:cs="仿宋_GB2312"/>
          <w:sz w:val="24"/>
          <w:szCs w:val="24"/>
        </w:rPr>
      </w:pPr>
      <w:r>
        <w:rPr>
          <w:rFonts w:hint="eastAsia" w:ascii="FangSong_GB2312" w:hAnsi="仿宋_GB2312" w:eastAsia="FangSong_GB2312" w:cs="仿宋_GB2312"/>
          <w:sz w:val="24"/>
          <w:szCs w:val="24"/>
        </w:rPr>
        <w:t>（1）基于《义务教育数学课程标准（2011年版）》落实学科育人。进一步深入学习课标基本理念与内容，指向十大核心概念，丰富学习方式，体现学科思维。特别关注“单元整体教学”在学科组研究中的比重，注重基于结构的核心内容的教学研究。</w:t>
      </w:r>
    </w:p>
    <w:p>
      <w:pPr>
        <w:spacing w:line="560" w:lineRule="exact"/>
        <w:ind w:firstLine="480" w:firstLineChars="200"/>
        <w:jc w:val="left"/>
        <w:rPr>
          <w:rFonts w:ascii="FangSong_GB2312" w:hAnsi="仿宋_GB2312" w:eastAsia="FangSong_GB2312" w:cs="仿宋_GB2312"/>
          <w:sz w:val="24"/>
          <w:szCs w:val="24"/>
        </w:rPr>
      </w:pPr>
      <w:r>
        <w:rPr>
          <w:rFonts w:hint="eastAsia" w:ascii="FangSong_GB2312" w:hAnsi="仿宋_GB2312" w:eastAsia="FangSong_GB2312" w:cs="仿宋_GB2312"/>
          <w:sz w:val="24"/>
          <w:szCs w:val="24"/>
        </w:rPr>
        <w:t xml:space="preserve">（2）认真学习《关于进一步减轻义务教育阶段学生作业负担和培训负担的意见》，有效落实“双减”。根据“双减”《意见》明确提出的减轻义务教育阶段学生作业负担的主要任务和重大举措，各校要健全作业管理机制，合理控制作业结构。 </w:t>
      </w:r>
    </w:p>
    <w:p>
      <w:pPr>
        <w:spacing w:line="560" w:lineRule="exact"/>
        <w:ind w:firstLine="482"/>
        <w:rPr>
          <w:rFonts w:ascii="FangSong_GB2312" w:hAnsi="仿宋_GB2312" w:eastAsia="FangSong_GB2312" w:cs="仿宋_GB2312"/>
          <w:sz w:val="24"/>
          <w:szCs w:val="24"/>
        </w:rPr>
      </w:pPr>
      <w:r>
        <w:rPr>
          <w:rFonts w:hint="eastAsia" w:ascii="FangSong_GB2312" w:hAnsi="仿宋_GB2312" w:eastAsia="FangSong_GB2312" w:cs="仿宋_GB2312"/>
          <w:sz w:val="24"/>
          <w:szCs w:val="24"/>
        </w:rPr>
        <w:t>（3）切实提高课堂教学质量。跳出固有的知识、技能教学范畴，鼓励教师大胆实践，形成多元项目研究，落实课堂实施实效，优化学习评价。</w:t>
      </w:r>
    </w:p>
    <w:p>
      <w:pPr>
        <w:spacing w:line="560" w:lineRule="exact"/>
        <w:ind w:firstLine="480"/>
        <w:jc w:val="left"/>
        <w:rPr>
          <w:rFonts w:ascii="FangSong_GB2312" w:hAnsi="仿宋" w:eastAsia="FangSong_GB2312" w:cs="宋体"/>
          <w:b/>
          <w:kern w:val="0"/>
          <w:sz w:val="24"/>
          <w:szCs w:val="24"/>
        </w:rPr>
      </w:pPr>
      <w:r>
        <w:rPr>
          <w:rFonts w:hint="eastAsia" w:ascii="FangSong_GB2312" w:hAnsi="仿宋" w:eastAsia="FangSong_GB2312" w:cs="宋体"/>
          <w:b/>
          <w:kern w:val="0"/>
          <w:sz w:val="24"/>
          <w:szCs w:val="24"/>
        </w:rPr>
        <w:t>2．以常规教研为抓手，全面提升课堂教学质量</w:t>
      </w:r>
    </w:p>
    <w:p>
      <w:pPr>
        <w:spacing w:line="560" w:lineRule="exact"/>
        <w:ind w:firstLine="482" w:firstLineChars="200"/>
        <w:jc w:val="left"/>
        <w:rPr>
          <w:rFonts w:ascii="FangSong_GB2312" w:eastAsia="FangSong_GB2312" w:hAnsiTheme="minorEastAsia"/>
          <w:b/>
          <w:bCs/>
          <w:sz w:val="24"/>
          <w:szCs w:val="24"/>
        </w:rPr>
      </w:pPr>
      <w:r>
        <w:rPr>
          <w:rFonts w:hint="eastAsia" w:ascii="FangSong_GB2312" w:hAnsi="仿宋" w:eastAsia="FangSong_GB2312" w:cs="宋体"/>
          <w:b/>
          <w:kern w:val="0"/>
          <w:sz w:val="24"/>
          <w:szCs w:val="24"/>
        </w:rPr>
        <w:t>（1）</w:t>
      </w:r>
      <w:r>
        <w:rPr>
          <w:rFonts w:hint="eastAsia" w:ascii="FangSong_GB2312" w:eastAsia="FangSong_GB2312" w:hAnsiTheme="minorEastAsia"/>
          <w:b/>
          <w:bCs/>
          <w:sz w:val="24"/>
          <w:szCs w:val="24"/>
        </w:rPr>
        <w:t>开展在线期初教材分析工作。</w:t>
      </w:r>
      <w:r>
        <w:rPr>
          <w:rFonts w:hint="eastAsia" w:ascii="FangSong_GB2312" w:hAnsi="仿宋_GB2312" w:eastAsia="FangSong_GB2312" w:cs="仿宋_GB2312"/>
          <w:sz w:val="24"/>
          <w:szCs w:val="24"/>
        </w:rPr>
        <w:t>深化教材专业化解读方法与路径，基于“双减”落实学科质量，学会立足于单元的整体规划，从“编排结构”“内涵实质”“学习难点”“典型习题”“课程整合”五个方面研读教材。本次期初教材分析活动，重点将关注如下内容：</w:t>
      </w:r>
      <w:r>
        <w:rPr>
          <w:rFonts w:hint="eastAsia" w:ascii="FangSong_GB2312" w:hAnsi="仿宋_GB2312" w:eastAsia="FangSong_GB2312" w:cs="仿宋_GB2312"/>
          <w:sz w:val="24"/>
          <w:szCs w:val="24"/>
        </w:rPr>
        <w:sym w:font="Wingdings" w:char="F081"/>
      </w:r>
      <w:r>
        <w:rPr>
          <w:rFonts w:hint="eastAsia" w:ascii="FangSong_GB2312" w:hAnsi="仿宋_GB2312" w:eastAsia="FangSong_GB2312" w:cs="仿宋_GB2312"/>
          <w:sz w:val="24"/>
          <w:szCs w:val="24"/>
        </w:rPr>
        <w:t xml:space="preserve"> 数学概念的一致性与整体性，分析单元内容及目标。</w:t>
      </w:r>
      <w:r>
        <w:rPr>
          <w:rFonts w:hint="eastAsia" w:ascii="FangSong_GB2312" w:hAnsi="仿宋_GB2312" w:eastAsia="FangSong_GB2312" w:cs="仿宋_GB2312"/>
          <w:sz w:val="24"/>
          <w:szCs w:val="24"/>
        </w:rPr>
        <w:sym w:font="Wingdings" w:char="F082"/>
      </w:r>
      <w:r>
        <w:rPr>
          <w:rFonts w:hint="eastAsia" w:ascii="FangSong_GB2312" w:hAnsi="仿宋_GB2312" w:eastAsia="FangSong_GB2312" w:cs="仿宋_GB2312"/>
          <w:sz w:val="24"/>
          <w:szCs w:val="24"/>
        </w:rPr>
        <w:t>学生学习困难。</w:t>
      </w:r>
      <w:r>
        <w:rPr>
          <w:rFonts w:hint="eastAsia" w:ascii="FangSong_GB2312" w:hAnsi="仿宋_GB2312" w:eastAsia="FangSong_GB2312" w:cs="仿宋_GB2312"/>
          <w:sz w:val="24"/>
          <w:szCs w:val="24"/>
        </w:rPr>
        <w:sym w:font="Wingdings" w:char="F083"/>
      </w:r>
      <w:r>
        <w:rPr>
          <w:rFonts w:hint="eastAsia" w:ascii="FangSong_GB2312" w:hAnsi="仿宋_GB2312" w:eastAsia="FangSong_GB2312" w:cs="仿宋_GB2312"/>
          <w:sz w:val="24"/>
          <w:szCs w:val="24"/>
        </w:rPr>
        <w:t>典型习题。④经典案例分享。本次的教材分析将特别强调教材中的练习组织及练习与命题设计，力求体现围绕“如何想”，提高解决问题的能力。此项工作初定于8月29日上午，方式为在线教研。</w:t>
      </w:r>
    </w:p>
    <w:p>
      <w:pPr>
        <w:spacing w:line="560" w:lineRule="exact"/>
        <w:ind w:firstLine="482" w:firstLineChars="200"/>
        <w:rPr>
          <w:rFonts w:ascii="FangSong_GB2312" w:hAnsi="宋体" w:eastAsia="FangSong_GB2312"/>
          <w:sz w:val="24"/>
          <w:szCs w:val="24"/>
        </w:rPr>
      </w:pPr>
      <w:r>
        <w:rPr>
          <w:rFonts w:hint="eastAsia" w:ascii="FangSong_GB2312" w:hAnsi="仿宋" w:eastAsia="FangSong_GB2312" w:cs="宋体"/>
          <w:b/>
          <w:kern w:val="0"/>
          <w:sz w:val="24"/>
          <w:szCs w:val="24"/>
        </w:rPr>
        <w:t>（2）开展</w:t>
      </w:r>
      <w:r>
        <w:rPr>
          <w:rFonts w:hint="eastAsia" w:ascii="FangSong_GB2312" w:hAnsi="宋体" w:eastAsia="FangSong_GB2312" w:cs="Times New Roman"/>
          <w:b/>
          <w:sz w:val="24"/>
          <w:szCs w:val="24"/>
        </w:rPr>
        <w:t>课堂教学研讨。</w:t>
      </w:r>
      <w:r>
        <w:rPr>
          <w:rFonts w:hint="eastAsia" w:ascii="FangSong_GB2312" w:hAnsi="宋体" w:eastAsia="FangSong_GB2312"/>
          <w:sz w:val="24"/>
          <w:szCs w:val="24"/>
        </w:rPr>
        <w:t>会同各基地与学科中心组成员就 “学科教学关键问题”研究进一步加深专业理解，带动基于学科核心素养的学科关键问题的研究，进一步改进教学实践，把“双减”落到实处；</w:t>
      </w:r>
      <w:r>
        <w:rPr>
          <w:rFonts w:hint="eastAsia" w:ascii="FangSong_GB2312" w:hAnsi="宋体" w:eastAsia="FangSong_GB2312" w:cs="Times New Roman"/>
          <w:b/>
          <w:sz w:val="24"/>
          <w:szCs w:val="24"/>
        </w:rPr>
        <w:t>以</w:t>
      </w:r>
      <w:r>
        <w:rPr>
          <w:rFonts w:hint="eastAsia" w:ascii="FangSong_GB2312" w:hAnsi="仿宋_GB2312" w:eastAsia="FangSong_GB2312" w:cs="仿宋_GB2312"/>
          <w:sz w:val="24"/>
          <w:szCs w:val="24"/>
        </w:rPr>
        <w:t>“专题培训”“基地培训”“网络培训”等活动为契机，加强计划性和专题性，</w:t>
      </w:r>
      <w:r>
        <w:rPr>
          <w:rFonts w:hint="eastAsia" w:ascii="FangSong_GB2312" w:hAnsi="宋体" w:eastAsia="FangSong_GB2312" w:cs="Times New Roman"/>
          <w:bCs/>
          <w:sz w:val="24"/>
          <w:szCs w:val="24"/>
        </w:rPr>
        <w:t>通过活动、讲座等平台，进一步提升教</w:t>
      </w:r>
      <w:r>
        <w:rPr>
          <w:rFonts w:hint="eastAsia" w:ascii="FangSong_GB2312" w:hAnsi="宋体" w:eastAsia="FangSong_GB2312" w:cs="Times New Roman"/>
          <w:sz w:val="24"/>
          <w:szCs w:val="24"/>
        </w:rPr>
        <w:t>师对“有向开放的问题、个性化的自主探索、结构化的资源呈现、序列化的互动交流、自主化的思维完善”的课堂教学组织结构的认识与实践；关注“单元整体教学”“大单元教学”“深度学习”等国内研究热点，聚焦课程核心内容，如“测量”“运算”等，理解并建构单元内容及学习路径、方式。</w:t>
      </w:r>
    </w:p>
    <w:p>
      <w:pPr>
        <w:spacing w:line="560" w:lineRule="exact"/>
        <w:ind w:firstLine="480"/>
        <w:jc w:val="left"/>
        <w:rPr>
          <w:rFonts w:ascii="FangSong_GB2312" w:hAnsi="仿宋" w:eastAsia="FangSong_GB2312" w:cs="宋体"/>
          <w:b/>
          <w:kern w:val="0"/>
          <w:sz w:val="24"/>
          <w:szCs w:val="24"/>
        </w:rPr>
      </w:pPr>
      <w:r>
        <w:rPr>
          <w:rFonts w:hint="eastAsia" w:ascii="FangSong_GB2312" w:hAnsi="仿宋" w:eastAsia="FangSong_GB2312" w:cs="宋体"/>
          <w:b/>
          <w:kern w:val="0"/>
          <w:sz w:val="24"/>
          <w:szCs w:val="24"/>
        </w:rPr>
        <w:t>（3）</w:t>
      </w:r>
      <w:r>
        <w:rPr>
          <w:rFonts w:hint="eastAsia" w:ascii="FangSong_GB2312" w:hAnsi="宋体" w:eastAsia="FangSong_GB2312" w:cs="Times New Roman"/>
          <w:b/>
          <w:sz w:val="24"/>
          <w:szCs w:val="24"/>
        </w:rPr>
        <w:t>做好义务教育阶段小学数学学科质量提升。</w:t>
      </w:r>
      <w:r>
        <w:rPr>
          <w:rFonts w:hint="eastAsia" w:ascii="FangSong_GB2312" w:hAnsi="宋体" w:eastAsia="FangSong_GB2312"/>
          <w:sz w:val="24"/>
          <w:szCs w:val="24"/>
        </w:rPr>
        <w:t>基于“双减”围绕数学学科质量提升，学校组织讨论分析省测质量检测试题、常州质量抽测试题，进一步提高对省学业质量监测和常州市运算能力价值的认同，统一思想，建立科学的学科教学质量观；形成分析报告，发现问题，讨论形成教学改进措施，设计有针对性的教研活动，找寻方法与日常教学要求，落实日常教学研究与学业监控的举措，促进每一个学生的数学学业质量提升，切实提高全市小学数学课程实施水平。</w:t>
      </w:r>
    </w:p>
    <w:p>
      <w:pPr>
        <w:spacing w:line="560" w:lineRule="exact"/>
        <w:ind w:firstLine="480"/>
        <w:jc w:val="left"/>
        <w:rPr>
          <w:rFonts w:ascii="FangSong_GB2312" w:hAnsi="宋体" w:eastAsia="FangSong_GB2312"/>
          <w:b/>
          <w:bCs/>
          <w:sz w:val="24"/>
          <w:szCs w:val="24"/>
        </w:rPr>
      </w:pPr>
      <w:r>
        <w:rPr>
          <w:rFonts w:hint="eastAsia" w:ascii="FangSong_GB2312" w:hAnsi="仿宋_GB2312" w:eastAsia="FangSong_GB2312" w:cs="仿宋_GB2312"/>
          <w:b/>
          <w:sz w:val="24"/>
          <w:szCs w:val="24"/>
        </w:rPr>
        <w:t>3.</w:t>
      </w:r>
      <w:r>
        <w:rPr>
          <w:rFonts w:hint="eastAsia" w:ascii="FangSong_GB2312" w:hAnsi="宋体" w:eastAsia="FangSong_GB2312"/>
          <w:b/>
          <w:bCs/>
          <w:sz w:val="24"/>
          <w:szCs w:val="24"/>
        </w:rPr>
        <w:t xml:space="preserve"> 以项目活动为契机，打造专业过硬的教师队伍</w:t>
      </w:r>
    </w:p>
    <w:p>
      <w:pPr>
        <w:spacing w:line="560" w:lineRule="exact"/>
        <w:ind w:firstLine="480" w:firstLineChars="200"/>
        <w:rPr>
          <w:rFonts w:ascii="FangSong_GB2312" w:hAnsi="仿宋_GB2312" w:eastAsia="FangSong_GB2312" w:cs="仿宋_GB2312"/>
          <w:sz w:val="24"/>
          <w:szCs w:val="24"/>
        </w:rPr>
      </w:pPr>
      <w:r>
        <w:rPr>
          <w:rFonts w:hint="eastAsia" w:ascii="FangSong_GB2312" w:hAnsi="仿宋_GB2312" w:eastAsia="FangSong_GB2312" w:cs="仿宋_GB2312"/>
          <w:sz w:val="24"/>
          <w:szCs w:val="24"/>
        </w:rPr>
        <w:t>（1）落实并完善研究项目，以项目带动教师的专业发展。通过数字化学习、珠心算教育实验、基于学生经验的小学数学课堂学习活动设计、数学实验、学科关键性问题研究等主题活动，现场教学研究等，丰富对学科发展追求的认识，提高课题研究的实效性。积极提升理性思考水平和书面表达能力，提升对课程与教学的感悟能力。</w:t>
      </w:r>
    </w:p>
    <w:p>
      <w:pPr>
        <w:spacing w:line="560" w:lineRule="exact"/>
        <w:ind w:firstLine="480" w:firstLineChars="200"/>
        <w:rPr>
          <w:rFonts w:ascii="FangSong_GB2312" w:hAnsi="仿宋_GB2312" w:eastAsia="FangSong_GB2312" w:cs="仿宋_GB2312"/>
          <w:sz w:val="24"/>
          <w:szCs w:val="24"/>
        </w:rPr>
      </w:pPr>
      <w:r>
        <w:rPr>
          <w:rFonts w:hint="eastAsia" w:ascii="FangSong_GB2312" w:hAnsi="仿宋_GB2312" w:eastAsia="FangSong_GB2312" w:cs="仿宋_GB2312"/>
          <w:sz w:val="24"/>
          <w:szCs w:val="24"/>
        </w:rPr>
        <w:t>（2）打造名教师队伍，促进互动交流。</w:t>
      </w:r>
      <w:r>
        <w:rPr>
          <w:rFonts w:hint="eastAsia" w:ascii="FangSong_GB2312" w:hAnsi="宋体" w:eastAsia="FangSong_GB2312"/>
          <w:bCs/>
          <w:sz w:val="24"/>
          <w:szCs w:val="24"/>
        </w:rPr>
        <w:t>完善学科中心组建设，健全教学设计指导小组、命题指导小组和微型课题研究指导小组的活动，促进优秀教师专业成长。</w:t>
      </w:r>
      <w:r>
        <w:rPr>
          <w:rFonts w:hint="eastAsia" w:ascii="FangSong_GB2312" w:hAnsi="仿宋_GB2312" w:eastAsia="FangSong_GB2312" w:cs="仿宋_GB2312"/>
          <w:b/>
          <w:sz w:val="24"/>
          <w:szCs w:val="24"/>
        </w:rPr>
        <w:t>搭平台，</w:t>
      </w:r>
      <w:r>
        <w:rPr>
          <w:rFonts w:hint="eastAsia" w:ascii="FangSong_GB2312" w:hAnsi="仿宋_GB2312" w:eastAsia="FangSong_GB2312" w:cs="仿宋_GB2312"/>
          <w:sz w:val="24"/>
          <w:szCs w:val="24"/>
        </w:rPr>
        <w:t>放大名师、特级教师的辐射作用。教学研究中激励、带动一批青年教师专业成长；</w:t>
      </w:r>
      <w:r>
        <w:rPr>
          <w:rFonts w:hint="eastAsia" w:ascii="FangSong_GB2312" w:hAnsi="仿宋_GB2312" w:eastAsia="FangSong_GB2312" w:cs="仿宋_GB2312"/>
          <w:b/>
          <w:sz w:val="24"/>
          <w:szCs w:val="24"/>
        </w:rPr>
        <w:t>建舞台，</w:t>
      </w:r>
      <w:r>
        <w:rPr>
          <w:rFonts w:hint="eastAsia" w:ascii="FangSong_GB2312" w:hAnsi="仿宋_GB2312" w:eastAsia="FangSong_GB2312" w:cs="仿宋_GB2312"/>
          <w:sz w:val="24"/>
          <w:szCs w:val="24"/>
        </w:rPr>
        <w:t>为不同层级发展中的教师建好表现的舞台。鼓励中青年教师在乡村、城市等不同学校，展示、发布研究成果；</w:t>
      </w:r>
      <w:r>
        <w:rPr>
          <w:rFonts w:hint="eastAsia" w:ascii="FangSong_GB2312" w:hAnsi="仿宋_GB2312" w:eastAsia="FangSong_GB2312" w:cs="仿宋_GB2312"/>
          <w:b/>
          <w:sz w:val="24"/>
          <w:szCs w:val="24"/>
        </w:rPr>
        <w:t>促交流，</w:t>
      </w:r>
      <w:r>
        <w:rPr>
          <w:rFonts w:hint="eastAsia" w:ascii="FangSong_GB2312" w:hAnsi="仿宋_GB2312" w:eastAsia="FangSong_GB2312" w:cs="仿宋_GB2312"/>
          <w:sz w:val="24"/>
          <w:szCs w:val="24"/>
        </w:rPr>
        <w:t>积极参与省内外的专题研讨活动，与省内外名师、名校、名教研团队交流，推荐各层次优秀教师在不同会议中主题发言或交流，推介相关成果，提升溧阳名师的名气。</w:t>
      </w:r>
    </w:p>
    <w:p>
      <w:pPr>
        <w:spacing w:line="560" w:lineRule="exact"/>
        <w:ind w:firstLine="480" w:firstLineChars="200"/>
        <w:rPr>
          <w:rFonts w:ascii="FangSong_GB2312" w:eastAsia="FangSong_GB2312"/>
          <w:sz w:val="24"/>
          <w:szCs w:val="24"/>
        </w:rPr>
      </w:pPr>
      <w:r>
        <w:rPr>
          <w:rFonts w:hint="eastAsia" w:ascii="FangSong_GB2312" w:hAnsi="仿宋_GB2312" w:eastAsia="FangSong_GB2312" w:cs="仿宋_GB2312"/>
          <w:sz w:val="24"/>
          <w:szCs w:val="24"/>
        </w:rPr>
        <w:t>（3）指向教师专业提升的（校本）科研活动。以优质课评比、同题异构活动、学业质量提升等主题，明确教研方向，丰厚研究品质，形成系列研究成果。同步带动一批教师专业成长。</w:t>
      </w:r>
      <w:r>
        <w:rPr>
          <w:rFonts w:hint="eastAsia" w:ascii="FangSong_GB2312" w:hAnsi="Times New Roman" w:eastAsia="FangSong_GB2312" w:cs="Times New Roman"/>
          <w:sz w:val="24"/>
          <w:szCs w:val="24"/>
        </w:rPr>
        <w:t>各校要加强教研组建设和发展，规范常规管理，结合本校教师实际，规划个人专业发展，</w:t>
      </w:r>
      <w:r>
        <w:rPr>
          <w:rFonts w:hint="eastAsia" w:ascii="FangSong_GB2312" w:eastAsia="FangSong_GB2312"/>
          <w:sz w:val="24"/>
          <w:szCs w:val="24"/>
        </w:rPr>
        <w:t>定期学习相关教学杂志，了解小学数学课程发展动态，借鉴他人有效教学经验，促进专业提升。</w:t>
      </w:r>
    </w:p>
    <w:p>
      <w:pPr>
        <w:spacing w:line="560" w:lineRule="exact"/>
        <w:ind w:firstLine="480" w:firstLineChars="200"/>
        <w:rPr>
          <w:rFonts w:ascii="FangSong_GB2312" w:hAnsi="仿宋" w:eastAsia="FangSong_GB2312" w:cs="宋体"/>
          <w:b/>
          <w:kern w:val="0"/>
          <w:sz w:val="24"/>
          <w:szCs w:val="24"/>
        </w:rPr>
      </w:pPr>
      <w:r>
        <w:rPr>
          <w:rFonts w:hint="eastAsia" w:ascii="FangSong_GB2312" w:hAnsi="宋体" w:eastAsia="FangSong_GB2312"/>
          <w:sz w:val="24"/>
          <w:szCs w:val="24"/>
        </w:rPr>
        <w:t xml:space="preserve"> </w:t>
      </w:r>
      <w:r>
        <w:rPr>
          <w:rFonts w:hint="eastAsia" w:ascii="FangSong_GB2312" w:hAnsi="仿宋" w:eastAsia="FangSong_GB2312" w:cs="宋体"/>
          <w:b/>
          <w:kern w:val="0"/>
          <w:sz w:val="24"/>
          <w:szCs w:val="24"/>
        </w:rPr>
        <w:t>4.组织开展各级各类评比展示活动。</w:t>
      </w:r>
    </w:p>
    <w:p>
      <w:pPr>
        <w:spacing w:line="560" w:lineRule="exact"/>
        <w:ind w:firstLine="480" w:firstLineChars="200"/>
        <w:rPr>
          <w:rFonts w:ascii="FangSong_GB2312" w:hAnsi="宋体" w:eastAsia="FangSong_GB2312"/>
          <w:sz w:val="24"/>
          <w:szCs w:val="24"/>
        </w:rPr>
      </w:pPr>
      <w:r>
        <w:rPr>
          <w:rFonts w:hint="eastAsia" w:ascii="FangSong_GB2312" w:hAnsi="仿宋_GB2312" w:eastAsia="FangSong_GB2312" w:cs="仿宋_GB2312"/>
          <w:sz w:val="24"/>
          <w:szCs w:val="24"/>
        </w:rPr>
        <w:t>（1）组织参加常州市2021年小学数学青年教师优质课评比。</w:t>
      </w:r>
      <w:r>
        <w:rPr>
          <w:rFonts w:hint="eastAsia" w:ascii="FangSong_GB2312" w:hAnsi="宋体" w:eastAsia="FangSong_GB2312"/>
          <w:sz w:val="24"/>
          <w:szCs w:val="24"/>
        </w:rPr>
        <w:t>本学期将依据“常州市教育科学研究院教学评优活动方案”，参照江苏省优质课评比实施办法，9月份组织开展“溧阳市小学数学优质课评比活动”，各校依据分配名额，原则上择优推荐40周岁以下的小学数学教师参加活动，发展中心将提前公布教学内容，参赛教师自主选择内容，在自主准备的基础上，借班上课，评委独立打分，最终评出若干奖项，并形成参加2021年常州市优质课比赛的候选人。</w:t>
      </w:r>
    </w:p>
    <w:p>
      <w:pPr>
        <w:spacing w:line="560" w:lineRule="exact"/>
        <w:ind w:firstLine="480"/>
        <w:jc w:val="left"/>
        <w:rPr>
          <w:rFonts w:ascii="FangSong_GB2312" w:hAnsi="宋体" w:eastAsia="FangSong_GB2312"/>
          <w:sz w:val="24"/>
          <w:szCs w:val="24"/>
        </w:rPr>
      </w:pPr>
      <w:r>
        <w:rPr>
          <w:rFonts w:hint="eastAsia" w:ascii="FangSong_GB2312" w:hAnsi="仿宋_GB2312" w:eastAsia="FangSong_GB2312" w:cs="仿宋_GB2312"/>
          <w:sz w:val="24"/>
          <w:szCs w:val="24"/>
        </w:rPr>
        <w:t>（2）组织</w:t>
      </w:r>
      <w:r>
        <w:rPr>
          <w:rFonts w:hint="eastAsia" w:ascii="FangSong_GB2312" w:hAnsi="宋体" w:eastAsia="FangSong_GB2312"/>
          <w:b/>
          <w:bCs/>
          <w:sz w:val="24"/>
          <w:szCs w:val="24"/>
        </w:rPr>
        <w:t>开展省、市级论文评比</w:t>
      </w:r>
      <w:r>
        <w:rPr>
          <w:rFonts w:hint="eastAsia" w:ascii="FangSong_GB2312" w:hAnsi="宋体" w:eastAsia="FangSong_GB2312"/>
          <w:sz w:val="24"/>
          <w:szCs w:val="24"/>
        </w:rPr>
        <w:t>。依据省中小学教学研究室以往教学论文评比的要求，</w:t>
      </w:r>
      <w:r>
        <w:rPr>
          <w:rFonts w:hint="eastAsia" w:ascii="FangSong_GB2312" w:hAnsi="仿宋_GB2312" w:eastAsia="FangSong_GB2312" w:cs="仿宋_GB2312"/>
          <w:sz w:val="24"/>
          <w:szCs w:val="24"/>
        </w:rPr>
        <w:t>今年的小学数学优秀论文评比将继续以“创造适合每一个孩子的数学教育”为主题，广大教师围绕着这个主题进行理论思考和实践创新，并结合自身及学校的特点创造属于自己的经验。各校需根据要求发动教师参加活动并及时上交市级评选论文。论文评比报送截止时间为2020年11月1日。我们择优推荐2021年溧阳市优秀论文参加省、市论文比赛。</w:t>
      </w:r>
      <w:r>
        <w:rPr>
          <w:rFonts w:hint="eastAsia" w:ascii="FangSong_GB2312" w:hAnsi="宋体" w:eastAsia="FangSong_GB2312"/>
          <w:sz w:val="24"/>
          <w:szCs w:val="24"/>
        </w:rPr>
        <w:t>请各校、学科名师工作室、工作坊、项目组、培育站早做准备，高质量参加。今年的论文评比主题是“创造适合每一个学生的数学教育”。此项活动完成时间10月底。</w:t>
      </w:r>
    </w:p>
    <w:p>
      <w:pPr>
        <w:spacing w:line="560" w:lineRule="exact"/>
        <w:ind w:firstLine="420"/>
        <w:jc w:val="left"/>
        <w:rPr>
          <w:rFonts w:ascii="FangSong_GB2312" w:hAnsi="仿宋_GB2312" w:eastAsia="FangSong_GB2312" w:cs="仿宋_GB2312"/>
          <w:sz w:val="24"/>
          <w:szCs w:val="24"/>
        </w:rPr>
      </w:pPr>
      <w:r>
        <w:rPr>
          <w:rFonts w:hint="eastAsia" w:ascii="FangSong_GB2312" w:hAnsi="仿宋_GB2312" w:eastAsia="FangSong_GB2312" w:cs="仿宋_GB2312"/>
          <w:sz w:val="24"/>
          <w:szCs w:val="24"/>
        </w:rPr>
        <w:t>（3）承办常州市小学专题研讨活动。本学期，常州市小学数学部分专题研究活动将在溧阳举行，本次活动将由项目负责人承担落实课堂教学及研究主题。</w:t>
      </w:r>
    </w:p>
    <w:p>
      <w:pPr>
        <w:tabs>
          <w:tab w:val="left" w:pos="-900"/>
        </w:tabs>
        <w:spacing w:line="560" w:lineRule="exact"/>
        <w:ind w:firstLine="480"/>
        <w:rPr>
          <w:rFonts w:eastAsia="仿宋_GB2312"/>
          <w:b/>
          <w:sz w:val="24"/>
        </w:rPr>
      </w:pPr>
      <w:r>
        <w:rPr>
          <w:rFonts w:eastAsia="仿宋_GB2312"/>
          <w:b/>
          <w:sz w:val="24"/>
        </w:rPr>
        <w:t>三、具体工作安排</w:t>
      </w:r>
    </w:p>
    <w:p>
      <w:pPr>
        <w:spacing w:line="440" w:lineRule="exact"/>
        <w:ind w:firstLine="482" w:firstLineChars="200"/>
        <w:rPr>
          <w:rFonts w:eastAsia="仿宋_GB2312"/>
          <w:b/>
          <w:sz w:val="24"/>
        </w:rPr>
      </w:pPr>
      <w:r>
        <w:rPr>
          <w:rFonts w:hint="eastAsia" w:eastAsia="仿宋_GB2312"/>
          <w:b/>
          <w:sz w:val="24"/>
        </w:rPr>
        <w:t>八</w:t>
      </w:r>
      <w:r>
        <w:rPr>
          <w:rFonts w:eastAsia="仿宋_GB2312"/>
          <w:b/>
          <w:sz w:val="24"/>
        </w:rPr>
        <w:t>月份：</w:t>
      </w:r>
    </w:p>
    <w:p>
      <w:pPr>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1.</w:t>
      </w:r>
      <w:r>
        <w:rPr>
          <w:rFonts w:hint="eastAsia" w:ascii="仿宋_GB2312" w:hAnsi="仿宋_GB2312" w:eastAsia="仿宋_GB2312" w:cs="仿宋_GB2312"/>
          <w:sz w:val="24"/>
          <w:szCs w:val="24"/>
        </w:rPr>
        <w:t>线上教材分析培训活动</w:t>
      </w:r>
      <w:r>
        <w:rPr>
          <w:rFonts w:ascii="仿宋_GB2312" w:hAnsi="仿宋_GB2312" w:eastAsia="仿宋_GB2312" w:cs="仿宋_GB2312"/>
          <w:sz w:val="24"/>
          <w:szCs w:val="24"/>
        </w:rPr>
        <w:t>。</w:t>
      </w:r>
    </w:p>
    <w:p>
      <w:pPr>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2. 各年级期初教材培训。</w:t>
      </w:r>
      <w:r>
        <w:rPr>
          <w:rFonts w:hint="eastAsia" w:ascii="仿宋_GB2312" w:hAnsi="仿宋_GB2312" w:eastAsia="仿宋_GB2312" w:cs="仿宋_GB2312"/>
          <w:sz w:val="24"/>
          <w:szCs w:val="24"/>
        </w:rPr>
        <w:t>（8月29日）</w:t>
      </w:r>
    </w:p>
    <w:p>
      <w:pPr>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制订优质课评比方案。</w:t>
      </w:r>
    </w:p>
    <w:p>
      <w:pPr>
        <w:spacing w:line="440" w:lineRule="exact"/>
        <w:ind w:firstLine="482" w:firstLineChars="200"/>
        <w:rPr>
          <w:rFonts w:eastAsia="仿宋_GB2312"/>
          <w:b/>
          <w:sz w:val="24"/>
        </w:rPr>
      </w:pPr>
      <w:r>
        <w:rPr>
          <w:rFonts w:eastAsia="仿宋_GB2312"/>
          <w:b/>
          <w:sz w:val="24"/>
        </w:rPr>
        <w:t>九月份</w:t>
      </w:r>
      <w:r>
        <w:rPr>
          <w:rFonts w:hint="eastAsia" w:eastAsia="仿宋_GB2312"/>
          <w:b/>
          <w:sz w:val="24"/>
        </w:rPr>
        <w:t>：</w:t>
      </w:r>
      <w:r>
        <w:rPr>
          <w:rFonts w:eastAsia="仿宋_GB2312"/>
          <w:b/>
          <w:sz w:val="24"/>
        </w:rPr>
        <w:t xml:space="preserve"> </w:t>
      </w:r>
    </w:p>
    <w:p>
      <w:pPr>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1.</w:t>
      </w:r>
      <w:r>
        <w:rPr>
          <w:rFonts w:hint="eastAsia" w:ascii="仿宋_GB2312" w:hAnsi="仿宋_GB2312" w:eastAsia="仿宋_GB2312" w:cs="仿宋_GB2312"/>
          <w:sz w:val="24"/>
          <w:szCs w:val="24"/>
        </w:rPr>
        <w:t>组织青年教师优质课评比</w:t>
      </w:r>
      <w:r>
        <w:rPr>
          <w:rFonts w:ascii="仿宋_GB2312" w:hAnsi="仿宋_GB2312" w:eastAsia="仿宋_GB2312" w:cs="仿宋_GB2312"/>
          <w:sz w:val="24"/>
          <w:szCs w:val="24"/>
        </w:rPr>
        <w:t>。</w:t>
      </w:r>
    </w:p>
    <w:p>
      <w:pPr>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 xml:space="preserve">2. </w:t>
      </w:r>
      <w:r>
        <w:rPr>
          <w:rFonts w:hint="eastAsia" w:ascii="仿宋_GB2312" w:hAnsi="仿宋_GB2312" w:eastAsia="仿宋_GB2312" w:cs="仿宋_GB2312"/>
          <w:sz w:val="24"/>
          <w:szCs w:val="24"/>
        </w:rPr>
        <w:t>学科主任、全市教研组长培训，落实学期计划。</w:t>
      </w:r>
    </w:p>
    <w:p>
      <w:pPr>
        <w:spacing w:line="48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3.专题研讨活动</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科学幼小衔接</w:t>
      </w:r>
      <w:r>
        <w:rPr>
          <w:rFonts w:hint="eastAsia" w:ascii="仿宋_GB2312" w:hAnsi="仿宋_GB2312" w:eastAsia="仿宋_GB2312" w:cs="仿宋_GB2312"/>
          <w:sz w:val="24"/>
          <w:szCs w:val="24"/>
        </w:rPr>
        <w:t>。</w:t>
      </w:r>
    </w:p>
    <w:p>
      <w:pPr>
        <w:spacing w:line="48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4.薄弱学校现场质量分析研讨活动。</w:t>
      </w:r>
    </w:p>
    <w:p>
      <w:pPr>
        <w:spacing w:line="360" w:lineRule="auto"/>
        <w:rPr>
          <w:sz w:val="24"/>
          <w:szCs w:val="24"/>
        </w:rPr>
      </w:pPr>
      <w:r>
        <w:rPr>
          <w:b/>
          <w:bCs/>
          <w:sz w:val="24"/>
          <w:szCs w:val="24"/>
          <w:lang w:val="zh-TW" w:eastAsia="zh-TW"/>
        </w:rPr>
        <w:t>十月份</w:t>
      </w:r>
      <w:r>
        <w:rPr>
          <w:sz w:val="24"/>
          <w:szCs w:val="24"/>
        </w:rPr>
        <w:t xml:space="preserve"> </w:t>
      </w:r>
    </w:p>
    <w:p>
      <w:pPr>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 xml:space="preserve">1. </w:t>
      </w:r>
      <w:r>
        <w:rPr>
          <w:rFonts w:hint="eastAsia" w:ascii="仿宋_GB2312" w:hAnsi="仿宋_GB2312" w:eastAsia="仿宋_GB2312" w:cs="仿宋_GB2312"/>
          <w:sz w:val="24"/>
          <w:szCs w:val="24"/>
        </w:rPr>
        <w:t>组织参赛教师磨课。</w:t>
      </w:r>
    </w:p>
    <w:p>
      <w:pPr>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 xml:space="preserve"> 2. </w:t>
      </w:r>
      <w:r>
        <w:rPr>
          <w:rFonts w:hint="eastAsia" w:ascii="仿宋_GB2312" w:hAnsi="仿宋_GB2312" w:eastAsia="仿宋_GB2312" w:cs="仿宋_GB2312"/>
          <w:sz w:val="24"/>
          <w:szCs w:val="24"/>
        </w:rPr>
        <w:t>专题研讨活动</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大单元背景下“运算”教学实践研究</w:t>
      </w:r>
      <w:r>
        <w:rPr>
          <w:rFonts w:hint="eastAsia" w:ascii="仿宋_GB2312" w:hAnsi="仿宋_GB2312" w:eastAsia="仿宋_GB2312" w:cs="仿宋_GB2312"/>
          <w:sz w:val="24"/>
          <w:szCs w:val="24"/>
        </w:rPr>
        <w:t>。</w:t>
      </w:r>
    </w:p>
    <w:p>
      <w:pPr>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 xml:space="preserve"> 3.</w:t>
      </w:r>
      <w:r>
        <w:rPr>
          <w:rFonts w:hint="eastAsia" w:ascii="仿宋_GB2312" w:hAnsi="仿宋_GB2312" w:eastAsia="仿宋_GB2312" w:cs="仿宋_GB2312"/>
          <w:sz w:val="24"/>
          <w:szCs w:val="24"/>
        </w:rPr>
        <w:t>溧阳市</w:t>
      </w:r>
      <w:r>
        <w:rPr>
          <w:rFonts w:ascii="仿宋_GB2312" w:hAnsi="仿宋_GB2312" w:eastAsia="仿宋_GB2312" w:cs="仿宋_GB2312"/>
          <w:sz w:val="24"/>
          <w:szCs w:val="24"/>
        </w:rPr>
        <w:t>小数年会20</w:t>
      </w:r>
      <w:r>
        <w:rPr>
          <w:rFonts w:hint="eastAsia" w:ascii="仿宋_GB2312" w:hAnsi="仿宋_GB2312" w:eastAsia="仿宋_GB2312" w:cs="仿宋_GB2312"/>
          <w:sz w:val="24"/>
          <w:szCs w:val="24"/>
        </w:rPr>
        <w:t>21</w:t>
      </w:r>
      <w:r>
        <w:rPr>
          <w:rFonts w:ascii="仿宋_GB2312" w:hAnsi="仿宋_GB2312" w:eastAsia="仿宋_GB2312" w:cs="仿宋_GB2312"/>
          <w:sz w:val="24"/>
          <w:szCs w:val="24"/>
        </w:rPr>
        <w:t>年论文评比。</w:t>
      </w:r>
    </w:p>
    <w:p>
      <w:pPr>
        <w:spacing w:line="48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4.青年教师研修团队专题活动。</w:t>
      </w:r>
      <w:r>
        <w:rPr>
          <w:rFonts w:ascii="仿宋_GB2312" w:hAnsi="仿宋_GB2312" w:eastAsia="仿宋_GB2312" w:cs="仿宋_GB2312"/>
          <w:sz w:val="24"/>
          <w:szCs w:val="24"/>
        </w:rPr>
        <w:t xml:space="preserve">    </w:t>
      </w:r>
    </w:p>
    <w:p>
      <w:pPr>
        <w:spacing w:line="360" w:lineRule="auto"/>
        <w:rPr>
          <w:b/>
          <w:bCs/>
          <w:sz w:val="24"/>
          <w:szCs w:val="24"/>
          <w:lang w:val="zh-TW" w:eastAsia="zh-TW"/>
        </w:rPr>
      </w:pPr>
      <w:r>
        <w:rPr>
          <w:b/>
          <w:bCs/>
          <w:sz w:val="24"/>
          <w:szCs w:val="24"/>
          <w:lang w:val="zh-TW" w:eastAsia="zh-TW"/>
        </w:rPr>
        <w:t>十一月份</w:t>
      </w:r>
    </w:p>
    <w:p>
      <w:pPr>
        <w:spacing w:line="48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 xml:space="preserve"> </w:t>
      </w:r>
      <w:r>
        <w:rPr>
          <w:rFonts w:hint="eastAsia" w:ascii="仿宋_GB2312" w:hAnsi="仿宋_GB2312" w:eastAsia="仿宋_GB2312" w:cs="仿宋_GB2312"/>
          <w:sz w:val="24"/>
          <w:szCs w:val="24"/>
        </w:rPr>
        <w:t>组织参加常州市优质课评比。</w:t>
      </w:r>
    </w:p>
    <w:p>
      <w:pPr>
        <w:spacing w:line="48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ascii="仿宋_GB2312" w:hAnsi="仿宋_GB2312" w:eastAsia="仿宋_GB2312" w:cs="仿宋_GB2312"/>
          <w:sz w:val="24"/>
          <w:szCs w:val="24"/>
        </w:rPr>
        <w:t>常州市小数会20</w:t>
      </w:r>
      <w:r>
        <w:rPr>
          <w:rFonts w:hint="eastAsia" w:ascii="仿宋_GB2312" w:hAnsi="仿宋_GB2312" w:eastAsia="仿宋_GB2312" w:cs="仿宋_GB2312"/>
          <w:sz w:val="24"/>
          <w:szCs w:val="24"/>
        </w:rPr>
        <w:t>20</w:t>
      </w:r>
      <w:r>
        <w:rPr>
          <w:rFonts w:ascii="仿宋_GB2312" w:hAnsi="仿宋_GB2312" w:eastAsia="仿宋_GB2312" w:cs="仿宋_GB2312"/>
          <w:sz w:val="24"/>
          <w:szCs w:val="24"/>
        </w:rPr>
        <w:t>年年会论文评比。</w:t>
      </w:r>
      <w:r>
        <w:rPr>
          <w:rFonts w:hint="eastAsia" w:ascii="仿宋_GB2312" w:hAnsi="仿宋_GB2312" w:eastAsia="仿宋_GB2312" w:cs="仿宋_GB2312"/>
          <w:sz w:val="24"/>
          <w:szCs w:val="24"/>
        </w:rPr>
        <w:t>（下旬）</w:t>
      </w:r>
    </w:p>
    <w:p>
      <w:pPr>
        <w:spacing w:line="48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3.专题研讨活动</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大单元背景下“测量”教学实践研究</w:t>
      </w:r>
      <w:r>
        <w:rPr>
          <w:rFonts w:hint="eastAsia" w:ascii="仿宋_GB2312" w:hAnsi="仿宋_GB2312" w:eastAsia="仿宋_GB2312" w:cs="仿宋_GB2312"/>
          <w:sz w:val="24"/>
          <w:szCs w:val="24"/>
        </w:rPr>
        <w:t>。</w:t>
      </w:r>
    </w:p>
    <w:p>
      <w:pPr>
        <w:spacing w:line="48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4．常州市珠心算实验活动。</w:t>
      </w:r>
    </w:p>
    <w:p>
      <w:pPr>
        <w:spacing w:line="360" w:lineRule="auto"/>
        <w:rPr>
          <w:sz w:val="24"/>
          <w:szCs w:val="24"/>
          <w:lang w:val="zh-TW" w:eastAsia="zh-TW"/>
        </w:rPr>
      </w:pPr>
      <w:r>
        <w:rPr>
          <w:b/>
          <w:bCs/>
          <w:sz w:val="24"/>
          <w:szCs w:val="24"/>
          <w:lang w:val="zh-TW" w:eastAsia="zh-TW"/>
        </w:rPr>
        <w:t>十二月份</w:t>
      </w:r>
    </w:p>
    <w:p>
      <w:pPr>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 xml:space="preserve">1. </w:t>
      </w:r>
      <w:r>
        <w:rPr>
          <w:rFonts w:hint="eastAsia" w:ascii="仿宋_GB2312" w:hAnsi="仿宋_GB2312" w:eastAsia="仿宋_GB2312" w:cs="仿宋_GB2312"/>
          <w:sz w:val="24"/>
          <w:szCs w:val="24"/>
        </w:rPr>
        <w:t>专题研讨活动。</w:t>
      </w:r>
    </w:p>
    <w:p>
      <w:pPr>
        <w:spacing w:line="48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2.常州课程成果展示活动。</w:t>
      </w:r>
      <w:r>
        <w:rPr>
          <w:rFonts w:ascii="仿宋_GB2312" w:hAnsi="仿宋_GB2312" w:eastAsia="仿宋_GB2312" w:cs="仿宋_GB2312"/>
          <w:sz w:val="24"/>
          <w:szCs w:val="24"/>
        </w:rPr>
        <w:t xml:space="preserve"> </w:t>
      </w:r>
    </w:p>
    <w:p>
      <w:pPr>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常州市小学数学年会论文评比。</w:t>
      </w:r>
    </w:p>
    <w:p>
      <w:pPr>
        <w:spacing w:line="48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4. 中心组活动</w:t>
      </w:r>
      <w:r>
        <w:rPr>
          <w:rFonts w:ascii="仿宋_GB2312" w:hAnsi="仿宋_GB2312" w:eastAsia="仿宋_GB2312" w:cs="仿宋_GB2312"/>
          <w:sz w:val="24"/>
          <w:szCs w:val="24"/>
        </w:rPr>
        <w:t xml:space="preserve">。 </w:t>
      </w:r>
    </w:p>
    <w:p>
      <w:pPr>
        <w:spacing w:line="360" w:lineRule="auto"/>
        <w:rPr>
          <w:b/>
          <w:bCs/>
          <w:sz w:val="24"/>
          <w:szCs w:val="24"/>
          <w:lang w:val="zh-TW" w:eastAsia="zh-TW"/>
        </w:rPr>
      </w:pPr>
      <w:r>
        <w:rPr>
          <w:b/>
          <w:bCs/>
          <w:sz w:val="24"/>
          <w:szCs w:val="24"/>
          <w:lang w:val="zh-TW" w:eastAsia="zh-TW"/>
        </w:rPr>
        <w:t>一月份</w:t>
      </w:r>
    </w:p>
    <w:p>
      <w:pPr>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 xml:space="preserve">1. </w:t>
      </w:r>
      <w:r>
        <w:rPr>
          <w:rFonts w:hint="eastAsia" w:ascii="仿宋_GB2312" w:hAnsi="仿宋_GB2312" w:eastAsia="仿宋_GB2312" w:cs="仿宋_GB2312"/>
          <w:sz w:val="24"/>
          <w:szCs w:val="24"/>
        </w:rPr>
        <w:t>专题研讨活动暨青年教师研修团队活动.</w:t>
      </w:r>
    </w:p>
    <w:p>
      <w:pPr>
        <w:spacing w:line="48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ascii="仿宋_GB2312" w:hAnsi="仿宋_GB2312" w:eastAsia="仿宋_GB2312" w:cs="仿宋_GB2312"/>
          <w:sz w:val="24"/>
          <w:szCs w:val="24"/>
        </w:rPr>
        <w:t>小学数学教科研工作总结。</w:t>
      </w:r>
    </w:p>
    <w:p>
      <w:pPr>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3. 制定下学期研训计划。</w:t>
      </w:r>
    </w:p>
    <w:p>
      <w:pPr>
        <w:jc w:val="center"/>
        <w:rPr>
          <w:rFonts w:ascii="Arial Unicode MS" w:hAnsi="Arial Unicode MS" w:eastAsia="Arial Unicode MS" w:cs="Arial Unicode MS"/>
          <w:sz w:val="24"/>
          <w:szCs w:val="24"/>
        </w:rPr>
      </w:pPr>
      <w:bookmarkStart w:id="0" w:name="_GoBack"/>
      <w:bookmarkEnd w:id="0"/>
    </w:p>
    <w:p/>
    <w:p>
      <w:pPr>
        <w:jc w:val="right"/>
        <w:rPr>
          <w:rFonts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2021年8月</w:t>
      </w:r>
    </w:p>
    <w:p>
      <w:pPr>
        <w:rPr>
          <w:rFonts w:ascii="Times New Roman" w:hAnsi="Times New Roman" w:eastAsia="仿宋_GB2312" w:cs="Times New Roman"/>
          <w:color w:val="auto"/>
          <w:sz w:val="24"/>
          <w:szCs w:val="24"/>
        </w:rPr>
      </w:pPr>
    </w:p>
    <w:sectPr>
      <w:footerReference r:id="rId3" w:type="default"/>
      <w:footerReference r:id="rId4" w:type="even"/>
      <w:pgSz w:w="11900" w:h="16840"/>
      <w:pgMar w:top="1531" w:right="1531" w:bottom="1531" w:left="1531" w:header="851"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Unicode MS">
    <w:altName w:val="Arial"/>
    <w:panose1 w:val="020B0604020202020204"/>
    <w:charset w:val="00"/>
    <w:family w:val="auto"/>
    <w:pitch w:val="default"/>
    <w:sig w:usb0="00000000" w:usb1="00000000" w:usb2="0000003F" w:usb3="00000000" w:csb0="003F01FF" w:csb1="00000000"/>
  </w:font>
  <w:font w:name="Cambria">
    <w:panose1 w:val="02040503050406030204"/>
    <w:charset w:val="00"/>
    <w:family w:val="auto"/>
    <w:pitch w:val="default"/>
    <w:sig w:usb0="E00006FF" w:usb1="420024FF" w:usb2="02000000" w:usb3="00000000" w:csb0="2000019F" w:csb1="00000000"/>
  </w:font>
  <w:font w:name="Helvetica">
    <w:altName w:val="Arial"/>
    <w:panose1 w:val="00000000000000000000"/>
    <w:charset w:val="00"/>
    <w:family w:val="auto"/>
    <w:pitch w:val="default"/>
    <w:sig w:usb0="00000000" w:usb1="00000000" w:usb2="00000000" w:usb3="00000000" w:csb0="0000019F" w:csb1="00000000"/>
  </w:font>
  <w:font w:name="方正公文小标宋">
    <w:altName w:val="宋体"/>
    <w:panose1 w:val="02000500000000000000"/>
    <w:charset w:val="86"/>
    <w:family w:val="auto"/>
    <w:pitch w:val="default"/>
    <w:sig w:usb0="00000000" w:usb1="00000000" w:usb2="00000000" w:usb3="00000000" w:csb0="00000000" w:csb1="00000000"/>
  </w:font>
  <w:font w:name="Songti SC">
    <w:altName w:val="宋体"/>
    <w:panose1 w:val="02010600040101010101"/>
    <w:charset w:val="86"/>
    <w:family w:val="auto"/>
    <w:pitch w:val="default"/>
    <w:sig w:usb0="00000000" w:usb1="00000000" w:usb2="00000010" w:usb3="00000000" w:csb0="0004009F" w:csb1="00000000"/>
  </w:font>
  <w:font w:name="仿宋_GB2312">
    <w:panose1 w:val="02010609030101010101"/>
    <w:charset w:val="86"/>
    <w:family w:val="auto"/>
    <w:pitch w:val="default"/>
    <w:sig w:usb0="00000001" w:usb1="080E0000" w:usb2="00000000" w:usb3="00000000" w:csb0="00040000" w:csb1="00000000"/>
  </w:font>
  <w:font w:name="FangSong_GB2312">
    <w:altName w:val="仿宋_GB2312"/>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sz w:val="21"/>
        <w:szCs w:val="21"/>
      </w:rPr>
    </w:pPr>
    <w:r>
      <w:rPr>
        <w:rStyle w:val="9"/>
        <w:sz w:val="21"/>
        <w:szCs w:val="21"/>
      </w:rPr>
      <w:fldChar w:fldCharType="begin"/>
    </w:r>
    <w:r>
      <w:rPr>
        <w:rStyle w:val="9"/>
        <w:sz w:val="21"/>
        <w:szCs w:val="21"/>
      </w:rPr>
      <w:instrText xml:space="preserve">PAGE  </w:instrText>
    </w:r>
    <w:r>
      <w:rPr>
        <w:rStyle w:val="9"/>
        <w:sz w:val="21"/>
        <w:szCs w:val="21"/>
      </w:rPr>
      <w:fldChar w:fldCharType="separate"/>
    </w:r>
    <w:r>
      <w:rPr>
        <w:rStyle w:val="9"/>
        <w:sz w:val="21"/>
        <w:szCs w:val="21"/>
      </w:rPr>
      <w:t>1</w:t>
    </w:r>
    <w:r>
      <w:rPr>
        <w:rStyle w:val="9"/>
        <w:sz w:val="21"/>
        <w:szCs w:val="21"/>
      </w:rPr>
      <w:fldChar w:fldCharType="end"/>
    </w:r>
  </w:p>
  <w:p>
    <w:pPr>
      <w:pStyle w:val="13"/>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9"/>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230"/>
    <w:rsid w:val="000039BE"/>
    <w:rsid w:val="00016142"/>
    <w:rsid w:val="00042129"/>
    <w:rsid w:val="00044480"/>
    <w:rsid w:val="000477D0"/>
    <w:rsid w:val="00055CD9"/>
    <w:rsid w:val="00066939"/>
    <w:rsid w:val="000916F5"/>
    <w:rsid w:val="00097315"/>
    <w:rsid w:val="000A19F5"/>
    <w:rsid w:val="000A5736"/>
    <w:rsid w:val="000F1854"/>
    <w:rsid w:val="00132D98"/>
    <w:rsid w:val="00134045"/>
    <w:rsid w:val="00180DBB"/>
    <w:rsid w:val="001836E9"/>
    <w:rsid w:val="00185230"/>
    <w:rsid w:val="001A4E63"/>
    <w:rsid w:val="001B00B7"/>
    <w:rsid w:val="001B4BC8"/>
    <w:rsid w:val="001B5AC2"/>
    <w:rsid w:val="001C03CC"/>
    <w:rsid w:val="001C3F88"/>
    <w:rsid w:val="001D4369"/>
    <w:rsid w:val="001F3021"/>
    <w:rsid w:val="002119B2"/>
    <w:rsid w:val="002137AC"/>
    <w:rsid w:val="00230CEC"/>
    <w:rsid w:val="00235103"/>
    <w:rsid w:val="00240375"/>
    <w:rsid w:val="00253DE0"/>
    <w:rsid w:val="002B084A"/>
    <w:rsid w:val="002B1E94"/>
    <w:rsid w:val="002B6E25"/>
    <w:rsid w:val="002C1467"/>
    <w:rsid w:val="002C750F"/>
    <w:rsid w:val="002F723A"/>
    <w:rsid w:val="0030075E"/>
    <w:rsid w:val="003039F0"/>
    <w:rsid w:val="00311EDC"/>
    <w:rsid w:val="0031430C"/>
    <w:rsid w:val="00350D6F"/>
    <w:rsid w:val="003618EB"/>
    <w:rsid w:val="00365210"/>
    <w:rsid w:val="00384E27"/>
    <w:rsid w:val="00392A5B"/>
    <w:rsid w:val="00395179"/>
    <w:rsid w:val="003B71BF"/>
    <w:rsid w:val="003D12F8"/>
    <w:rsid w:val="003D233F"/>
    <w:rsid w:val="00405895"/>
    <w:rsid w:val="0041342D"/>
    <w:rsid w:val="0042562D"/>
    <w:rsid w:val="004453DF"/>
    <w:rsid w:val="004525FF"/>
    <w:rsid w:val="00455C67"/>
    <w:rsid w:val="00460D7F"/>
    <w:rsid w:val="00465E2A"/>
    <w:rsid w:val="00477DDE"/>
    <w:rsid w:val="00490DB8"/>
    <w:rsid w:val="00492E98"/>
    <w:rsid w:val="004D2A43"/>
    <w:rsid w:val="004E1E68"/>
    <w:rsid w:val="004E66F6"/>
    <w:rsid w:val="004F06E2"/>
    <w:rsid w:val="00502462"/>
    <w:rsid w:val="00512101"/>
    <w:rsid w:val="00521F80"/>
    <w:rsid w:val="0052343F"/>
    <w:rsid w:val="0052380A"/>
    <w:rsid w:val="00524369"/>
    <w:rsid w:val="00534852"/>
    <w:rsid w:val="005413FB"/>
    <w:rsid w:val="00544958"/>
    <w:rsid w:val="0057063C"/>
    <w:rsid w:val="005963DD"/>
    <w:rsid w:val="005D21A0"/>
    <w:rsid w:val="005D64A0"/>
    <w:rsid w:val="00634F6C"/>
    <w:rsid w:val="006436E3"/>
    <w:rsid w:val="006B0C97"/>
    <w:rsid w:val="006B17FD"/>
    <w:rsid w:val="006B4E91"/>
    <w:rsid w:val="006F0534"/>
    <w:rsid w:val="006F4686"/>
    <w:rsid w:val="006F6E7A"/>
    <w:rsid w:val="00734668"/>
    <w:rsid w:val="00746EBC"/>
    <w:rsid w:val="007501B0"/>
    <w:rsid w:val="00757AD5"/>
    <w:rsid w:val="00776223"/>
    <w:rsid w:val="007831C7"/>
    <w:rsid w:val="007B1352"/>
    <w:rsid w:val="00800EBB"/>
    <w:rsid w:val="00805D41"/>
    <w:rsid w:val="0081011F"/>
    <w:rsid w:val="00811300"/>
    <w:rsid w:val="00827640"/>
    <w:rsid w:val="008925D1"/>
    <w:rsid w:val="008A15CE"/>
    <w:rsid w:val="008A7B38"/>
    <w:rsid w:val="008C2EDB"/>
    <w:rsid w:val="008D333B"/>
    <w:rsid w:val="008E7835"/>
    <w:rsid w:val="00900AE0"/>
    <w:rsid w:val="00911E2E"/>
    <w:rsid w:val="00927690"/>
    <w:rsid w:val="00930EB4"/>
    <w:rsid w:val="009355BC"/>
    <w:rsid w:val="00941CC1"/>
    <w:rsid w:val="00951850"/>
    <w:rsid w:val="00955EB9"/>
    <w:rsid w:val="009649FD"/>
    <w:rsid w:val="009A2C75"/>
    <w:rsid w:val="009B5526"/>
    <w:rsid w:val="009C3CD5"/>
    <w:rsid w:val="009C7664"/>
    <w:rsid w:val="009D4CA0"/>
    <w:rsid w:val="009E071F"/>
    <w:rsid w:val="009E1D2F"/>
    <w:rsid w:val="00A05345"/>
    <w:rsid w:val="00A33B98"/>
    <w:rsid w:val="00A42EF5"/>
    <w:rsid w:val="00A53450"/>
    <w:rsid w:val="00A9006E"/>
    <w:rsid w:val="00A93882"/>
    <w:rsid w:val="00AC188F"/>
    <w:rsid w:val="00AD692E"/>
    <w:rsid w:val="00AF15C7"/>
    <w:rsid w:val="00AF2E80"/>
    <w:rsid w:val="00B24FAE"/>
    <w:rsid w:val="00B3137A"/>
    <w:rsid w:val="00B32BF8"/>
    <w:rsid w:val="00B42CE1"/>
    <w:rsid w:val="00C37574"/>
    <w:rsid w:val="00C41279"/>
    <w:rsid w:val="00C43D12"/>
    <w:rsid w:val="00C46753"/>
    <w:rsid w:val="00C57E3A"/>
    <w:rsid w:val="00C759AB"/>
    <w:rsid w:val="00C86E1A"/>
    <w:rsid w:val="00C87965"/>
    <w:rsid w:val="00C94D92"/>
    <w:rsid w:val="00CA7151"/>
    <w:rsid w:val="00CB15B1"/>
    <w:rsid w:val="00CE48A3"/>
    <w:rsid w:val="00D025D9"/>
    <w:rsid w:val="00D269E2"/>
    <w:rsid w:val="00D365DB"/>
    <w:rsid w:val="00D528A2"/>
    <w:rsid w:val="00D8348B"/>
    <w:rsid w:val="00D86088"/>
    <w:rsid w:val="00D90C82"/>
    <w:rsid w:val="00DA527B"/>
    <w:rsid w:val="00DB2545"/>
    <w:rsid w:val="00DD6A2A"/>
    <w:rsid w:val="00DF2C00"/>
    <w:rsid w:val="00E17027"/>
    <w:rsid w:val="00E20839"/>
    <w:rsid w:val="00EB2F37"/>
    <w:rsid w:val="00EB3182"/>
    <w:rsid w:val="00EF773F"/>
    <w:rsid w:val="00F02472"/>
    <w:rsid w:val="00F06F88"/>
    <w:rsid w:val="00F505CF"/>
    <w:rsid w:val="00F67542"/>
    <w:rsid w:val="00F832C9"/>
    <w:rsid w:val="00F95194"/>
    <w:rsid w:val="00FF36A0"/>
    <w:rsid w:val="046C4B5A"/>
    <w:rsid w:val="62244678"/>
    <w:rsid w:val="714F302E"/>
    <w:rsid w:val="7B7043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Calibri" w:hAnsi="Calibri" w:eastAsia="Calibri" w:cs="Calibri"/>
      <w:color w:val="000000"/>
      <w:kern w:val="2"/>
      <w:sz w:val="21"/>
      <w:szCs w:val="21"/>
      <w:u w:color="000000"/>
      <w:lang w:val="en-US" w:eastAsia="zh-CN" w:bidi="ar-SA"/>
    </w:rPr>
  </w:style>
  <w:style w:type="paragraph" w:styleId="2">
    <w:name w:val="heading 1"/>
    <w:next w:val="1"/>
    <w:link w:val="10"/>
    <w:qFormat/>
    <w:uiPriority w:val="0"/>
    <w:pPr>
      <w:keepNext/>
      <w:keepLines/>
      <w:widowControl w:val="0"/>
      <w:pBdr>
        <w:top w:val="none" w:color="auto" w:sz="0" w:space="0"/>
        <w:left w:val="none" w:color="auto" w:sz="0" w:space="0"/>
        <w:bottom w:val="none" w:color="auto" w:sz="0" w:space="0"/>
        <w:right w:val="none" w:color="auto" w:sz="0" w:space="0"/>
        <w:between w:val="none" w:color="auto" w:sz="0" w:space="0"/>
      </w:pBdr>
      <w:spacing w:before="340" w:after="330" w:line="578" w:lineRule="auto"/>
      <w:jc w:val="both"/>
      <w:outlineLvl w:val="0"/>
    </w:pPr>
    <w:rPr>
      <w:rFonts w:hint="eastAsia" w:ascii="Arial Unicode MS" w:hAnsi="Arial Unicode MS" w:eastAsia="Times New Roman" w:cs="Arial Unicode MS"/>
      <w:b/>
      <w:bCs/>
      <w:color w:val="000000"/>
      <w:kern w:val="44"/>
      <w:sz w:val="44"/>
      <w:szCs w:val="44"/>
      <w:u w:color="000000"/>
      <w:lang w:val="en-US" w:eastAsia="zh-CN" w:bidi="ar-SA"/>
    </w:rPr>
  </w:style>
  <w:style w:type="paragraph" w:styleId="3">
    <w:name w:val="heading 2"/>
    <w:next w:val="1"/>
    <w:link w:val="11"/>
    <w:qFormat/>
    <w:uiPriority w:val="0"/>
    <w:pPr>
      <w:keepNext/>
      <w:keepLines/>
      <w:widowControl w:val="0"/>
      <w:pBdr>
        <w:top w:val="none" w:color="auto" w:sz="0" w:space="0"/>
        <w:left w:val="none" w:color="auto" w:sz="0" w:space="0"/>
        <w:bottom w:val="none" w:color="auto" w:sz="0" w:space="0"/>
        <w:right w:val="none" w:color="auto" w:sz="0" w:space="0"/>
        <w:between w:val="none" w:color="auto" w:sz="0" w:space="0"/>
      </w:pBdr>
      <w:spacing w:before="260" w:after="260" w:line="416" w:lineRule="auto"/>
      <w:jc w:val="both"/>
      <w:outlineLvl w:val="1"/>
    </w:pPr>
    <w:rPr>
      <w:rFonts w:ascii="Cambria" w:hAnsi="Cambria" w:eastAsia="Cambria" w:cs="Cambria"/>
      <w:b/>
      <w:bCs/>
      <w:color w:val="000000"/>
      <w:kern w:val="2"/>
      <w:sz w:val="32"/>
      <w:szCs w:val="32"/>
      <w:u w:color="000000"/>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Date"/>
    <w:basedOn w:val="1"/>
    <w:next w:val="1"/>
    <w:link w:val="17"/>
    <w:semiHidden/>
    <w:unhideWhenUsed/>
    <w:qFormat/>
    <w:uiPriority w:val="99"/>
    <w:pPr>
      <w:ind w:left="100" w:leftChars="2500"/>
    </w:p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page number"/>
    <w:basedOn w:val="8"/>
    <w:semiHidden/>
    <w:unhideWhenUsed/>
    <w:uiPriority w:val="99"/>
  </w:style>
  <w:style w:type="character" w:customStyle="1" w:styleId="10">
    <w:name w:val="标题 1字符"/>
    <w:basedOn w:val="8"/>
    <w:link w:val="2"/>
    <w:qFormat/>
    <w:uiPriority w:val="0"/>
    <w:rPr>
      <w:rFonts w:ascii="Arial Unicode MS" w:hAnsi="Arial Unicode MS" w:eastAsia="Times New Roman" w:cs="Arial Unicode MS"/>
      <w:b/>
      <w:bCs/>
      <w:color w:val="000000"/>
      <w:kern w:val="44"/>
      <w:sz w:val="44"/>
      <w:szCs w:val="44"/>
      <w:u w:color="000000"/>
    </w:rPr>
  </w:style>
  <w:style w:type="character" w:customStyle="1" w:styleId="11">
    <w:name w:val="标题 2字符"/>
    <w:basedOn w:val="8"/>
    <w:link w:val="3"/>
    <w:qFormat/>
    <w:uiPriority w:val="0"/>
    <w:rPr>
      <w:rFonts w:ascii="Cambria" w:hAnsi="Cambria" w:eastAsia="Cambria" w:cs="Cambria"/>
      <w:b/>
      <w:bCs/>
      <w:color w:val="000000"/>
      <w:sz w:val="32"/>
      <w:szCs w:val="32"/>
      <w:u w:color="000000"/>
    </w:rPr>
  </w:style>
  <w:style w:type="table" w:customStyle="1" w:styleId="12">
    <w:name w:val="Table 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cs="Times New Roman"/>
      <w:kern w:val="0"/>
      <w:sz w:val="20"/>
      <w:szCs w:val="20"/>
    </w:rPr>
    <w:tblPr>
      <w:tblCellMar>
        <w:top w:w="0" w:type="dxa"/>
        <w:left w:w="0" w:type="dxa"/>
        <w:bottom w:w="0" w:type="dxa"/>
        <w:right w:w="0" w:type="dxa"/>
      </w:tblCellMar>
    </w:tblPr>
  </w:style>
  <w:style w:type="paragraph" w:customStyle="1" w:styleId="13">
    <w:name w:val="页眉与页脚"/>
    <w:qFormat/>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w:hAnsi="Helvetica" w:eastAsia="Arial Unicode MS" w:cs="Arial Unicode MS"/>
      <w:color w:val="000000"/>
      <w:kern w:val="0"/>
      <w:sz w:val="24"/>
      <w:szCs w:val="24"/>
      <w:lang w:val="en-US" w:eastAsia="zh-CN" w:bidi="ar-SA"/>
    </w:rPr>
  </w:style>
  <w:style w:type="character" w:customStyle="1" w:styleId="14">
    <w:name w:val="页脚字符"/>
    <w:basedOn w:val="8"/>
    <w:link w:val="5"/>
    <w:qFormat/>
    <w:uiPriority w:val="99"/>
    <w:rPr>
      <w:rFonts w:ascii="Calibri" w:hAnsi="Calibri" w:eastAsia="Calibri" w:cs="Calibri"/>
      <w:color w:val="000000"/>
      <w:sz w:val="18"/>
      <w:szCs w:val="18"/>
      <w:u w:color="000000"/>
    </w:rPr>
  </w:style>
  <w:style w:type="character" w:customStyle="1" w:styleId="15">
    <w:name w:val="页眉字符"/>
    <w:basedOn w:val="8"/>
    <w:link w:val="6"/>
    <w:qFormat/>
    <w:uiPriority w:val="99"/>
    <w:rPr>
      <w:rFonts w:ascii="Calibri" w:hAnsi="Calibri" w:eastAsia="Calibri" w:cs="Calibri"/>
      <w:color w:val="000000"/>
      <w:sz w:val="18"/>
      <w:szCs w:val="18"/>
      <w:u w:color="000000"/>
    </w:rPr>
  </w:style>
  <w:style w:type="paragraph" w:styleId="16">
    <w:name w:val="List Paragraph"/>
    <w:basedOn w:val="1"/>
    <w:qFormat/>
    <w:uiPriority w:val="34"/>
    <w:pPr>
      <w:ind w:firstLine="420" w:firstLineChars="200"/>
    </w:pPr>
  </w:style>
  <w:style w:type="character" w:customStyle="1" w:styleId="17">
    <w:name w:val="日期字符"/>
    <w:basedOn w:val="8"/>
    <w:link w:val="4"/>
    <w:semiHidden/>
    <w:qFormat/>
    <w:uiPriority w:val="99"/>
    <w:rPr>
      <w:rFonts w:ascii="Calibri" w:hAnsi="Calibri" w:eastAsia="Calibri" w:cs="Calibri"/>
      <w:color w:val="000000"/>
      <w:sz w:val="21"/>
      <w:szCs w:val="21"/>
      <w:u w:color="00000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457</Words>
  <Characters>2607</Characters>
  <Lines>21</Lines>
  <Paragraphs>6</Paragraphs>
  <TotalTime>71</TotalTime>
  <ScaleCrop>false</ScaleCrop>
  <LinksUpToDate>false</LinksUpToDate>
  <CharactersWithSpaces>3058</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2021-08-16T07:38:00Z</dcterms:created>
  <dc:creator>Microsoft Office 用户</dc:creator>
  <cp:lastModifiedBy>NTKO</cp:lastModifiedBy>
  <dcterms:modified xsi:type="dcterms:W3CDTF">2021-09-02T06:40:04Z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68BEB7F4901B4739B0E3D641098473CB</vt:lpwstr>
  </property>
</Properties>
</file>