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val="0"/>
          <w:bCs w:val="0"/>
          <w:sz w:val="22"/>
          <w:szCs w:val="28"/>
          <w:lang w:val="en-US" w:eastAsia="zh-CN"/>
        </w:rPr>
      </w:pPr>
      <w:r>
        <w:rPr>
          <w:rFonts w:hint="eastAsia" w:ascii="黑体" w:hAnsi="黑体" w:eastAsia="黑体" w:cs="黑体"/>
          <w:b/>
          <w:bCs/>
          <w:sz w:val="32"/>
          <w:szCs w:val="40"/>
          <w:lang w:val="en-US" w:eastAsia="zh-CN"/>
        </w:rPr>
        <w:t xml:space="preserve">              9月理论学习（王暑雅）        </w:t>
      </w:r>
      <w:r>
        <w:rPr>
          <w:rFonts w:hint="eastAsia" w:ascii="黑体" w:hAnsi="黑体" w:eastAsia="黑体" w:cs="黑体"/>
          <w:b w:val="0"/>
          <w:bCs w:val="0"/>
          <w:sz w:val="22"/>
          <w:szCs w:val="28"/>
          <w:lang w:val="en-US" w:eastAsia="zh-CN"/>
        </w:rPr>
        <w:t>2022.9</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7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vertAlign w:val="baseline"/>
              </w:rPr>
            </w:pPr>
            <w:r>
              <w:rPr>
                <w:rFonts w:hint="eastAsia" w:ascii="黑体" w:hAnsi="黑体" w:eastAsia="黑体" w:cs="黑体"/>
                <w:b/>
                <w:bCs/>
                <w:sz w:val="28"/>
                <w:szCs w:val="36"/>
                <w:lang w:val="en-US" w:eastAsia="zh-CN"/>
              </w:rPr>
              <w:t>【论文题目】</w:t>
            </w:r>
          </w:p>
        </w:tc>
        <w:tc>
          <w:tcPr>
            <w:tcW w:w="6623" w:type="dxa"/>
            <w:vAlign w:val="center"/>
          </w:tcPr>
          <w:p>
            <w:pPr>
              <w:spacing w:line="360" w:lineRule="auto"/>
              <w:jc w:val="center"/>
              <w:rPr>
                <w:rFonts w:hint="default"/>
                <w:vertAlign w:val="baseline"/>
                <w:lang w:val="en-US"/>
              </w:rPr>
            </w:pPr>
            <w:r>
              <w:rPr>
                <w:rFonts w:hint="eastAsia" w:ascii="宋体" w:hAnsi="宋体" w:eastAsia="宋体" w:cs="宋体"/>
                <w:b/>
                <w:bCs/>
                <w:sz w:val="24"/>
                <w:szCs w:val="32"/>
                <w:lang w:val="en-US" w:eastAsia="zh-CN"/>
              </w:rPr>
              <w:t xml:space="preserve">《培养小学数学阅读能力的策略研究》   作者：褚兴杰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rFonts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b/>
                <w:bCs/>
                <w:sz w:val="28"/>
                <w:szCs w:val="36"/>
                <w:lang w:val="en-US" w:eastAsia="zh-CN"/>
              </w:rPr>
              <w:t>【学习摘要】</w:t>
            </w:r>
          </w:p>
        </w:tc>
        <w:tc>
          <w:tcPr>
            <w:tcW w:w="6623"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Theme="minorEastAsia"/>
                <w:vertAlign w:val="baseline"/>
                <w:lang w:eastAsia="zh-CN"/>
              </w:rPr>
            </w:pPr>
            <w:bookmarkStart w:id="0" w:name="_GoBack"/>
            <w:r>
              <w:rPr>
                <w:rFonts w:hint="eastAsia" w:eastAsiaTheme="minorEastAsia"/>
                <w:vertAlign w:val="baseline"/>
                <w:lang w:eastAsia="zh-CN"/>
              </w:rPr>
              <w:drawing>
                <wp:inline distT="0" distB="0" distL="114300" distR="114300">
                  <wp:extent cx="4476750" cy="1820545"/>
                  <wp:effectExtent l="0" t="0" r="0" b="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4">
                            <a:clrChange>
                              <a:clrFrom>
                                <a:srgbClr val="F9F9F9">
                                  <a:alpha val="100000"/>
                                </a:srgbClr>
                              </a:clrFrom>
                              <a:clrTo>
                                <a:srgbClr val="F9F9F9">
                                  <a:alpha val="100000"/>
                                  <a:alpha val="0"/>
                                </a:srgbClr>
                              </a:clrTo>
                            </a:clrChange>
                          </a:blip>
                          <a:stretch>
                            <a:fillRect/>
                          </a:stretch>
                        </pic:blipFill>
                        <pic:spPr>
                          <a:xfrm>
                            <a:off x="0" y="0"/>
                            <a:ext cx="4476750" cy="1820545"/>
                          </a:xfrm>
                          <a:prstGeom prst="rect">
                            <a:avLst/>
                          </a:prstGeom>
                        </pic:spPr>
                      </pic:pic>
                    </a:graphicData>
                  </a:graphic>
                </wp:inline>
              </w:drawing>
            </w:r>
            <w:bookmarkEnd w:id="0"/>
            <w:r>
              <w:rPr>
                <w:rFonts w:hint="eastAsia" w:eastAsiaTheme="minorEastAsia"/>
                <w:vertAlign w:val="baseline"/>
                <w:lang w:eastAsia="zh-CN"/>
              </w:rPr>
              <w:drawing>
                <wp:inline distT="0" distB="0" distL="114300" distR="114300">
                  <wp:extent cx="4570095" cy="3614420"/>
                  <wp:effectExtent l="0" t="0" r="0" b="5080"/>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
                          <pic:cNvPicPr>
                            <a:picLocks noChangeAspect="1"/>
                          </pic:cNvPicPr>
                        </pic:nvPicPr>
                        <pic:blipFill>
                          <a:blip r:embed="rId5">
                            <a:clrChange>
                              <a:clrFrom>
                                <a:srgbClr val="F9F9F9">
                                  <a:alpha val="100000"/>
                                </a:srgbClr>
                              </a:clrFrom>
                              <a:clrTo>
                                <a:srgbClr val="F9F9F9">
                                  <a:alpha val="100000"/>
                                  <a:alpha val="0"/>
                                </a:srgbClr>
                              </a:clrTo>
                            </a:clrChange>
                          </a:blip>
                          <a:stretch>
                            <a:fillRect/>
                          </a:stretch>
                        </pic:blipFill>
                        <pic:spPr>
                          <a:xfrm>
                            <a:off x="0" y="0"/>
                            <a:ext cx="4570095" cy="36144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jc w:val="center"/>
              <w:rPr>
                <w:vertAlign w:val="baseline"/>
              </w:rPr>
            </w:pPr>
            <w:r>
              <w:rPr>
                <w:rFonts w:hint="eastAsia" w:ascii="黑体" w:hAnsi="黑体" w:eastAsia="黑体" w:cs="黑体"/>
                <w:b/>
                <w:bCs/>
                <w:sz w:val="28"/>
                <w:szCs w:val="36"/>
                <w:lang w:val="en-US" w:eastAsia="zh-CN"/>
              </w:rPr>
              <w:t>【学习反思】</w:t>
            </w:r>
          </w:p>
        </w:tc>
        <w:tc>
          <w:tcPr>
            <w:tcW w:w="6623" w:type="dxa"/>
          </w:tcPr>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小学数学语言具有严谨、抽象、简洁等特点， 因此在培养 小学生的阅读能力时， 应注重培养学生的思考能力和探究能 力。为了进一步提高小学数学的阅读效果， 深化小学数学阅 读的内容， 需要注重进行探究性的阅读思考。一方面， 教师 应着重强调探究性的阅读方式， 转变自身原有的教学观念， 重视激发学生的创造力和想象力， 提倡学生进行自主阅读学 习， 除了教材内容的阅读外， 还应不断拓展课外的数学阅读， 并带着问题找答案， 进行探究性的阅读， 从中体会数学阅读 知识的奥妙， 提高学生的逻辑思维能力； 另一方面， 在小学 数学的阅读中， 教师应引导学生进行重点性学习。数学教材 阅读内容中包含着多方面的阅读内容， 而为了有效地提高小 学生阅读的质量和效率， 就需要注重小学生的重点性阅读， 通过对教材内容中具有概括性质以及总结性质的阅读内容 进行重点阅读和理解， 以及教材中字体颜色、字号与其他字 体不同的重点性词语的着重阅读， 提高小学生的阅读实效。</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在小学数学阅读中， 教师应立足于数学教材， 落实数学 教材相关内容的阅读。一方面， 由于小学生的心智发展较 为不成熟， 对于数学知识的理解也较为浅显， 教师在引导学 生数学知识的阅读时， 应充分结合学生的数学学习情况， 制 定符合学生教学发展的阅读内容。教师还应熟练掌握数学 教材中的内容特点和编排的意图， 梳理数学教材内容， 整理 阅读知识。教师可以引导学生充分挖掘数学教材中不同数 学知识的关联信息， 将数学的相关知识进行体系化的阅读教 学， 将新的数学知识与旧的数学知识串联， 从而深化数学学 习的系统性和有序性。</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NjBmNGQ2ZjhjY2Y4MzY5YmQ3MWMzMzZhY2MwY2IifQ=="/>
  </w:docVars>
  <w:rsids>
    <w:rsidRoot w:val="25DE4717"/>
    <w:rsid w:val="1E7948A6"/>
    <w:rsid w:val="202335B1"/>
    <w:rsid w:val="25DE4717"/>
    <w:rsid w:val="3DF86A81"/>
    <w:rsid w:val="58F9280C"/>
    <w:rsid w:val="7B1F5459"/>
    <w:rsid w:val="7D092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681</Words>
  <Characters>686</Characters>
  <Lines>0</Lines>
  <Paragraphs>0</Paragraphs>
  <TotalTime>0</TotalTime>
  <ScaleCrop>false</ScaleCrop>
  <LinksUpToDate>false</LinksUpToDate>
  <CharactersWithSpaces>766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2022-06-28T00:47:00Z</dcterms:created>
  <dc:creator>肉多多wsy</dc:creator>
  <cp:lastModifiedBy>肉多多wsy</cp:lastModifiedBy>
  <dcterms:modified xsi:type="dcterms:W3CDTF">2022-11-16T01:36:36Z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8A85B1803DDF4179BC1FC137E7CB4AE4</vt:lpwstr>
  </property>
</Properties>
</file>