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color w:val="000000"/>
          <w:sz w:val="28"/>
          <w:szCs w:val="28"/>
        </w:rPr>
        <w:t>关于组织20</w:t>
      </w:r>
      <w:r>
        <w:rPr>
          <w:rFonts w:hint="eastAsia" w:ascii="黑体" w:hAnsi="黑体" w:eastAsia="黑体" w:cs="黑体"/>
          <w:b/>
          <w:bCs/>
          <w:color w:val="000000"/>
          <w:sz w:val="28"/>
          <w:szCs w:val="28"/>
          <w:lang w:val="en-US" w:eastAsia="zh-CN"/>
        </w:rPr>
        <w:t>22</w:t>
      </w:r>
      <w:r>
        <w:rPr>
          <w:rFonts w:hint="eastAsia" w:ascii="黑体" w:hAnsi="黑体" w:eastAsia="黑体" w:cs="黑体"/>
          <w:b/>
          <w:bCs/>
          <w:color w:val="000000"/>
          <w:sz w:val="28"/>
          <w:szCs w:val="28"/>
        </w:rPr>
        <w:t>年</w:t>
      </w:r>
      <w:r>
        <w:rPr>
          <w:rFonts w:hint="eastAsia" w:ascii="黑体" w:hAnsi="黑体" w:eastAsia="黑体" w:cs="黑体"/>
          <w:b/>
          <w:bCs/>
          <w:color w:val="000000"/>
          <w:sz w:val="28"/>
          <w:szCs w:val="28"/>
          <w:lang w:val="en-US" w:eastAsia="zh-CN"/>
        </w:rPr>
        <w:t>常州</w:t>
      </w:r>
      <w:r>
        <w:rPr>
          <w:rFonts w:hint="eastAsia" w:ascii="黑体" w:hAnsi="黑体" w:eastAsia="黑体" w:cs="黑体"/>
          <w:b/>
          <w:bCs/>
          <w:color w:val="000000"/>
          <w:sz w:val="28"/>
          <w:szCs w:val="28"/>
        </w:rPr>
        <w:t>市高中音乐教师基本功比赛的通知</w:t>
      </w:r>
    </w:p>
    <w:p>
      <w:pPr>
        <w:spacing w:line="360" w:lineRule="auto"/>
        <w:rPr>
          <w:rFonts w:hint="eastAsia" w:ascii="宋体" w:hAnsi="宋体"/>
          <w:sz w:val="24"/>
          <w:lang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各辖市（区）教师发展中心、局属各高中</w:t>
      </w:r>
      <w:r>
        <w:rPr>
          <w:rFonts w:hint="eastAsia" w:ascii="宋体" w:hAnsi="宋体"/>
          <w:b/>
          <w:bCs/>
          <w:sz w:val="24"/>
        </w:rPr>
        <w:t>：</w:t>
      </w:r>
      <w:r>
        <w:rPr>
          <w:rFonts w:ascii="宋体" w:hAnsi="宋体"/>
          <w:b/>
          <w:bCs/>
          <w:sz w:val="24"/>
        </w:rPr>
        <w:br w:type="textWrapping"/>
      </w:r>
      <w:r>
        <w:rPr>
          <w:rFonts w:hint="eastAsia" w:ascii="宋体" w:hAnsi="宋体"/>
          <w:szCs w:val="23"/>
        </w:rPr>
        <w:t>　</w:t>
      </w:r>
      <w:r>
        <w:rPr>
          <w:rFonts w:hint="eastAsia" w:ascii="宋体" w:hAnsi="宋体"/>
          <w:sz w:val="24"/>
        </w:rPr>
        <w:t>　为进一步提升高中音乐教师的专业技能和教学能力，打造一支专业素养高、教学基本功扎实的师资队伍，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并选拔优秀教师参加江苏省高中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音乐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青年教师教学基本功比赛，根据有关文件精神并报请相关领导批准，</w:t>
      </w:r>
      <w:r>
        <w:rPr>
          <w:rFonts w:hint="eastAsia" w:ascii="宋体" w:hAnsi="宋体"/>
          <w:sz w:val="24"/>
          <w:szCs w:val="24"/>
        </w:rPr>
        <w:t>决</w:t>
      </w:r>
      <w:r>
        <w:rPr>
          <w:rFonts w:hint="eastAsia" w:ascii="宋体" w:hAnsi="宋体"/>
          <w:sz w:val="24"/>
        </w:rPr>
        <w:t>定于20</w:t>
      </w:r>
      <w:r>
        <w:rPr>
          <w:rFonts w:hint="eastAsia" w:ascii="宋体" w:hAnsi="宋体"/>
          <w:sz w:val="24"/>
          <w:lang w:val="en-US" w:eastAsia="zh-CN"/>
        </w:rPr>
        <w:t>22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lang w:val="en-US" w:eastAsia="zh-CN"/>
        </w:rPr>
        <w:t>5</w:t>
      </w:r>
      <w:r>
        <w:rPr>
          <w:rFonts w:hint="eastAsia" w:ascii="宋体" w:hAnsi="宋体"/>
          <w:sz w:val="24"/>
        </w:rPr>
        <w:t>月组织</w:t>
      </w:r>
      <w:r>
        <w:rPr>
          <w:rFonts w:hint="eastAsia" w:ascii="宋体" w:hAnsi="宋体"/>
          <w:sz w:val="24"/>
          <w:lang w:val="en-US" w:eastAsia="zh-CN"/>
        </w:rPr>
        <w:t>常州</w:t>
      </w:r>
      <w:r>
        <w:rPr>
          <w:rFonts w:hint="eastAsia" w:ascii="宋体" w:hAnsi="宋体"/>
          <w:sz w:val="24"/>
        </w:rPr>
        <w:t>市高中音乐教师基本功比赛。现将有关事项通知如下</w:t>
      </w:r>
      <w:r>
        <w:rPr>
          <w:rFonts w:hint="eastAsia" w:ascii="宋体" w:hAnsi="宋体"/>
          <w:sz w:val="24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ind w:firstLine="0" w:firstLineChars="0"/>
        <w:textAlignment w:val="auto"/>
        <w:rPr>
          <w:rFonts w:hint="eastAsia" w:ascii="宋体" w:hAnsi="宋体" w:eastAsia="宋体"/>
          <w:b/>
          <w:bCs/>
          <w:sz w:val="24"/>
          <w:lang w:val="en-US" w:eastAsia="zh-CN"/>
        </w:rPr>
      </w:pPr>
      <w:r>
        <w:rPr>
          <w:rFonts w:hint="eastAsia" w:ascii="宋体" w:hAnsi="宋体"/>
          <w:b/>
          <w:bCs/>
          <w:sz w:val="24"/>
          <w:lang w:val="en-US" w:eastAsia="zh-CN"/>
        </w:rPr>
        <w:t>一</w:t>
      </w:r>
      <w:r>
        <w:rPr>
          <w:rFonts w:hint="eastAsia" w:ascii="宋体" w:hAnsi="宋体"/>
          <w:b/>
          <w:bCs/>
          <w:sz w:val="24"/>
        </w:rPr>
        <w:t>、参赛</w:t>
      </w:r>
      <w:r>
        <w:rPr>
          <w:rFonts w:hint="eastAsia" w:ascii="宋体" w:hAnsi="宋体"/>
          <w:b/>
          <w:bCs/>
          <w:sz w:val="24"/>
          <w:lang w:val="en-US" w:eastAsia="zh-CN"/>
        </w:rPr>
        <w:t>对象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ind w:left="0" w:firstLine="48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1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eastAsia="zh-CN"/>
        </w:rPr>
        <w:t>.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基本条件：40周岁以下（1982年1月1日以后出生）、具备教师资格的在职高中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音乐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教师均可参加比赛（已获省基础教育青年教师教学基本功大赛一等奖者除外）。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ind w:left="0" w:firstLine="48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eastAsia="zh-CN"/>
        </w:rPr>
        <w:t>.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名额分配：市区（含局属、新北区、经开区）4人，武进2人，金坛2人，溧阳2人。请各区域做好选拔工作。</w:t>
      </w:r>
    </w:p>
    <w:p>
      <w:pPr>
        <w:spacing w:line="360" w:lineRule="auto"/>
        <w:rPr>
          <w:rFonts w:hint="eastAsia"/>
          <w:color w:val="000000"/>
          <w:sz w:val="24"/>
        </w:rPr>
      </w:pPr>
      <w:r>
        <w:rPr>
          <w:rFonts w:hint="eastAsia"/>
          <w:b/>
          <w:bCs/>
          <w:color w:val="000000"/>
          <w:sz w:val="24"/>
          <w:lang w:val="en-US" w:eastAsia="zh-CN"/>
        </w:rPr>
        <w:t>二</w:t>
      </w:r>
      <w:r>
        <w:rPr>
          <w:rFonts w:hint="eastAsia"/>
          <w:b/>
          <w:bCs/>
          <w:color w:val="000000"/>
          <w:sz w:val="24"/>
        </w:rPr>
        <w:t>、比赛程序</w:t>
      </w:r>
    </w:p>
    <w:p>
      <w:pPr>
        <w:spacing w:line="360" w:lineRule="auto"/>
        <w:ind w:firstLine="420"/>
        <w:rPr>
          <w:rFonts w:hint="eastAsia" w:ascii="宋体" w:hAnsi="宋体"/>
          <w:sz w:val="24"/>
        </w:rPr>
      </w:pPr>
      <w:r>
        <w:rPr>
          <w:rFonts w:hint="eastAsia" w:ascii="宋体" w:hAnsi="宋体"/>
          <w:color w:val="000000"/>
          <w:sz w:val="24"/>
        </w:rPr>
        <w:t xml:space="preserve"> 本次比赛分</w:t>
      </w:r>
      <w:r>
        <w:rPr>
          <w:rFonts w:hint="eastAsia" w:ascii="宋体" w:hAnsi="宋体"/>
          <w:color w:val="000000"/>
          <w:sz w:val="24"/>
          <w:lang w:val="en-US" w:eastAsia="zh-CN"/>
        </w:rPr>
        <w:t>为</w:t>
      </w:r>
      <w:r>
        <w:rPr>
          <w:rFonts w:hint="eastAsia" w:ascii="宋体" w:hAnsi="宋体"/>
          <w:color w:val="000000"/>
          <w:sz w:val="24"/>
        </w:rPr>
        <w:t>两</w:t>
      </w:r>
      <w:r>
        <w:rPr>
          <w:rFonts w:hint="eastAsia" w:ascii="宋体" w:hAnsi="宋体"/>
          <w:color w:val="000000"/>
          <w:sz w:val="24"/>
          <w:lang w:val="en-US" w:eastAsia="zh-CN"/>
        </w:rPr>
        <w:t>项</w:t>
      </w:r>
      <w:r>
        <w:rPr>
          <w:rFonts w:hint="eastAsia" w:ascii="宋体" w:hAnsi="宋体"/>
          <w:color w:val="000000"/>
          <w:sz w:val="24"/>
        </w:rPr>
        <w:t>。</w:t>
      </w:r>
      <w:r>
        <w:rPr>
          <w:rFonts w:hint="eastAsia" w:ascii="宋体" w:hAnsi="宋体"/>
          <w:sz w:val="24"/>
        </w:rPr>
        <w:t>第一</w:t>
      </w:r>
      <w:r>
        <w:rPr>
          <w:rFonts w:hint="eastAsia" w:ascii="宋体" w:hAnsi="宋体"/>
          <w:sz w:val="24"/>
          <w:lang w:val="en-US" w:eastAsia="zh-CN"/>
        </w:rPr>
        <w:t>项</w:t>
      </w:r>
      <w:r>
        <w:rPr>
          <w:rFonts w:hint="eastAsia" w:ascii="宋体" w:hAnsi="宋体"/>
          <w:sz w:val="24"/>
        </w:rPr>
        <w:t>为专业技能，第二</w:t>
      </w:r>
      <w:r>
        <w:rPr>
          <w:rFonts w:hint="eastAsia" w:ascii="宋体" w:hAnsi="宋体"/>
          <w:sz w:val="24"/>
          <w:lang w:val="en-US" w:eastAsia="zh-CN"/>
        </w:rPr>
        <w:t>项</w:t>
      </w:r>
      <w:r>
        <w:rPr>
          <w:rFonts w:hint="eastAsia" w:ascii="宋体" w:hAnsi="宋体"/>
          <w:sz w:val="24"/>
        </w:rPr>
        <w:t>为</w:t>
      </w:r>
      <w:r>
        <w:rPr>
          <w:rFonts w:hint="eastAsia" w:ascii="宋体" w:hAnsi="宋体"/>
          <w:sz w:val="24"/>
          <w:lang w:val="en-US" w:eastAsia="zh-CN"/>
        </w:rPr>
        <w:t>通用技能</w:t>
      </w:r>
      <w:r>
        <w:rPr>
          <w:rFonts w:hint="eastAsia" w:ascii="宋体" w:hAnsi="宋体"/>
          <w:sz w:val="24"/>
        </w:rPr>
        <w:t>。　　　</w:t>
      </w:r>
    </w:p>
    <w:p>
      <w:pPr>
        <w:spacing w:line="360" w:lineRule="auto"/>
        <w:rPr>
          <w:rFonts w:hint="eastAsia"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  <w:lang w:val="en-US" w:eastAsia="zh-CN"/>
        </w:rPr>
        <w:t>三</w:t>
      </w:r>
      <w:r>
        <w:rPr>
          <w:rFonts w:hint="eastAsia" w:ascii="宋体" w:hAnsi="宋体"/>
          <w:b/>
          <w:bCs/>
          <w:sz w:val="24"/>
        </w:rPr>
        <w:t>、比赛内容</w:t>
      </w:r>
    </w:p>
    <w:p>
      <w:pPr>
        <w:spacing w:line="360" w:lineRule="auto"/>
        <w:rPr>
          <w:rFonts w:hint="eastAsia"/>
          <w:color w:val="000000"/>
          <w:sz w:val="24"/>
        </w:rPr>
      </w:pPr>
      <w:r>
        <w:rPr>
          <w:rFonts w:hint="eastAsia"/>
          <w:color w:val="000000"/>
          <w:sz w:val="24"/>
        </w:rPr>
        <w:t>（一）专业技能</w:t>
      </w:r>
    </w:p>
    <w:p>
      <w:pPr>
        <w:numPr>
          <w:ilvl w:val="0"/>
          <w:numId w:val="0"/>
        </w:numPr>
        <w:tabs>
          <w:tab w:val="left" w:pos="360"/>
        </w:tabs>
        <w:spacing w:line="360" w:lineRule="auto"/>
        <w:ind w:firstLine="480" w:firstLineChars="200"/>
        <w:rPr>
          <w:rFonts w:hint="eastAsia"/>
          <w:sz w:val="24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1.</w:t>
      </w:r>
      <w:r>
        <w:rPr>
          <w:rFonts w:hint="eastAsia"/>
          <w:sz w:val="24"/>
        </w:rPr>
        <w:t>钢琴：</w:t>
      </w:r>
      <w:r>
        <w:rPr>
          <w:rFonts w:hint="eastAsia"/>
          <w:sz w:val="24"/>
          <w:lang w:val="en-US" w:eastAsia="zh-CN"/>
        </w:rPr>
        <w:t>演奏一首</w:t>
      </w:r>
      <w:r>
        <w:rPr>
          <w:rFonts w:hint="eastAsia"/>
          <w:sz w:val="24"/>
        </w:rPr>
        <w:t>独奏曲一首，</w:t>
      </w:r>
      <w:r>
        <w:rPr>
          <w:rFonts w:hint="eastAsia"/>
          <w:sz w:val="24"/>
          <w:lang w:val="en-US" w:eastAsia="zh-CN"/>
        </w:rPr>
        <w:t>限时</w:t>
      </w:r>
      <w:r>
        <w:rPr>
          <w:rFonts w:hint="eastAsia"/>
          <w:sz w:val="24"/>
        </w:rPr>
        <w:t>6分钟</w:t>
      </w:r>
      <w:r>
        <w:rPr>
          <w:rFonts w:hint="eastAsia"/>
          <w:sz w:val="24"/>
          <w:lang w:val="en-US" w:eastAsia="zh-CN"/>
        </w:rPr>
        <w:t>以内</w:t>
      </w:r>
      <w:r>
        <w:rPr>
          <w:rFonts w:hint="eastAsia"/>
          <w:sz w:val="24"/>
        </w:rPr>
        <w:t>。</w:t>
      </w:r>
    </w:p>
    <w:p>
      <w:pPr>
        <w:numPr>
          <w:ilvl w:val="0"/>
          <w:numId w:val="0"/>
        </w:numPr>
        <w:tabs>
          <w:tab w:val="left" w:pos="360"/>
        </w:tabs>
        <w:spacing w:line="360" w:lineRule="auto"/>
        <w:ind w:firstLine="480" w:firstLineChars="200"/>
        <w:rPr>
          <w:rFonts w:hint="eastAsia" w:ascii="宋体" w:hAnsi="宋体" w:cs="宋体"/>
          <w:sz w:val="24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2.</w:t>
      </w:r>
      <w:r>
        <w:rPr>
          <w:rFonts w:hint="eastAsia"/>
          <w:sz w:val="24"/>
        </w:rPr>
        <w:t>声乐：</w:t>
      </w:r>
      <w:r>
        <w:rPr>
          <w:rFonts w:hint="eastAsia"/>
          <w:sz w:val="24"/>
          <w:lang w:val="en-US" w:eastAsia="zh-CN"/>
        </w:rPr>
        <w:t>演唱一首</w:t>
      </w:r>
      <w:r>
        <w:rPr>
          <w:rFonts w:hint="eastAsia"/>
          <w:sz w:val="24"/>
        </w:rPr>
        <w:t>自选</w:t>
      </w:r>
      <w:r>
        <w:rPr>
          <w:rFonts w:hint="eastAsia"/>
          <w:sz w:val="24"/>
          <w:lang w:val="en-US" w:eastAsia="zh-CN"/>
        </w:rPr>
        <w:t>的独唱</w:t>
      </w:r>
      <w:r>
        <w:rPr>
          <w:rFonts w:hint="eastAsia"/>
          <w:sz w:val="24"/>
        </w:rPr>
        <w:t>歌曲</w:t>
      </w:r>
      <w:r>
        <w:rPr>
          <w:rFonts w:hint="eastAsia"/>
          <w:sz w:val="24"/>
          <w:lang w:eastAsia="zh-CN"/>
        </w:rPr>
        <w:t>（</w:t>
      </w:r>
      <w:r>
        <w:rPr>
          <w:rFonts w:hint="eastAsia"/>
          <w:sz w:val="24"/>
          <w:lang w:val="en-US" w:eastAsia="zh-CN"/>
        </w:rPr>
        <w:t>不能用流行唱法</w:t>
      </w:r>
      <w:r>
        <w:rPr>
          <w:rFonts w:hint="eastAsia"/>
          <w:sz w:val="24"/>
          <w:lang w:eastAsia="zh-CN"/>
        </w:rPr>
        <w:t>）</w:t>
      </w:r>
      <w:r>
        <w:rPr>
          <w:rFonts w:hint="eastAsia"/>
          <w:sz w:val="24"/>
        </w:rPr>
        <w:t>，</w:t>
      </w:r>
      <w:r>
        <w:rPr>
          <w:rFonts w:hint="eastAsia"/>
          <w:sz w:val="24"/>
          <w:lang w:val="en-US" w:eastAsia="zh-CN"/>
        </w:rPr>
        <w:t>伴奏音乐或钢琴伴奏自备，限时</w:t>
      </w:r>
      <w:r>
        <w:rPr>
          <w:rFonts w:hint="eastAsia"/>
          <w:sz w:val="24"/>
        </w:rPr>
        <w:t>6分钟</w:t>
      </w:r>
      <w:r>
        <w:rPr>
          <w:rFonts w:hint="eastAsia"/>
          <w:sz w:val="24"/>
          <w:lang w:val="en-US" w:eastAsia="zh-CN"/>
        </w:rPr>
        <w:t>以内</w:t>
      </w:r>
      <w:r>
        <w:rPr>
          <w:rFonts w:hint="eastAsia"/>
          <w:sz w:val="24"/>
        </w:rPr>
        <w:t>。</w:t>
      </w:r>
    </w:p>
    <w:p>
      <w:pPr>
        <w:numPr>
          <w:ilvl w:val="0"/>
          <w:numId w:val="0"/>
        </w:numPr>
        <w:tabs>
          <w:tab w:val="left" w:pos="360"/>
        </w:tabs>
        <w:spacing w:line="360" w:lineRule="auto"/>
        <w:ind w:left="-30" w:leftChars="0" w:firstLine="480" w:firstLineChars="200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  <w:lang w:val="en-US" w:eastAsia="zh-CN"/>
        </w:rPr>
        <w:t>3.特长展示：在</w:t>
      </w:r>
      <w:r>
        <w:rPr>
          <w:rFonts w:hint="eastAsia" w:ascii="宋体" w:hAnsi="宋体" w:cs="宋体"/>
          <w:sz w:val="24"/>
        </w:rPr>
        <w:t>器乐</w:t>
      </w:r>
      <w:r>
        <w:rPr>
          <w:rFonts w:hint="eastAsia" w:ascii="宋体" w:hAnsi="宋体" w:cs="宋体"/>
          <w:sz w:val="24"/>
          <w:lang w:eastAsia="zh-CN"/>
        </w:rPr>
        <w:t>、</w:t>
      </w:r>
      <w:r>
        <w:rPr>
          <w:rFonts w:hint="eastAsia" w:ascii="宋体" w:hAnsi="宋体" w:cs="宋体"/>
          <w:sz w:val="24"/>
        </w:rPr>
        <w:t>舞蹈</w:t>
      </w:r>
      <w:r>
        <w:rPr>
          <w:rFonts w:hint="eastAsia" w:ascii="宋体" w:hAnsi="宋体" w:cs="宋体"/>
          <w:sz w:val="24"/>
          <w:lang w:eastAsia="zh-CN"/>
        </w:rPr>
        <w:t>、</w:t>
      </w:r>
      <w:r>
        <w:rPr>
          <w:rFonts w:hint="eastAsia" w:ascii="宋体" w:hAnsi="宋体" w:cs="宋体"/>
          <w:sz w:val="24"/>
          <w:lang w:val="en-US" w:eastAsia="zh-CN"/>
        </w:rPr>
        <w:t>戏曲、曲艺四个项目中任选一项，伴奏音乐或现场伴奏自备，限时5分钟以内。器乐作品体裁、风格不限，选手自备</w:t>
      </w:r>
      <w:r>
        <w:rPr>
          <w:rFonts w:hint="eastAsia" w:ascii="宋体" w:hAnsi="宋体" w:cs="宋体"/>
          <w:sz w:val="24"/>
        </w:rPr>
        <w:t>乐器</w:t>
      </w:r>
      <w:r>
        <w:rPr>
          <w:rFonts w:hint="eastAsia" w:ascii="宋体" w:hAnsi="宋体" w:cs="宋体"/>
          <w:sz w:val="24"/>
          <w:lang w:eastAsia="zh-CN"/>
        </w:rPr>
        <w:t>，</w:t>
      </w:r>
      <w:r>
        <w:rPr>
          <w:rFonts w:hint="eastAsia" w:ascii="宋体" w:hAnsi="宋体" w:cs="宋体"/>
          <w:sz w:val="24"/>
          <w:lang w:val="en-US" w:eastAsia="zh-CN"/>
        </w:rPr>
        <w:t>可在</w:t>
      </w:r>
      <w:r>
        <w:rPr>
          <w:rFonts w:hint="eastAsia" w:ascii="宋体" w:hAnsi="宋体" w:cs="宋体"/>
          <w:sz w:val="24"/>
        </w:rPr>
        <w:t>除键盘乐器外</w:t>
      </w:r>
      <w:r>
        <w:rPr>
          <w:rFonts w:hint="eastAsia" w:ascii="宋体" w:hAnsi="宋体" w:cs="宋体"/>
          <w:sz w:val="24"/>
          <w:lang w:val="en-US" w:eastAsia="zh-CN"/>
        </w:rPr>
        <w:t>的</w:t>
      </w:r>
      <w:r>
        <w:rPr>
          <w:rFonts w:hint="eastAsia" w:ascii="宋体" w:hAnsi="宋体" w:cs="宋体"/>
          <w:sz w:val="24"/>
        </w:rPr>
        <w:t>中、西乐器</w:t>
      </w:r>
      <w:r>
        <w:rPr>
          <w:rFonts w:hint="eastAsia" w:ascii="宋体" w:hAnsi="宋体" w:cs="宋体"/>
          <w:sz w:val="24"/>
          <w:lang w:val="en-US" w:eastAsia="zh-CN"/>
        </w:rPr>
        <w:t>中任选一种；舞蹈作品体裁、风格不限，民族舞、古典舞、现代舞、国标舞、流行舞均可；戏曲、曲艺选手可展示传统或现代作品中的经典唱段，清唱、彩唱均可。</w:t>
      </w:r>
    </w:p>
    <w:p>
      <w:pPr>
        <w:tabs>
          <w:tab w:val="left" w:pos="360"/>
        </w:tabs>
        <w:spacing w:line="360" w:lineRule="auto"/>
        <w:ind w:left="-30" w:firstLine="480" w:firstLineChars="2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4.理论常识</w:t>
      </w:r>
      <w:r>
        <w:rPr>
          <w:rFonts w:hint="eastAsia" w:ascii="宋体" w:hAnsi="宋体" w:cs="宋体"/>
          <w:sz w:val="24"/>
        </w:rPr>
        <w:t>：</w:t>
      </w:r>
      <w:r>
        <w:rPr>
          <w:rFonts w:hint="eastAsia" w:ascii="宋体" w:hAnsi="宋体" w:cs="宋体"/>
          <w:sz w:val="24"/>
          <w:lang w:val="en-US" w:eastAsia="zh-CN"/>
        </w:rPr>
        <w:t>现场书面答题（闭卷、笔试方式），内容包括《普通高中音乐课程标准》（2017版）、音乐欣赏与相关文化等，时间为60分钟。</w:t>
      </w:r>
    </w:p>
    <w:p>
      <w:pPr>
        <w:tabs>
          <w:tab w:val="left" w:pos="360"/>
        </w:tabs>
        <w:spacing w:line="360" w:lineRule="auto"/>
        <w:ind w:left="-2" w:leftChars="-1"/>
        <w:rPr>
          <w:rFonts w:hint="default" w:eastAsia="宋体"/>
          <w:color w:val="000000"/>
          <w:sz w:val="24"/>
          <w:lang w:val="en-US" w:eastAsia="zh-CN"/>
        </w:rPr>
      </w:pPr>
      <w:r>
        <w:rPr>
          <w:rFonts w:hint="eastAsia" w:ascii="宋体" w:hAnsi="宋体"/>
          <w:sz w:val="24"/>
        </w:rPr>
        <w:t>（二）</w:t>
      </w:r>
      <w:r>
        <w:rPr>
          <w:rFonts w:hint="eastAsia" w:ascii="宋体" w:hAnsi="宋体"/>
          <w:color w:val="000000"/>
          <w:sz w:val="24"/>
        </w:rPr>
        <w:t>、</w:t>
      </w:r>
      <w:r>
        <w:rPr>
          <w:rFonts w:hint="eastAsia"/>
          <w:color w:val="000000"/>
          <w:sz w:val="24"/>
          <w:lang w:val="en-US" w:eastAsia="zh-CN"/>
        </w:rPr>
        <w:t>通用技能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  <w:lang w:val="en-US" w:eastAsia="zh-CN"/>
        </w:rPr>
        <w:t>1.</w:t>
      </w:r>
      <w:r>
        <w:rPr>
          <w:rFonts w:hint="eastAsia" w:ascii="宋体" w:hAnsi="宋体" w:cs="宋体"/>
          <w:sz w:val="24"/>
        </w:rPr>
        <w:t>教学设计与课件制作：</w:t>
      </w:r>
      <w:r>
        <w:rPr>
          <w:rFonts w:hint="eastAsia" w:ascii="宋体" w:hAnsi="宋体" w:cs="宋体"/>
          <w:sz w:val="24"/>
          <w:lang w:val="en-US" w:eastAsia="zh-CN"/>
        </w:rPr>
        <w:t>按</w:t>
      </w:r>
      <w:r>
        <w:rPr>
          <w:rFonts w:hint="eastAsia" w:ascii="宋体" w:hAnsi="宋体" w:cs="宋体"/>
          <w:sz w:val="24"/>
        </w:rPr>
        <w:t>指定的</w:t>
      </w:r>
      <w:r>
        <w:rPr>
          <w:rFonts w:hint="eastAsia" w:ascii="宋体" w:hAnsi="宋体" w:cs="宋体"/>
          <w:sz w:val="24"/>
          <w:lang w:val="en-US" w:eastAsia="zh-CN"/>
        </w:rPr>
        <w:t>单元</w:t>
      </w:r>
      <w:r>
        <w:rPr>
          <w:rFonts w:hint="eastAsia" w:ascii="宋体" w:hAnsi="宋体" w:cs="宋体"/>
          <w:sz w:val="24"/>
        </w:rPr>
        <w:t>课题独立完成</w:t>
      </w:r>
      <w:r>
        <w:rPr>
          <w:rFonts w:hint="eastAsia" w:ascii="宋体" w:hAnsi="宋体" w:cs="宋体"/>
          <w:sz w:val="24"/>
          <w:lang w:val="en-US" w:eastAsia="zh-CN"/>
        </w:rPr>
        <w:t>单元教学思路及其中</w:t>
      </w:r>
      <w:r>
        <w:rPr>
          <w:rFonts w:hint="eastAsia" w:ascii="宋体" w:hAnsi="宋体" w:cs="宋体"/>
          <w:sz w:val="24"/>
        </w:rPr>
        <w:t>1课时（45分钟）的教学设计</w:t>
      </w:r>
      <w:r>
        <w:rPr>
          <w:rFonts w:hint="eastAsia" w:ascii="宋体" w:hAnsi="宋体" w:cs="宋体"/>
          <w:sz w:val="24"/>
          <w:lang w:eastAsia="zh-CN"/>
        </w:rPr>
        <w:t>（</w:t>
      </w:r>
      <w:r>
        <w:rPr>
          <w:rFonts w:hint="eastAsia" w:ascii="宋体" w:hAnsi="宋体" w:cs="宋体"/>
          <w:sz w:val="24"/>
          <w:lang w:val="en-US" w:eastAsia="zh-CN"/>
        </w:rPr>
        <w:t>主要教学内容在指定单元的音乐作品中自选、组合</w:t>
      </w:r>
      <w:r>
        <w:rPr>
          <w:rFonts w:hint="eastAsia" w:ascii="宋体" w:hAnsi="宋体" w:cs="宋体"/>
          <w:sz w:val="24"/>
          <w:lang w:eastAsia="zh-CN"/>
        </w:rPr>
        <w:t>）</w:t>
      </w:r>
      <w:r>
        <w:rPr>
          <w:rFonts w:hint="eastAsia" w:ascii="宋体" w:hAnsi="宋体" w:cs="宋体"/>
          <w:sz w:val="24"/>
        </w:rPr>
        <w:t>，并制作课件。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  <w:lang w:val="en-US" w:eastAsia="zh-CN"/>
        </w:rPr>
        <w:t>2.单元教学思路阐述及</w:t>
      </w:r>
      <w:r>
        <w:rPr>
          <w:rFonts w:hint="eastAsia" w:ascii="宋体" w:hAnsi="宋体" w:cs="宋体"/>
          <w:sz w:val="24"/>
        </w:rPr>
        <w:t>课堂教学：</w:t>
      </w:r>
      <w:r>
        <w:rPr>
          <w:rFonts w:hint="eastAsia" w:ascii="宋体" w:hAnsi="宋体" w:cs="宋体"/>
          <w:sz w:val="24"/>
          <w:lang w:val="en-US" w:eastAsia="zh-CN"/>
        </w:rPr>
        <w:t>单元教学思路阐述形式为说课，</w:t>
      </w:r>
      <w:r>
        <w:rPr>
          <w:rFonts w:hint="eastAsia" w:ascii="宋体" w:hAnsi="宋体" w:cs="宋体"/>
          <w:sz w:val="24"/>
        </w:rPr>
        <w:t>课堂教学</w:t>
      </w:r>
      <w:r>
        <w:rPr>
          <w:rFonts w:hint="eastAsia" w:ascii="宋体" w:hAnsi="宋体" w:cs="宋体"/>
          <w:sz w:val="24"/>
          <w:lang w:val="en-US" w:eastAsia="zh-CN"/>
        </w:rPr>
        <w:t>形式为模拟上课，其课题与教学设计的课题一致。时间为</w:t>
      </w:r>
      <w:r>
        <w:rPr>
          <w:rFonts w:hint="eastAsia" w:ascii="宋体" w:hAnsi="宋体" w:cs="宋体"/>
          <w:sz w:val="24"/>
        </w:rPr>
        <w:t>20分钟。</w:t>
      </w:r>
      <w:r>
        <w:rPr>
          <w:rFonts w:hint="eastAsia" w:ascii="宋体" w:hAnsi="宋体" w:cs="宋体"/>
          <w:sz w:val="24"/>
          <w:lang w:val="en-US" w:eastAsia="zh-CN"/>
        </w:rPr>
        <w:t>课堂教学开始前</w:t>
      </w:r>
      <w:r>
        <w:rPr>
          <w:rFonts w:hint="eastAsia" w:ascii="宋体" w:hAnsi="宋体" w:cs="宋体"/>
          <w:sz w:val="24"/>
        </w:rPr>
        <w:t>，</w:t>
      </w:r>
      <w:r>
        <w:rPr>
          <w:rFonts w:hint="eastAsia" w:ascii="宋体" w:hAnsi="宋体" w:cs="宋体"/>
          <w:sz w:val="24"/>
          <w:lang w:val="en-US" w:eastAsia="zh-CN"/>
        </w:rPr>
        <w:t>上</w:t>
      </w:r>
      <w:r>
        <w:rPr>
          <w:rFonts w:hint="eastAsia" w:ascii="宋体" w:hAnsi="宋体" w:cs="宋体"/>
          <w:sz w:val="24"/>
        </w:rPr>
        <w:t>交</w:t>
      </w:r>
      <w:r>
        <w:rPr>
          <w:rFonts w:hint="eastAsia" w:ascii="宋体" w:hAnsi="宋体" w:cs="宋体"/>
          <w:sz w:val="24"/>
          <w:lang w:val="en-US" w:eastAsia="zh-CN"/>
        </w:rPr>
        <w:t>单元教学思路和</w:t>
      </w:r>
      <w:r>
        <w:rPr>
          <w:rFonts w:hint="eastAsia" w:ascii="宋体" w:hAnsi="宋体" w:cs="宋体"/>
          <w:sz w:val="24"/>
        </w:rPr>
        <w:t>教学设计文稿</w:t>
      </w:r>
      <w:r>
        <w:rPr>
          <w:rFonts w:hint="eastAsia" w:ascii="宋体" w:hAnsi="宋体" w:cs="宋体"/>
          <w:sz w:val="24"/>
          <w:lang w:eastAsia="zh-CN"/>
        </w:rPr>
        <w:t>、</w:t>
      </w:r>
      <w:r>
        <w:rPr>
          <w:rFonts w:hint="eastAsia" w:ascii="宋体" w:hAnsi="宋体" w:cs="宋体"/>
          <w:sz w:val="24"/>
        </w:rPr>
        <w:t>教学课件电子稿。</w:t>
      </w:r>
    </w:p>
    <w:p>
      <w:pPr>
        <w:keepNext w:val="0"/>
        <w:keepLines w:val="0"/>
        <w:pageBreakBefore w:val="0"/>
        <w:tabs>
          <w:tab w:val="left" w:pos="360"/>
        </w:tabs>
        <w:kinsoku/>
        <w:wordWrap/>
        <w:overflowPunct/>
        <w:autoSpaceDE/>
        <w:autoSpaceDN/>
        <w:bidi w:val="0"/>
        <w:adjustRightInd/>
        <w:snapToGrid/>
        <w:spacing w:beforeAutospacing="0" w:afterAutospacing="0" w:line="360" w:lineRule="auto"/>
        <w:rPr>
          <w:rFonts w:hint="default" w:eastAsia="宋体"/>
          <w:b/>
          <w:color w:val="000000"/>
          <w:sz w:val="24"/>
          <w:lang w:val="en-US" w:eastAsia="zh-CN"/>
        </w:rPr>
      </w:pPr>
      <w:r>
        <w:rPr>
          <w:rFonts w:hint="eastAsia" w:ascii="宋体" w:hAnsi="宋体"/>
          <w:b/>
          <w:bCs/>
          <w:sz w:val="24"/>
        </w:rPr>
        <w:t>四、比赛</w:t>
      </w:r>
      <w:r>
        <w:rPr>
          <w:rFonts w:hint="eastAsia"/>
          <w:b/>
          <w:color w:val="000000"/>
          <w:sz w:val="24"/>
        </w:rPr>
        <w:t>时间</w:t>
      </w:r>
      <w:r>
        <w:rPr>
          <w:rFonts w:hint="eastAsia"/>
          <w:b/>
          <w:color w:val="000000"/>
          <w:sz w:val="24"/>
          <w:lang w:eastAsia="zh-CN"/>
        </w:rPr>
        <w:t>、</w:t>
      </w:r>
      <w:r>
        <w:rPr>
          <w:rFonts w:hint="eastAsia"/>
          <w:b/>
          <w:color w:val="000000"/>
          <w:sz w:val="24"/>
          <w:lang w:val="en-US" w:eastAsia="zh-CN"/>
        </w:rPr>
        <w:t>地点</w:t>
      </w:r>
    </w:p>
    <w:p>
      <w:pPr>
        <w:keepNext w:val="0"/>
        <w:keepLines w:val="0"/>
        <w:pageBreakBefore w:val="0"/>
        <w:tabs>
          <w:tab w:val="left" w:pos="360"/>
        </w:tabs>
        <w:kinsoku/>
        <w:wordWrap/>
        <w:overflowPunct/>
        <w:topLinePunct/>
        <w:autoSpaceDE/>
        <w:autoSpaceDN/>
        <w:bidi w:val="0"/>
        <w:adjustRightInd/>
        <w:snapToGrid/>
        <w:spacing w:beforeAutospacing="0" w:afterAutospacing="0" w:line="360" w:lineRule="auto"/>
        <w:ind w:left="0" w:leftChars="0" w:firstLine="480" w:firstLineChars="200"/>
        <w:textAlignment w:val="top"/>
        <w:rPr>
          <w:rFonts w:hint="eastAsia" w:ascii="宋体" w:hAnsi="宋体" w:eastAsia="宋体" w:cs="宋体"/>
          <w:color w:val="000000"/>
          <w:sz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1.时间：</w:t>
      </w:r>
      <w:r>
        <w:rPr>
          <w:rFonts w:hint="eastAsia" w:ascii="宋体" w:hAnsi="宋体" w:cs="宋体"/>
          <w:color w:val="000000"/>
          <w:sz w:val="24"/>
          <w:lang w:val="en-US" w:eastAsia="zh-CN"/>
        </w:rPr>
        <w:t>5</w:t>
      </w: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月</w:t>
      </w:r>
      <w:r>
        <w:rPr>
          <w:rFonts w:hint="eastAsia" w:ascii="宋体" w:hAnsi="宋体" w:cs="宋体"/>
          <w:color w:val="000000"/>
          <w:sz w:val="24"/>
          <w:lang w:val="en-US" w:eastAsia="zh-CN"/>
        </w:rPr>
        <w:t>12</w:t>
      </w: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 xml:space="preserve">日 </w:t>
      </w:r>
      <w:r>
        <w:rPr>
          <w:rFonts w:hint="eastAsia" w:ascii="宋体" w:hAnsi="宋体" w:eastAsia="宋体" w:cs="宋体"/>
          <w:color w:val="000000"/>
          <w:sz w:val="24"/>
        </w:rPr>
        <w:t>专业技能</w:t>
      </w:r>
      <w:r>
        <w:rPr>
          <w:rFonts w:hint="eastAsia" w:ascii="宋体" w:hAnsi="宋体" w:eastAsia="宋体" w:cs="宋体"/>
          <w:color w:val="000000"/>
          <w:sz w:val="24"/>
          <w:lang w:eastAsia="zh-CN"/>
        </w:rPr>
        <w:t>，</w:t>
      </w:r>
      <w:r>
        <w:rPr>
          <w:rFonts w:hint="eastAsia" w:ascii="宋体" w:hAnsi="宋体" w:cs="宋体"/>
          <w:color w:val="000000"/>
          <w:sz w:val="24"/>
          <w:lang w:val="en-US" w:eastAsia="zh-CN"/>
        </w:rPr>
        <w:t>5</w:t>
      </w: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月</w:t>
      </w:r>
      <w:r>
        <w:rPr>
          <w:rFonts w:hint="eastAsia" w:ascii="宋体" w:hAnsi="宋体" w:cs="宋体"/>
          <w:color w:val="000000"/>
          <w:sz w:val="24"/>
          <w:lang w:val="en-US" w:eastAsia="zh-CN"/>
        </w:rPr>
        <w:t>13</w:t>
      </w: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日 通用技能</w:t>
      </w:r>
    </w:p>
    <w:p>
      <w:pPr>
        <w:keepNext w:val="0"/>
        <w:keepLines w:val="0"/>
        <w:pageBreakBefore w:val="0"/>
        <w:tabs>
          <w:tab w:val="left" w:pos="360"/>
        </w:tabs>
        <w:kinsoku/>
        <w:wordWrap/>
        <w:overflowPunct/>
        <w:topLinePunct/>
        <w:autoSpaceDE/>
        <w:autoSpaceDN/>
        <w:bidi w:val="0"/>
        <w:adjustRightInd/>
        <w:snapToGrid/>
        <w:spacing w:beforeAutospacing="0" w:afterAutospacing="0" w:line="360" w:lineRule="auto"/>
        <w:ind w:left="0" w:leftChars="0" w:firstLine="480" w:firstLineChars="200"/>
        <w:textAlignment w:val="top"/>
        <w:rPr>
          <w:rFonts w:hint="eastAsia" w:ascii="宋体" w:hAnsi="宋体" w:eastAsia="宋体" w:cs="宋体"/>
          <w:color w:val="000000"/>
          <w:sz w:val="24"/>
        </w:rPr>
      </w:pP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2.地点：常州市第三中学 音乐教室</w:t>
      </w:r>
    </w:p>
    <w:p>
      <w:pPr>
        <w:keepNext w:val="0"/>
        <w:keepLines w:val="0"/>
        <w:pageBreakBefore w:val="0"/>
        <w:tabs>
          <w:tab w:val="left" w:pos="360"/>
        </w:tabs>
        <w:kinsoku/>
        <w:wordWrap/>
        <w:overflowPunct/>
        <w:autoSpaceDE/>
        <w:autoSpaceDN/>
        <w:bidi w:val="0"/>
        <w:adjustRightInd/>
        <w:snapToGrid/>
        <w:spacing w:beforeAutospacing="0" w:afterAutospacing="0" w:line="360" w:lineRule="auto"/>
        <w:rPr>
          <w:rFonts w:hint="eastAsia" w:ascii="宋体" w:hAnsi="宋体" w:eastAsia="宋体" w:cs="宋体"/>
          <w:sz w:val="24"/>
        </w:rPr>
      </w:pPr>
      <w:r>
        <w:rPr>
          <w:rFonts w:hint="eastAsia"/>
          <w:b/>
          <w:bCs/>
          <w:color w:val="000000"/>
          <w:sz w:val="24"/>
        </w:rPr>
        <w:t>五、</w:t>
      </w:r>
      <w:r>
        <w:rPr>
          <w:rFonts w:hint="eastAsia"/>
          <w:b/>
          <w:bCs/>
          <w:color w:val="000000"/>
          <w:sz w:val="24"/>
          <w:lang w:val="en-US" w:eastAsia="zh-CN"/>
        </w:rPr>
        <w:t>评价标准和评分规则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adjustRightInd/>
        <w:snapToGrid/>
        <w:spacing w:beforeAutospacing="0" w:afterAutospacing="0" w:line="360" w:lineRule="auto"/>
        <w:ind w:left="0" w:leftChars="0" w:firstLine="480" w:firstLineChars="200"/>
        <w:rPr>
          <w:rFonts w:hint="eastAsia" w:ascii="宋体" w:hAnsi="宋体" w:eastAsia="宋体" w:cs="宋体"/>
          <w:color w:val="000000"/>
          <w:sz w:val="24"/>
        </w:rPr>
      </w:pP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1</w:t>
      </w:r>
      <w:r>
        <w:rPr>
          <w:rFonts w:hint="eastAsia" w:ascii="宋体" w:hAnsi="宋体" w:eastAsia="宋体" w:cs="宋体"/>
          <w:color w:val="000000"/>
          <w:sz w:val="24"/>
          <w:lang w:eastAsia="zh-CN"/>
        </w:rPr>
        <w:t>.</w:t>
      </w:r>
      <w:r>
        <w:rPr>
          <w:rFonts w:hint="eastAsia" w:ascii="宋体" w:hAnsi="宋体" w:eastAsia="宋体" w:cs="宋体"/>
          <w:color w:val="000000"/>
          <w:sz w:val="24"/>
        </w:rPr>
        <w:t>专业</w:t>
      </w: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技能项目权重为50%</w:t>
      </w:r>
      <w:r>
        <w:rPr>
          <w:rFonts w:hint="eastAsia" w:ascii="宋体" w:hAnsi="宋体" w:eastAsia="宋体" w:cs="宋体"/>
          <w:color w:val="000000"/>
          <w:sz w:val="24"/>
        </w:rPr>
        <w:t>。其中，声乐、钢琴</w:t>
      </w: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权重各</w:t>
      </w:r>
      <w:r>
        <w:rPr>
          <w:rFonts w:hint="eastAsia" w:ascii="宋体" w:hAnsi="宋体" w:eastAsia="宋体" w:cs="宋体"/>
          <w:color w:val="000000"/>
          <w:sz w:val="24"/>
        </w:rPr>
        <w:t>15%，</w:t>
      </w: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特长</w:t>
      </w:r>
      <w:r>
        <w:rPr>
          <w:rFonts w:hint="eastAsia" w:ascii="宋体" w:hAnsi="宋体" w:eastAsia="宋体" w:cs="宋体"/>
          <w:color w:val="000000"/>
          <w:sz w:val="24"/>
        </w:rPr>
        <w:t>、</w:t>
      </w: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理论常识权重</w:t>
      </w:r>
      <w:r>
        <w:rPr>
          <w:rFonts w:hint="eastAsia" w:ascii="宋体" w:hAnsi="宋体" w:eastAsia="宋体" w:cs="宋体"/>
          <w:color w:val="000000"/>
          <w:sz w:val="24"/>
        </w:rPr>
        <w:t>各10%。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adjustRightInd/>
        <w:snapToGrid/>
        <w:spacing w:beforeAutospacing="0" w:afterAutospacing="0" w:line="360" w:lineRule="auto"/>
        <w:ind w:left="0" w:leftChars="0" w:firstLine="480" w:firstLineChars="200"/>
        <w:rPr>
          <w:rFonts w:hint="eastAsia" w:ascii="宋体" w:hAnsi="宋体"/>
          <w:color w:val="000000"/>
          <w:sz w:val="24"/>
        </w:rPr>
      </w:pP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2</w:t>
      </w:r>
      <w:r>
        <w:rPr>
          <w:rFonts w:hint="eastAsia" w:ascii="宋体" w:hAnsi="宋体" w:eastAsia="宋体" w:cs="宋体"/>
          <w:color w:val="000000"/>
          <w:sz w:val="24"/>
          <w:lang w:eastAsia="zh-CN"/>
        </w:rPr>
        <w:t>.</w:t>
      </w: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通用技能项目权重为50%</w:t>
      </w:r>
      <w:r>
        <w:rPr>
          <w:rFonts w:hint="eastAsia" w:ascii="宋体" w:hAnsi="宋体" w:eastAsia="宋体" w:cs="宋体"/>
          <w:color w:val="000000"/>
          <w:sz w:val="24"/>
        </w:rPr>
        <w:t>。其中，</w:t>
      </w: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课堂教学（含单元教学思路阐述）权重3</w:t>
      </w:r>
      <w:r>
        <w:rPr>
          <w:rFonts w:hint="eastAsia" w:ascii="宋体" w:hAnsi="宋体" w:eastAsia="宋体" w:cs="宋体"/>
          <w:color w:val="000000"/>
          <w:sz w:val="24"/>
        </w:rPr>
        <w:t>0%，教</w:t>
      </w:r>
      <w:r>
        <w:rPr>
          <w:rFonts w:hint="eastAsia" w:ascii="宋体" w:hAnsi="宋体" w:eastAsia="宋体" w:cs="宋体"/>
          <w:color w:val="000000"/>
          <w:sz w:val="24"/>
          <w:lang w:val="en-US" w:eastAsia="zh-CN"/>
        </w:rPr>
        <w:t>学</w:t>
      </w:r>
      <w:r>
        <w:rPr>
          <w:rFonts w:hint="eastAsia" w:ascii="宋体" w:hAnsi="宋体"/>
          <w:color w:val="000000"/>
          <w:sz w:val="24"/>
          <w:lang w:val="en-US" w:eastAsia="zh-CN"/>
        </w:rPr>
        <w:t>设计与</w:t>
      </w:r>
      <w:r>
        <w:rPr>
          <w:rFonts w:hint="eastAsia" w:ascii="宋体" w:hAnsi="宋体"/>
          <w:color w:val="000000"/>
          <w:sz w:val="24"/>
        </w:rPr>
        <w:t>课件</w:t>
      </w:r>
      <w:r>
        <w:rPr>
          <w:rFonts w:hint="eastAsia" w:ascii="宋体" w:hAnsi="宋体"/>
          <w:color w:val="000000"/>
          <w:sz w:val="24"/>
          <w:lang w:val="en-US" w:eastAsia="zh-CN"/>
        </w:rPr>
        <w:t>制作权重各10</w:t>
      </w:r>
      <w:r>
        <w:rPr>
          <w:rFonts w:hint="eastAsia" w:ascii="宋体" w:hAnsi="宋体"/>
          <w:color w:val="000000"/>
          <w:sz w:val="24"/>
        </w:rPr>
        <w:t>%。选手</w:t>
      </w:r>
      <w:r>
        <w:rPr>
          <w:rFonts w:hint="eastAsia" w:ascii="宋体" w:hAnsi="宋体"/>
          <w:color w:val="000000"/>
          <w:sz w:val="24"/>
          <w:lang w:val="en-US" w:eastAsia="zh-CN"/>
        </w:rPr>
        <w:t>的每项得分乘该项目的权重，累加后即</w:t>
      </w:r>
      <w:r>
        <w:rPr>
          <w:rFonts w:hint="eastAsia" w:ascii="宋体" w:hAnsi="宋体"/>
          <w:color w:val="000000"/>
          <w:sz w:val="24"/>
        </w:rPr>
        <w:t>为</w:t>
      </w:r>
      <w:r>
        <w:rPr>
          <w:rFonts w:hint="eastAsia" w:ascii="宋体" w:hAnsi="宋体"/>
          <w:color w:val="000000"/>
          <w:sz w:val="24"/>
          <w:lang w:val="en-US" w:eastAsia="zh-CN"/>
        </w:rPr>
        <w:t>该选手所得总分</w:t>
      </w:r>
      <w:r>
        <w:rPr>
          <w:rFonts w:hint="eastAsia" w:ascii="宋体" w:hAnsi="宋体"/>
          <w:color w:val="000000"/>
          <w:sz w:val="24"/>
        </w:rPr>
        <w:t>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六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、报名工作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leftChars="0" w:firstLine="480" w:firstLineChars="200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市区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参赛选手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请于</w:t>
      </w:r>
      <w:r>
        <w:rPr>
          <w:rFonts w:hint="eastAsia" w:ascii="宋体" w:hAnsi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7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日前将报名表发至指定邮箱（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654088258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@qq.com)。武进、金坛、溧阳由各教师发展中心统一选拔推荐2名选手参加大市比赛，参赛选手报名表于</w:t>
      </w:r>
      <w:r>
        <w:rPr>
          <w:rFonts w:hint="eastAsia" w:ascii="宋体" w:hAnsi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5</w:t>
      </w: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7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日前发至指定邮箱（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654088258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@qq.com)。报名表见附件。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b/>
          <w:color w:val="000000"/>
          <w:sz w:val="24"/>
          <w:szCs w:val="24"/>
          <w:lang w:val="en-US" w:eastAsia="zh-CN"/>
        </w:rPr>
        <w:t>七</w:t>
      </w:r>
      <w:r>
        <w:rPr>
          <w:rFonts w:hint="eastAsia" w:ascii="宋体" w:hAnsi="宋体" w:eastAsia="宋体" w:cs="宋体"/>
          <w:b/>
          <w:color w:val="000000"/>
          <w:sz w:val="24"/>
          <w:szCs w:val="24"/>
        </w:rPr>
        <w:t>、</w:t>
      </w:r>
      <w:r>
        <w:rPr>
          <w:rFonts w:hint="eastAsia" w:ascii="宋体" w:hAnsi="宋体" w:eastAsia="宋体" w:cs="宋体"/>
          <w:b/>
          <w:bCs/>
          <w:color w:val="000000"/>
          <w:sz w:val="24"/>
          <w:szCs w:val="24"/>
        </w:rPr>
        <w:t>参赛费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firstLine="480" w:firstLineChars="200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大市比赛每位选手200元/人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，经费由参赛教师所在单位支付。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right="0" w:rightChars="0"/>
        <w:textAlignment w:val="auto"/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八、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奖项设置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right="0" w:rightChars="0" w:firstLine="48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比赛聘请德才兼备的教科研人员、优秀教师担任基本功竞赛的评委，评委会由3名以上老师组成，按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0%、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0%</w:t>
      </w:r>
      <w:r>
        <w:rPr>
          <w:rFonts w:hint="eastAsia" w:ascii="宋体" w:hAnsi="宋体" w:eastAsia="宋体" w:cs="宋体"/>
          <w:sz w:val="24"/>
          <w:szCs w:val="24"/>
        </w:rPr>
        <w:t>评选出一、二等奖若干名。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420"/>
        <w:textAlignment w:val="auto"/>
        <w:rPr>
          <w:rFonts w:hint="eastAsia" w:ascii="宋体" w:hAnsi="宋体"/>
          <w:sz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2.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比赛一等奖获得者前两名，将代表常州参加江苏省高中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音乐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青年教师基本功比赛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　</w:t>
      </w:r>
    </w:p>
    <w:p>
      <w:pPr>
        <w:tabs>
          <w:tab w:val="left" w:pos="360"/>
        </w:tabs>
        <w:ind w:hanging="570"/>
        <w:rPr>
          <w:rFonts w:hint="eastAsia"/>
          <w:color w:val="000000"/>
          <w:sz w:val="24"/>
        </w:rPr>
      </w:pPr>
      <w:r>
        <w:rPr>
          <w:rFonts w:hint="eastAsia" w:ascii="宋体" w:hAnsi="宋体"/>
          <w:sz w:val="24"/>
        </w:rPr>
        <w:t>       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>               </w:t>
      </w:r>
      <w:r>
        <w:rPr>
          <w:color w:val="000000"/>
          <w:sz w:val="24"/>
        </w:rPr>
        <w:t xml:space="preserve">                                                               </w:t>
      </w:r>
      <w:r>
        <w:rPr>
          <w:rFonts w:hint="eastAsia"/>
          <w:color w:val="000000"/>
          <w:sz w:val="24"/>
        </w:rPr>
        <w:t xml:space="preserve">     </w:t>
      </w:r>
      <w:r>
        <w:rPr>
          <w:rFonts w:hint="eastAsia"/>
          <w:color w:val="000000"/>
          <w:sz w:val="24"/>
          <w:lang w:val="en-US" w:eastAsia="zh-CN"/>
        </w:rPr>
        <w:t xml:space="preserve">    </w:t>
      </w:r>
      <w:r>
        <w:rPr>
          <w:rFonts w:hint="eastAsia"/>
          <w:color w:val="000000"/>
          <w:sz w:val="24"/>
        </w:rPr>
        <w:t>常州市教育科学研究院</w:t>
      </w:r>
    </w:p>
    <w:p>
      <w:pPr>
        <w:tabs>
          <w:tab w:val="left" w:pos="360"/>
        </w:tabs>
        <w:ind w:hanging="570"/>
        <w:rPr>
          <w:rFonts w:hint="eastAsia"/>
          <w:color w:val="000000"/>
          <w:sz w:val="24"/>
        </w:rPr>
      </w:pPr>
    </w:p>
    <w:p>
      <w:pPr>
        <w:tabs>
          <w:tab w:val="left" w:pos="360"/>
        </w:tabs>
        <w:ind w:hanging="570"/>
        <w:rPr>
          <w:rFonts w:hint="eastAsia" w:ascii="宋体" w:hAnsi="宋体"/>
          <w:sz w:val="24"/>
        </w:rPr>
      </w:pPr>
      <w:r>
        <w:rPr>
          <w:color w:val="000000"/>
          <w:sz w:val="24"/>
        </w:rPr>
        <w:t xml:space="preserve">                                                 </w:t>
      </w:r>
      <w:r>
        <w:rPr>
          <w:rFonts w:hint="eastAsia"/>
          <w:color w:val="000000"/>
          <w:sz w:val="24"/>
          <w:lang w:val="en-US" w:eastAsia="zh-CN"/>
        </w:rPr>
        <w:t xml:space="preserve">   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  <w:lang w:val="en-US" w:eastAsia="zh-CN"/>
        </w:rPr>
        <w:t>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  <w:lang w:val="en-US" w:eastAsia="zh-CN"/>
        </w:rPr>
        <w:t>4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  <w:lang w:val="en-US" w:eastAsia="zh-CN"/>
        </w:rPr>
        <w:t>2</w:t>
      </w:r>
      <w:r>
        <w:rPr>
          <w:color w:val="000000"/>
          <w:sz w:val="24"/>
        </w:rPr>
        <w:t>4</w:t>
      </w:r>
      <w:r>
        <w:rPr>
          <w:rFonts w:hint="eastAsia"/>
          <w:color w:val="000000"/>
          <w:sz w:val="24"/>
        </w:rPr>
        <w:t>日</w:t>
      </w:r>
      <w:r>
        <w:rPr>
          <w:rFonts w:hint="eastAsia" w:ascii="宋体" w:hAnsi="宋体"/>
          <w:sz w:val="24"/>
        </w:rPr>
        <w:t>  </w:t>
      </w:r>
      <w:r>
        <w:rPr>
          <w:rFonts w:ascii="宋体" w:hAnsi="宋体"/>
          <w:sz w:val="24"/>
        </w:rPr>
        <w:t xml:space="preserve"> </w:t>
      </w:r>
    </w:p>
    <w:p>
      <w:pPr>
        <w:tabs>
          <w:tab w:val="left" w:pos="360"/>
        </w:tabs>
        <w:rPr>
          <w:rFonts w:hint="eastAsia" w:ascii="宋体" w:hAnsi="宋体"/>
          <w:b/>
          <w:bCs/>
          <w:sz w:val="24"/>
        </w:rPr>
      </w:pPr>
    </w:p>
    <w:p>
      <w:pPr>
        <w:tabs>
          <w:tab w:val="left" w:pos="360"/>
        </w:tabs>
        <w:rPr>
          <w:rFonts w:hint="eastAsia" w:ascii="宋体" w:hAnsi="宋体"/>
          <w:b/>
          <w:bCs/>
          <w:sz w:val="24"/>
        </w:rPr>
      </w:pPr>
    </w:p>
    <w:p>
      <w:pPr>
        <w:tabs>
          <w:tab w:val="left" w:pos="360"/>
        </w:tabs>
        <w:rPr>
          <w:rFonts w:hint="eastAsia" w:ascii="宋体" w:hAnsi="宋体"/>
          <w:b/>
          <w:bCs/>
          <w:sz w:val="24"/>
        </w:rPr>
      </w:pPr>
    </w:p>
    <w:p>
      <w:pPr>
        <w:tabs>
          <w:tab w:val="left" w:pos="360"/>
        </w:tabs>
        <w:rPr>
          <w:rFonts w:hint="eastAsia" w:ascii="宋体" w:hAnsi="宋体"/>
          <w:sz w:val="24"/>
        </w:rPr>
      </w:pPr>
      <w:r>
        <w:rPr>
          <w:rFonts w:hint="eastAsia" w:ascii="宋体" w:hAnsi="宋体"/>
          <w:b/>
          <w:bCs/>
          <w:sz w:val="24"/>
        </w:rPr>
        <w:t>附件:</w:t>
      </w:r>
      <w:r>
        <w:rPr>
          <w:rFonts w:hint="eastAsia" w:ascii="宋体" w:hAnsi="宋体"/>
          <w:sz w:val="24"/>
        </w:rPr>
        <w:t xml:space="preserve">  </w:t>
      </w:r>
    </w:p>
    <w:p>
      <w:pPr>
        <w:tabs>
          <w:tab w:val="left" w:pos="360"/>
        </w:tabs>
        <w:jc w:val="center"/>
        <w:rPr>
          <w:rFonts w:hint="eastAsia" w:ascii="宋体" w:hAnsi="宋体"/>
          <w:b/>
          <w:bCs/>
          <w:szCs w:val="18"/>
        </w:rPr>
      </w:pPr>
      <w:r>
        <w:rPr>
          <w:rFonts w:hint="eastAsia" w:ascii="宋体" w:hAnsi="宋体"/>
          <w:sz w:val="24"/>
        </w:rPr>
        <w:t>20</w:t>
      </w:r>
      <w:r>
        <w:rPr>
          <w:rFonts w:hint="eastAsia" w:ascii="宋体" w:hAnsi="宋体"/>
          <w:sz w:val="24"/>
          <w:lang w:val="en-US" w:eastAsia="zh-CN"/>
        </w:rPr>
        <w:t>22</w:t>
      </w:r>
      <w:r>
        <w:rPr>
          <w:rFonts w:hint="eastAsia" w:ascii="宋体" w:hAnsi="宋体"/>
          <w:sz w:val="24"/>
        </w:rPr>
        <w:t>年</w:t>
      </w:r>
      <w:r>
        <w:rPr>
          <w:rFonts w:ascii="宋体" w:hAnsi="宋体"/>
          <w:color w:val="000000"/>
          <w:sz w:val="24"/>
        </w:rPr>
        <w:t>常州市</w:t>
      </w:r>
      <w:r>
        <w:rPr>
          <w:rFonts w:hint="eastAsia" w:ascii="宋体" w:hAnsi="宋体"/>
          <w:color w:val="000000"/>
          <w:sz w:val="24"/>
          <w:lang w:val="en-US" w:eastAsia="zh-CN"/>
        </w:rPr>
        <w:t>高中</w:t>
      </w:r>
      <w:r>
        <w:rPr>
          <w:rFonts w:hint="eastAsia" w:ascii="宋体" w:hAnsi="宋体"/>
          <w:color w:val="000000"/>
          <w:sz w:val="24"/>
        </w:rPr>
        <w:t>音乐教师</w:t>
      </w:r>
      <w:r>
        <w:rPr>
          <w:rFonts w:ascii="宋体" w:hAnsi="宋体"/>
          <w:color w:val="000000"/>
          <w:sz w:val="24"/>
        </w:rPr>
        <w:t>基本功竞赛</w:t>
      </w:r>
      <w:r>
        <w:rPr>
          <w:rFonts w:hint="eastAsia" w:ascii="宋体" w:hAnsi="宋体"/>
          <w:color w:val="000000"/>
          <w:sz w:val="24"/>
        </w:rPr>
        <w:t>报名表</w:t>
      </w:r>
    </w:p>
    <w:p>
      <w:pPr>
        <w:tabs>
          <w:tab w:val="left" w:pos="360"/>
        </w:tabs>
        <w:rPr>
          <w:rFonts w:hint="eastAsia" w:ascii="宋体" w:hAnsi="宋体"/>
          <w:b/>
          <w:bCs/>
          <w:szCs w:val="18"/>
        </w:rPr>
      </w:pPr>
    </w:p>
    <w:tbl>
      <w:tblPr>
        <w:tblStyle w:val="3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1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711" w:type="dxa"/>
            <w:noWrap w:val="0"/>
            <w:vAlign w:val="top"/>
          </w:tcPr>
          <w:tbl>
            <w:tblPr>
              <w:tblStyle w:val="3"/>
              <w:tblW w:w="0" w:type="auto"/>
              <w:jc w:val="center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8615"/>
            </w:tblGrid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8615" w:type="dxa"/>
                  <w:noWrap w:val="0"/>
                  <w:vAlign w:val="center"/>
                </w:tcPr>
                <w:p>
                  <w:pPr>
                    <w:widowControl/>
                    <w:autoSpaceDN w:val="0"/>
                    <w:jc w:val="center"/>
                  </w:pPr>
                  <w:r>
                    <w:rPr>
                      <w:rFonts w:hint="eastAsia" w:ascii="华文细黑" w:hAnsi="华文细黑" w:eastAsia="华文细黑"/>
                      <w:b/>
                      <w:color w:val="000000"/>
                      <w:kern w:val="0"/>
                      <w:sz w:val="30"/>
                    </w:rPr>
                    <w:t>常州市</w:t>
                  </w: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30"/>
                    </w:rPr>
                    <w:t>高中音乐教师</w:t>
                  </w:r>
                  <w:r>
                    <w:rPr>
                      <w:rFonts w:hint="eastAsia" w:ascii="华文细黑" w:hAnsi="华文细黑" w:eastAsia="华文细黑"/>
                      <w:b/>
                      <w:color w:val="000000"/>
                      <w:kern w:val="0"/>
                      <w:sz w:val="30"/>
                    </w:rPr>
                    <w:t>基本功比赛</w:t>
                  </w:r>
                  <w:r>
                    <w:rPr>
                      <w:rFonts w:ascii="华文细黑" w:hAnsi="华文细黑" w:eastAsia="华文细黑"/>
                      <w:b/>
                      <w:color w:val="000000"/>
                      <w:kern w:val="0"/>
                      <w:sz w:val="30"/>
                    </w:rPr>
                    <w:t>报名表</w:t>
                  </w:r>
                </w:p>
                <w:p>
                  <w:pPr>
                    <w:autoSpaceDN w:val="0"/>
                    <w:jc w:val="center"/>
                  </w:pPr>
                  <w:r>
                    <w:t xml:space="preserve"> </w:t>
                  </w:r>
                </w:p>
                <w:tbl>
                  <w:tblPr>
                    <w:tblStyle w:val="3"/>
                    <w:tblW w:w="0" w:type="auto"/>
                    <w:tblInd w:w="5" w:type="dxa"/>
                    <w:tblBorders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  <w:insideH w:val="outset" w:color="000000" w:sz="6" w:space="0"/>
                      <w:insideV w:val="outset" w:color="000000" w:sz="6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1279"/>
                    <w:gridCol w:w="537"/>
                    <w:gridCol w:w="867"/>
                    <w:gridCol w:w="368"/>
                    <w:gridCol w:w="472"/>
                    <w:gridCol w:w="968"/>
                    <w:gridCol w:w="122"/>
                    <w:gridCol w:w="1438"/>
                    <w:gridCol w:w="922"/>
                    <w:gridCol w:w="1612"/>
                  </w:tblGrid>
                  <w:tr>
                    <w:tblPrEx>
                      <w:tblBorders>
                        <w:top w:val="none" w:color="auto" w:sz="0" w:space="0"/>
                        <w:left w:val="none" w:color="auto" w:sz="0" w:space="0"/>
                        <w:bottom w:val="none" w:color="auto" w:sz="0" w:space="0"/>
                        <w:right w:val="none" w:color="auto" w:sz="0" w:space="0"/>
                        <w:insideH w:val="outset" w:color="000000" w:sz="6" w:space="0"/>
                        <w:insideV w:val="outset" w:color="000000" w:sz="6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764" w:hRule="atLeast"/>
                    </w:trPr>
                    <w:tc>
                      <w:tcPr>
                        <w:tcW w:w="127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rPr>
                            <w:rFonts w:ascii="宋体" w:hAnsi="宋体"/>
                            <w:sz w:val="24"/>
                          </w:rPr>
                          <w:t>姓名</w:t>
                        </w:r>
                      </w:p>
                    </w:tc>
                    <w:tc>
                      <w:tcPr>
                        <w:tcW w:w="1404" w:type="dxa"/>
                        <w:gridSpan w:val="2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t xml:space="preserve"> </w:t>
                        </w:r>
                      </w:p>
                    </w:tc>
                    <w:tc>
                      <w:tcPr>
                        <w:tcW w:w="1930" w:type="dxa"/>
                        <w:gridSpan w:val="4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rPr>
                            <w:rFonts w:ascii="宋体" w:hAnsi="宋体"/>
                            <w:sz w:val="24"/>
                          </w:rPr>
                          <w:t>学校</w:t>
                        </w:r>
                      </w:p>
                    </w:tc>
                    <w:tc>
                      <w:tcPr>
                        <w:tcW w:w="3972" w:type="dxa"/>
                        <w:gridSpan w:val="3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t xml:space="preserve"> </w:t>
                        </w:r>
                      </w:p>
                    </w:tc>
                  </w:tr>
                  <w:tr>
                    <w:tblPrEx>
                      <w:tblBorders>
                        <w:top w:val="none" w:color="auto" w:sz="0" w:space="0"/>
                        <w:left w:val="none" w:color="auto" w:sz="0" w:space="0"/>
                        <w:bottom w:val="none" w:color="auto" w:sz="0" w:space="0"/>
                        <w:right w:val="none" w:color="auto" w:sz="0" w:space="0"/>
                        <w:insideH w:val="outset" w:color="000000" w:sz="6" w:space="0"/>
                        <w:insideV w:val="outset" w:color="000000" w:sz="6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774" w:hRule="atLeast"/>
                    </w:trPr>
                    <w:tc>
                      <w:tcPr>
                        <w:tcW w:w="127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rPr>
                            <w:rFonts w:ascii="宋体" w:hAnsi="宋体"/>
                            <w:sz w:val="24"/>
                          </w:rPr>
                          <w:t>性别</w:t>
                        </w:r>
                      </w:p>
                    </w:tc>
                    <w:tc>
                      <w:tcPr>
                        <w:tcW w:w="537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t xml:space="preserve"> </w:t>
                        </w:r>
                      </w:p>
                    </w:tc>
                    <w:tc>
                      <w:tcPr>
                        <w:tcW w:w="867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rPr>
                            <w:rFonts w:ascii="宋体" w:hAnsi="宋体"/>
                            <w:sz w:val="24"/>
                          </w:rPr>
                          <w:t>教龄</w:t>
                        </w:r>
                      </w:p>
                    </w:tc>
                    <w:tc>
                      <w:tcPr>
                        <w:tcW w:w="840" w:type="dxa"/>
                        <w:gridSpan w:val="2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t xml:space="preserve"> </w:t>
                        </w:r>
                      </w:p>
                    </w:tc>
                    <w:tc>
                      <w:tcPr>
                        <w:tcW w:w="1090" w:type="dxa"/>
                        <w:gridSpan w:val="2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rPr>
                            <w:rFonts w:ascii="宋体" w:hAnsi="宋体"/>
                            <w:sz w:val="24"/>
                          </w:rPr>
                          <w:t>职称</w:t>
                        </w:r>
                      </w:p>
                    </w:tc>
                    <w:tc>
                      <w:tcPr>
                        <w:tcW w:w="1438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t xml:space="preserve"> </w:t>
                        </w:r>
                      </w:p>
                    </w:tc>
                    <w:tc>
                      <w:tcPr>
                        <w:tcW w:w="922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rPr>
                            <w:rFonts w:ascii="宋体" w:hAnsi="宋体"/>
                            <w:sz w:val="24"/>
                          </w:rPr>
                          <w:t>电话</w:t>
                        </w:r>
                      </w:p>
                    </w:tc>
                    <w:tc>
                      <w:tcPr>
                        <w:tcW w:w="1612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t xml:space="preserve"> </w:t>
                        </w:r>
                      </w:p>
                    </w:tc>
                  </w:tr>
                  <w:tr>
                    <w:tblPrEx>
                      <w:tblBorders>
                        <w:top w:val="none" w:color="auto" w:sz="0" w:space="0"/>
                        <w:left w:val="none" w:color="auto" w:sz="0" w:space="0"/>
                        <w:bottom w:val="none" w:color="auto" w:sz="0" w:space="0"/>
                        <w:right w:val="none" w:color="auto" w:sz="0" w:space="0"/>
                        <w:insideH w:val="outset" w:color="000000" w:sz="6" w:space="0"/>
                        <w:insideV w:val="outset" w:color="000000" w:sz="6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756" w:hRule="atLeast"/>
                    </w:trPr>
                    <w:tc>
                      <w:tcPr>
                        <w:tcW w:w="127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auto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rPr>
                            <w:rFonts w:hint="eastAsia" w:ascii="宋体" w:hAnsi="宋体"/>
                            <w:sz w:val="24"/>
                          </w:rPr>
                          <w:t>钢琴曲目</w:t>
                        </w:r>
                      </w:p>
                    </w:tc>
                    <w:tc>
                      <w:tcPr>
                        <w:tcW w:w="7306" w:type="dxa"/>
                        <w:gridSpan w:val="9"/>
                        <w:tcBorders>
                          <w:top w:val="single" w:color="000000" w:sz="4" w:space="0"/>
                          <w:left w:val="single" w:color="auto" w:sz="4" w:space="0"/>
                          <w:bottom w:val="single" w:color="auto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  <w:r>
                          <w:t xml:space="preserve"> </w:t>
                        </w:r>
                      </w:p>
                      <w:p>
                        <w:pPr>
                          <w:autoSpaceDN w:val="0"/>
                          <w:jc w:val="center"/>
                        </w:pPr>
                        <w:r>
                          <w:t xml:space="preserve"> </w:t>
                        </w:r>
                      </w:p>
                    </w:tc>
                  </w:tr>
                  <w:tr>
                    <w:tblPrEx>
                      <w:tblBorders>
                        <w:top w:val="none" w:color="auto" w:sz="0" w:space="0"/>
                        <w:left w:val="none" w:color="auto" w:sz="0" w:space="0"/>
                        <w:bottom w:val="none" w:color="auto" w:sz="0" w:space="0"/>
                        <w:right w:val="none" w:color="auto" w:sz="0" w:space="0"/>
                        <w:insideH w:val="outset" w:color="000000" w:sz="6" w:space="0"/>
                        <w:insideV w:val="outset" w:color="000000" w:sz="6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766" w:hRule="atLeast"/>
                    </w:trPr>
                    <w:tc>
                      <w:tcPr>
                        <w:tcW w:w="127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auto" w:sz="4" w:space="0"/>
                          <w:right w:val="single" w:color="auto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top"/>
                      </w:tcPr>
                      <w:p>
                        <w:pPr>
                          <w:autoSpaceDN w:val="0"/>
                          <w:spacing w:line="720" w:lineRule="auto"/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 w:ascii="宋体" w:hAnsi="宋体"/>
                            <w:sz w:val="24"/>
                          </w:rPr>
                          <w:t>声乐曲目</w:t>
                        </w:r>
                      </w:p>
                    </w:tc>
                    <w:tc>
                      <w:tcPr>
                        <w:tcW w:w="7306" w:type="dxa"/>
                        <w:gridSpan w:val="9"/>
                        <w:tcBorders>
                          <w:top w:val="single" w:color="000000" w:sz="4" w:space="0"/>
                          <w:left w:val="single" w:color="auto" w:sz="4" w:space="0"/>
                          <w:bottom w:val="single" w:color="auto" w:sz="4" w:space="0"/>
                          <w:right w:val="single" w:color="000000" w:sz="4" w:space="0"/>
                        </w:tcBorders>
                        <w:noWrap w:val="0"/>
                        <w:vAlign w:val="top"/>
                      </w:tcPr>
                      <w:p>
                        <w:pPr>
                          <w:autoSpaceDN w:val="0"/>
                        </w:pPr>
                      </w:p>
                    </w:tc>
                  </w:tr>
                  <w:tr>
                    <w:tblPrEx>
                      <w:tblBorders>
                        <w:top w:val="none" w:color="auto" w:sz="0" w:space="0"/>
                        <w:left w:val="none" w:color="auto" w:sz="0" w:space="0"/>
                        <w:bottom w:val="none" w:color="auto" w:sz="0" w:space="0"/>
                        <w:right w:val="none" w:color="auto" w:sz="0" w:space="0"/>
                        <w:insideH w:val="outset" w:color="000000" w:sz="6" w:space="0"/>
                        <w:insideV w:val="outset" w:color="000000" w:sz="6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776" w:hRule="atLeast"/>
                    </w:trPr>
                    <w:tc>
                      <w:tcPr>
                        <w:tcW w:w="1279" w:type="dxa"/>
                        <w:tcBorders>
                          <w:top w:val="single" w:color="auto" w:sz="4" w:space="0"/>
                          <w:left w:val="single" w:color="000000" w:sz="4" w:space="0"/>
                          <w:bottom w:val="single" w:color="auto" w:sz="4" w:space="0"/>
                          <w:right w:val="single" w:color="auto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top"/>
                      </w:tcPr>
                      <w:p>
                        <w:pPr>
                          <w:autoSpaceDN w:val="0"/>
                          <w:spacing w:line="720" w:lineRule="auto"/>
                          <w:jc w:val="center"/>
                          <w:rPr>
                            <w:rFonts w:hint="eastAsia" w:ascii="宋体" w:hAnsi="宋体"/>
                            <w:sz w:val="24"/>
                          </w:rPr>
                        </w:pPr>
                        <w:r>
                          <w:rPr>
                            <w:rFonts w:hint="eastAsia" w:ascii="宋体" w:hAnsi="宋体"/>
                            <w:sz w:val="24"/>
                          </w:rPr>
                          <w:t>自选项目</w:t>
                        </w:r>
                      </w:p>
                    </w:tc>
                    <w:tc>
                      <w:tcPr>
                        <w:tcW w:w="1772" w:type="dxa"/>
                        <w:gridSpan w:val="3"/>
                        <w:tcBorders>
                          <w:top w:val="single" w:color="auto" w:sz="4" w:space="0"/>
                          <w:left w:val="single" w:color="auto" w:sz="4" w:space="0"/>
                          <w:bottom w:val="single" w:color="auto" w:sz="4" w:space="0"/>
                          <w:right w:val="single" w:color="000000" w:sz="4" w:space="0"/>
                        </w:tcBorders>
                        <w:noWrap w:val="0"/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</w:p>
                    </w:tc>
                    <w:tc>
                      <w:tcPr>
                        <w:tcW w:w="1440" w:type="dxa"/>
                        <w:gridSpan w:val="2"/>
                        <w:tcBorders>
                          <w:top w:val="single" w:color="auto" w:sz="4" w:space="0"/>
                          <w:left w:val="single" w:color="auto" w:sz="4" w:space="0"/>
                          <w:bottom w:val="single" w:color="auto" w:sz="4" w:space="0"/>
                          <w:right w:val="single" w:color="000000" w:sz="4" w:space="0"/>
                        </w:tcBorders>
                        <w:noWrap w:val="0"/>
                        <w:vAlign w:val="center"/>
                      </w:tcPr>
                      <w:p>
                        <w:pPr>
                          <w:autoSpaceDN w:val="0"/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曲目</w:t>
                        </w:r>
                      </w:p>
                    </w:tc>
                    <w:tc>
                      <w:tcPr>
                        <w:tcW w:w="4094" w:type="dxa"/>
                        <w:gridSpan w:val="4"/>
                        <w:tcBorders>
                          <w:top w:val="single" w:color="auto" w:sz="4" w:space="0"/>
                          <w:left w:val="single" w:color="auto" w:sz="4" w:space="0"/>
                          <w:bottom w:val="single" w:color="auto" w:sz="4" w:space="0"/>
                          <w:right w:val="single" w:color="000000" w:sz="4" w:space="0"/>
                        </w:tcBorders>
                        <w:noWrap w:val="0"/>
                        <w:vAlign w:val="center"/>
                      </w:tcPr>
                      <w:p>
                        <w:pPr>
                          <w:autoSpaceDN w:val="0"/>
                          <w:jc w:val="center"/>
                        </w:pPr>
                      </w:p>
                    </w:tc>
                  </w:tr>
                  <w:tr>
                    <w:tblPrEx>
                      <w:tblBorders>
                        <w:top w:val="none" w:color="auto" w:sz="0" w:space="0"/>
                        <w:left w:val="none" w:color="auto" w:sz="0" w:space="0"/>
                        <w:bottom w:val="none" w:color="auto" w:sz="0" w:space="0"/>
                        <w:right w:val="none" w:color="auto" w:sz="0" w:space="0"/>
                        <w:insideH w:val="outset" w:color="000000" w:sz="6" w:space="0"/>
                        <w:insideV w:val="outset" w:color="000000" w:sz="6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163" w:hRule="atLeast"/>
                    </w:trPr>
                    <w:tc>
                      <w:tcPr>
                        <w:tcW w:w="8585" w:type="dxa"/>
                        <w:gridSpan w:val="10"/>
                        <w:tcBorders>
                          <w:top w:val="single" w:color="auto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  <w:noWrap w:val="0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top"/>
                      </w:tcPr>
                      <w:p>
                        <w:pPr>
                          <w:autoSpaceDN w:val="0"/>
                        </w:pPr>
                        <w:r>
                          <w:rPr>
                            <w:rFonts w:ascii="宋体" w:hAnsi="宋体"/>
                            <w:sz w:val="24"/>
                          </w:rPr>
                          <w:t>学校意见</w:t>
                        </w:r>
                      </w:p>
                      <w:p/>
                      <w:p/>
                      <w:p/>
                      <w:p/>
                      <w:p/>
                      <w:p/>
                      <w:p/>
                      <w:p/>
                    </w:tc>
                  </w:tr>
                </w:tbl>
                <w:p>
                  <w:pPr>
                    <w:autoSpaceDN w:val="0"/>
                    <w:jc w:val="center"/>
                    <w:rPr>
                      <w:rFonts w:hint="eastAsia"/>
                      <w:sz w:val="24"/>
                    </w:rPr>
                  </w:pPr>
                  <w:r>
                    <w:rPr>
                      <w:sz w:val="24"/>
                    </w:rPr>
                    <w:t xml:space="preserve">             </w:t>
                  </w:r>
                </w:p>
                <w:p>
                  <w:pPr>
                    <w:autoSpaceDN w:val="0"/>
                    <w:jc w:val="center"/>
                    <w:rPr>
                      <w:sz w:val="24"/>
                    </w:rPr>
                  </w:pPr>
                </w:p>
                <w:p>
                  <w:pPr>
                    <w:autoSpaceDN w:val="0"/>
                    <w:jc w:val="center"/>
                    <w:rPr>
                      <w:rFonts w:hint="eastAsia"/>
                      <w:sz w:val="24"/>
                    </w:rPr>
                  </w:pPr>
                </w:p>
                <w:p>
                  <w:pPr>
                    <w:autoSpaceDN w:val="0"/>
                    <w:jc w:val="center"/>
                    <w:rPr>
                      <w:rFonts w:hint="eastAsia"/>
                    </w:rPr>
                  </w:pPr>
                  <w:r>
                    <w:rPr>
                      <w:sz w:val="24"/>
                    </w:rPr>
                    <w:t xml:space="preserve">                                   </w:t>
                  </w:r>
                  <w:r>
                    <w:rPr>
                      <w:sz w:val="24"/>
                      <w:u w:val="single"/>
                    </w:rPr>
                    <w:t xml:space="preserve">                           </w:t>
                  </w:r>
                  <w:r>
                    <w:rPr>
                      <w:rFonts w:ascii="宋体" w:hAnsi="宋体"/>
                      <w:sz w:val="24"/>
                    </w:rPr>
                    <w:t>学校（章）</w:t>
                  </w:r>
                </w:p>
              </w:tc>
            </w:tr>
          </w:tbl>
          <w:p/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A4NzIyN2MxYTlmMzQ1NGE2MjU5NWRkMjhlOGMxYTAifQ=="/>
  </w:docVars>
  <w:rsids>
    <w:rsidRoot w:val="00000000"/>
    <w:rsid w:val="63112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王宣瑜</cp:lastModifiedBy>
  <dcterms:modified xsi:type="dcterms:W3CDTF">2022-06-12T02:32:21Z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8B169D83381F4C88BB31672F4425307B</vt:lpwstr>
  </property>
</Properties>
</file>