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sz w:val="32"/>
          <w:szCs w:val="32"/>
          <w:lang w:val="en-US" w:eastAsia="zh-CN"/>
        </w:rPr>
      </w:pPr>
      <w:r>
        <w:rPr>
          <w:rFonts w:hint="eastAsia" w:ascii="黑体" w:hAnsi="黑体" w:eastAsia="黑体" w:cs="黑体"/>
          <w:sz w:val="32"/>
          <w:szCs w:val="32"/>
          <w:lang w:eastAsia="zh-CN"/>
        </w:rPr>
        <w:t>“把脉问诊”建构区，</w:t>
      </w:r>
      <w:r>
        <w:rPr>
          <w:rFonts w:hint="eastAsia" w:ascii="黑体" w:hAnsi="黑体" w:eastAsia="黑体" w:cs="黑体"/>
          <w:sz w:val="32"/>
          <w:szCs w:val="32"/>
          <w:lang w:val="en-US" w:eastAsia="zh-CN"/>
        </w:rPr>
        <w:t>“对症下药”显</w:t>
      </w:r>
      <w:bookmarkStart w:id="0" w:name="_GoBack"/>
      <w:bookmarkEnd w:id="0"/>
      <w:r>
        <w:rPr>
          <w:rFonts w:hint="eastAsia" w:ascii="黑体" w:hAnsi="黑体" w:eastAsia="黑体" w:cs="黑体"/>
          <w:sz w:val="32"/>
          <w:szCs w:val="32"/>
          <w:lang w:val="en-US" w:eastAsia="zh-CN"/>
        </w:rPr>
        <w:t>成效</w:t>
      </w:r>
    </w:p>
    <w:p>
      <w:pPr>
        <w:jc w:val="center"/>
        <w:rPr>
          <w:rFonts w:hint="eastAsia" w:ascii="黑体" w:hAnsi="黑体" w:eastAsia="黑体" w:cs="黑体"/>
          <w:sz w:val="32"/>
          <w:szCs w:val="32"/>
          <w:lang w:eastAsia="zh-CN"/>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lang w:eastAsia="zh-CN"/>
        </w:rPr>
        <w:t>——例谈建构游戏中的“三大转变”</w:t>
      </w:r>
    </w:p>
    <w:p>
      <w:pPr>
        <w:jc w:val="center"/>
        <w:rPr>
          <w:rFonts w:asciiTheme="majorEastAsia" w:hAnsiTheme="majorEastAsia" w:eastAsiaTheme="majorEastAsia"/>
          <w:sz w:val="28"/>
          <w:szCs w:val="28"/>
        </w:rPr>
      </w:pPr>
      <w:r>
        <w:rPr>
          <w:rFonts w:hint="eastAsia" w:asciiTheme="majorEastAsia" w:hAnsiTheme="majorEastAsia" w:eastAsiaTheme="majorEastAsia"/>
          <w:sz w:val="28"/>
          <w:szCs w:val="28"/>
        </w:rPr>
        <w:t>常州市天宁区朝阳幼儿园 马丹</w:t>
      </w:r>
    </w:p>
    <w:p>
      <w:pPr>
        <w:rPr>
          <w:rFonts w:hint="eastAsia" w:asciiTheme="minorEastAsia" w:hAnsiTheme="minorEastAsia"/>
          <w:sz w:val="24"/>
          <w:szCs w:val="24"/>
        </w:rPr>
      </w:pPr>
      <w:r>
        <w:rPr>
          <w:rFonts w:hint="eastAsia" w:asciiTheme="minorEastAsia" w:hAnsiTheme="minorEastAsia"/>
          <w:sz w:val="24"/>
          <w:szCs w:val="24"/>
        </w:rPr>
        <w:t>【摘要】</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sz w:val="24"/>
          <w:szCs w:val="24"/>
        </w:rPr>
      </w:pPr>
      <w:r>
        <w:rPr>
          <w:rFonts w:hint="eastAsia" w:asciiTheme="minorEastAsia" w:hAnsiTheme="minorEastAsia"/>
          <w:sz w:val="24"/>
          <w:szCs w:val="24"/>
          <w:lang w:val="en-US" w:eastAsia="zh-CN"/>
        </w:rPr>
        <w:t xml:space="preserve">    在幼儿的一日生活中，游戏是幼儿最为喜欢、最易接受的活动形式。在众多幼儿喜爱的游戏之中，建构游戏作为幼儿园三大创造性游戏之一，以它别具一格的魅力深受幼儿的青睐。的确，建构游戏不仅能丰富幼儿的经验、发展建构技能，还能促进幼儿创造性思维的发展，可谓益处多多。然而纵观当前幼儿园建构游戏的开展现状，我们不难发现教师在建构游戏的材料投放、观察指导、环境创设等方面还是存在比较明显的问题，这些问题不但影响了建构游戏开展的效果，同时也破坏了幼儿参与游戏的主观体验，制约了建构游戏原本应发挥的作用。因此，如何在建构游戏开展时排除障碍，合理掌握和巧妙实施“三大转变”，从而让建构游戏绽放新光彩，显得至关重要。</w:t>
      </w:r>
    </w:p>
    <w:p>
      <w:pPr>
        <w:spacing w:line="360" w:lineRule="auto"/>
        <w:rPr>
          <w:rFonts w:hint="eastAsia" w:asciiTheme="minorEastAsia" w:hAnsiTheme="minorEastAsia"/>
          <w:sz w:val="24"/>
          <w:szCs w:val="24"/>
        </w:rPr>
      </w:pPr>
      <w:r>
        <w:rPr>
          <w:rFonts w:hint="eastAsia" w:asciiTheme="minorEastAsia" w:hAnsiTheme="minorEastAsia"/>
          <w:sz w:val="24"/>
          <w:szCs w:val="24"/>
        </w:rPr>
        <w:t>【关键字】</w:t>
      </w:r>
    </w:p>
    <w:p>
      <w:pPr>
        <w:spacing w:line="360" w:lineRule="auto"/>
        <w:rPr>
          <w:rFonts w:hint="eastAsia" w:asciiTheme="minorEastAsia" w:hAnsiTheme="minorEastAsia" w:eastAsiaTheme="minorEastAsia"/>
          <w:sz w:val="24"/>
          <w:szCs w:val="24"/>
          <w:lang w:val="en-US" w:eastAsia="zh-CN"/>
        </w:rPr>
      </w:pPr>
      <w:r>
        <w:rPr>
          <w:rFonts w:hint="eastAsia" w:asciiTheme="minorEastAsia" w:hAnsiTheme="minorEastAsia"/>
          <w:sz w:val="24"/>
          <w:szCs w:val="24"/>
          <w:lang w:val="en-US" w:eastAsia="zh-CN"/>
        </w:rPr>
        <w:t xml:space="preserve">    建构游戏  现状问题  三大转变  观察与发现  过度与适度  显性与隐性</w:t>
      </w:r>
    </w:p>
    <w:p>
      <w:pPr>
        <w:spacing w:line="360" w:lineRule="auto"/>
        <w:rPr>
          <w:rFonts w:hint="eastAsia" w:asciiTheme="minorEastAsia" w:hAnsiTheme="minorEastAsia"/>
          <w:sz w:val="24"/>
          <w:szCs w:val="24"/>
        </w:rPr>
      </w:pPr>
      <w:r>
        <w:rPr>
          <w:rFonts w:hint="eastAsia" w:asciiTheme="minorEastAsia" w:hAnsiTheme="minorEastAsia"/>
          <w:sz w:val="24"/>
          <w:szCs w:val="24"/>
        </w:rPr>
        <w:t>【正文】</w:t>
      </w:r>
    </w:p>
    <w:p>
      <w:pPr>
        <w:spacing w:line="360" w:lineRule="auto"/>
        <w:ind w:firstLine="480" w:firstLineChars="200"/>
        <w:rPr>
          <w:rFonts w:hint="eastAsia" w:asciiTheme="minorEastAsia" w:hAnsiTheme="minorEastAsia"/>
          <w:sz w:val="24"/>
          <w:szCs w:val="24"/>
          <w:lang w:eastAsia="zh-CN"/>
        </w:rPr>
      </w:pPr>
      <w:r>
        <w:rPr>
          <w:rFonts w:hint="eastAsia" w:asciiTheme="minorEastAsia" w:hAnsiTheme="minorEastAsia"/>
          <w:sz w:val="24"/>
          <w:szCs w:val="24"/>
        </w:rPr>
        <w:t>《幼儿园</w:t>
      </w:r>
      <w:r>
        <w:rPr>
          <w:rFonts w:hint="eastAsia" w:asciiTheme="minorEastAsia" w:hAnsiTheme="minorEastAsia"/>
          <w:sz w:val="24"/>
          <w:szCs w:val="24"/>
          <w:lang w:eastAsia="zh-CN"/>
        </w:rPr>
        <w:t>工作规程</w:t>
      </w:r>
      <w:r>
        <w:rPr>
          <w:rFonts w:hint="eastAsia" w:asciiTheme="minorEastAsia" w:hAnsiTheme="minorEastAsia"/>
          <w:sz w:val="24"/>
          <w:szCs w:val="24"/>
        </w:rPr>
        <w:t>》</w:t>
      </w:r>
      <w:r>
        <w:rPr>
          <w:rFonts w:hint="eastAsia" w:asciiTheme="minorEastAsia" w:hAnsiTheme="minorEastAsia"/>
          <w:sz w:val="24"/>
          <w:szCs w:val="24"/>
          <w:lang w:eastAsia="zh-CN"/>
        </w:rPr>
        <w:t>中指出</w:t>
      </w:r>
      <w:r>
        <w:rPr>
          <w:rFonts w:hint="eastAsia" w:asciiTheme="minorEastAsia" w:hAnsiTheme="minorEastAsia"/>
          <w:sz w:val="24"/>
          <w:szCs w:val="24"/>
        </w:rPr>
        <w:t>：</w:t>
      </w:r>
      <w:r>
        <w:rPr>
          <w:rFonts w:hint="eastAsia" w:asciiTheme="minorEastAsia" w:hAnsiTheme="minorEastAsia"/>
          <w:sz w:val="24"/>
          <w:szCs w:val="24"/>
          <w:lang w:eastAsia="zh-CN"/>
        </w:rPr>
        <w:t>“幼儿园以游戏为基本活动，寓教育于各项活动之中。”由此可见，游戏在幼儿园的重要地位，建构游戏是幼儿园游戏的重要组成部分，积极有效地组织开展建构游戏可以让幼儿在与游戏的有效互动中，发展各方面的能力。因此，这就需要我们教师了解现状、集结问题，从“三大转变”着手，用善于发现的眼睛、善于聆听的耳朵、善于思考的大脑不断更新理念、观察发现、因时制宜，才能真正发挥游戏对幼儿的特殊作用，让幼儿在游戏中真正感受快乐、获得发展。</w:t>
      </w:r>
    </w:p>
    <w:p>
      <w:pPr>
        <w:numPr>
          <w:ilvl w:val="0"/>
          <w:numId w:val="0"/>
        </w:numPr>
        <w:spacing w:line="360" w:lineRule="auto"/>
        <w:ind w:firstLine="482" w:firstLineChars="200"/>
        <w:rPr>
          <w:rFonts w:hint="eastAsia" w:asciiTheme="minorEastAsia" w:hAnsiTheme="minorEastAsia"/>
          <w:b/>
          <w:bCs/>
          <w:sz w:val="24"/>
          <w:szCs w:val="24"/>
          <w:lang w:eastAsia="zh-CN"/>
        </w:rPr>
      </w:pPr>
      <w:r>
        <w:rPr>
          <w:rFonts w:hint="eastAsia" w:asciiTheme="minorEastAsia" w:hAnsiTheme="minorEastAsia"/>
          <w:b/>
          <w:bCs/>
          <w:sz w:val="24"/>
          <w:szCs w:val="24"/>
          <w:lang w:eastAsia="zh-CN"/>
        </w:rPr>
        <w:t>一、“把脉问诊”——了解现状、集结问题</w:t>
      </w:r>
    </w:p>
    <w:p>
      <w:pPr>
        <w:widowControl w:val="0"/>
        <w:numPr>
          <w:ilvl w:val="0"/>
          <w:numId w:val="0"/>
        </w:numPr>
        <w:spacing w:line="360" w:lineRule="auto"/>
        <w:ind w:firstLine="48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1、了解幼儿园建构游戏开展的现状</w:t>
      </w:r>
    </w:p>
    <w:p>
      <w:pPr>
        <w:widowControl w:val="0"/>
        <w:numPr>
          <w:ilvl w:val="0"/>
          <w:numId w:val="0"/>
        </w:numPr>
        <w:spacing w:line="360" w:lineRule="auto"/>
        <w:ind w:firstLine="480"/>
        <w:jc w:val="both"/>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建构游戏的材料种类比较单一，多以积木、积塑为主，久而久之幼儿的建构兴趣在不断下降；建构游戏的时间不够充裕，幼儿“意犹未尽”，不能满足幼儿充分建构的需要；建构的空间比较有限，幼儿施展不开，无法“大展身手”；幼儿缺乏相关的经验，使其建构时“无所适从”；教师对建构游戏的指导策略存在一定问题，如：预设成分过多、介入方式不适宜等都影响了幼儿参与游戏的积极性；教师更多关注材料的收集归纳，忽略了墙面等环境的创设也会给孩子带来积极作用。</w:t>
      </w:r>
    </w:p>
    <w:p>
      <w:pPr>
        <w:widowControl w:val="0"/>
        <w:numPr>
          <w:ilvl w:val="0"/>
          <w:numId w:val="1"/>
        </w:numPr>
        <w:spacing w:line="360" w:lineRule="auto"/>
        <w:ind w:firstLine="48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集结幼儿园建构游戏开展存在的问题</w:t>
      </w:r>
    </w:p>
    <w:p>
      <w:pPr>
        <w:widowControl w:val="0"/>
        <w:numPr>
          <w:ilvl w:val="0"/>
          <w:numId w:val="0"/>
        </w:numPr>
        <w:spacing w:line="360" w:lineRule="auto"/>
        <w:ind w:firstLine="48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（1）、游戏指导，无从下手</w:t>
      </w:r>
    </w:p>
    <w:p>
      <w:pPr>
        <w:widowControl w:val="0"/>
        <w:numPr>
          <w:ilvl w:val="0"/>
          <w:numId w:val="0"/>
        </w:numPr>
        <w:spacing w:line="360" w:lineRule="auto"/>
        <w:ind w:firstLine="48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教师进行游戏指导时常常会无从下手，一般会出现以下两种极端指导方式，第一种是全程高控，“紧追不舍”，幼儿一遇到问题教师立马出现进行指导，不恰当的介入既违背了幼儿的意愿，同时也破坏了游戏的完整性以及幼儿的积极性；另一种则是无所事事，“放任自流”，有些教师片面地认为要体现“自由、自主、愉悦、创造”的游戏精神，就要充分给予幼儿自由自主，于是教师仅仅只是在一旁观察、不要求、不指导、一味放任幼儿，让游戏逐渐走向松散放任的极端。</w:t>
      </w:r>
    </w:p>
    <w:p>
      <w:pPr>
        <w:widowControl w:val="0"/>
        <w:numPr>
          <w:ilvl w:val="0"/>
          <w:numId w:val="0"/>
        </w:numPr>
        <w:spacing w:line="360" w:lineRule="auto"/>
        <w:ind w:firstLine="48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（2）、教师观察，蜻蜓点水</w:t>
      </w:r>
    </w:p>
    <w:p>
      <w:pPr>
        <w:widowControl w:val="0"/>
        <w:numPr>
          <w:ilvl w:val="0"/>
          <w:numId w:val="0"/>
        </w:numPr>
        <w:spacing w:line="360" w:lineRule="auto"/>
        <w:ind w:firstLine="48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在幼儿进行游戏时教师都会进行观察，但其实有的教师并不是在观察，而是只“观”不“察”，只如“走马观花”般观看幼儿游戏，不去洞察幼儿行为；还有的老师的确进行了观察，但发现不了“哇时刻”，观察分析仅仅停留在最表层，缺乏细致深入的解读分析，不善于寻找、发现问题，从而更好地促进游戏的开展。</w:t>
      </w:r>
    </w:p>
    <w:p>
      <w:pPr>
        <w:widowControl w:val="0"/>
        <w:numPr>
          <w:ilvl w:val="0"/>
          <w:numId w:val="0"/>
        </w:numPr>
        <w:spacing w:line="360" w:lineRule="auto"/>
        <w:ind w:firstLine="482" w:firstLineChars="20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（3）、材料投放，一成不变</w:t>
      </w:r>
    </w:p>
    <w:p>
      <w:pPr>
        <w:widowControl w:val="0"/>
        <w:numPr>
          <w:ilvl w:val="0"/>
          <w:numId w:val="0"/>
        </w:numPr>
        <w:spacing w:line="360" w:lineRule="auto"/>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 xml:space="preserve">     部分班级每次进行建构游戏都是使用相同的建构材料，教师没有根据游戏情节的变化或是主题更换的需要对建构材料进行及时更换或者合理调整，如此一成不变的建构材料，既无法激发幼儿的创造兴趣，也无法给幼儿的创造提供良好的材料支持，严重阻碍了幼儿进行游戏。</w:t>
      </w:r>
    </w:p>
    <w:p>
      <w:pPr>
        <w:widowControl w:val="0"/>
        <w:numPr>
          <w:ilvl w:val="0"/>
          <w:numId w:val="0"/>
        </w:numPr>
        <w:spacing w:line="360" w:lineRule="auto"/>
        <w:ind w:left="480" w:leftChars="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（4）、环境创设，不以为然</w:t>
      </w:r>
    </w:p>
    <w:p>
      <w:pPr>
        <w:widowControl w:val="0"/>
        <w:numPr>
          <w:ilvl w:val="0"/>
          <w:numId w:val="0"/>
        </w:numPr>
        <w:spacing w:line="360" w:lineRule="auto"/>
        <w:ind w:left="480" w:leftChars="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教师在进行建构区角创设时，大部分的时间都投入在材料的收集整理、地面</w:t>
      </w:r>
    </w:p>
    <w:p>
      <w:pPr>
        <w:widowControl w:val="0"/>
        <w:numPr>
          <w:ilvl w:val="0"/>
          <w:numId w:val="0"/>
        </w:numPr>
        <w:spacing w:line="360" w:lineRule="auto"/>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设计布置等方面，在墙面创设、收纳盒设置上心思不够缜密，缺乏深入思考，有的教师尽管也布置了建构区墙面，但“形同虚设”，并没有对幼儿起到任何积极影响和有效指引，这就成为建构游戏开展中“遗失的一角”。</w:t>
      </w:r>
    </w:p>
    <w:p>
      <w:pPr>
        <w:widowControl w:val="0"/>
        <w:numPr>
          <w:ilvl w:val="0"/>
          <w:numId w:val="0"/>
        </w:numPr>
        <w:spacing w:line="360" w:lineRule="auto"/>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 xml:space="preserve">    二、“对症下药”——三大转变、凸显成效</w:t>
      </w:r>
    </w:p>
    <w:p>
      <w:pPr>
        <w:widowControl w:val="0"/>
        <w:numPr>
          <w:ilvl w:val="0"/>
          <w:numId w:val="0"/>
        </w:numPr>
        <w:spacing w:line="360" w:lineRule="auto"/>
        <w:ind w:firstLine="48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（一）转变一：从“观察”走向“发现”</w:t>
      </w:r>
    </w:p>
    <w:p>
      <w:pPr>
        <w:widowControl w:val="0"/>
        <w:numPr>
          <w:ilvl w:val="0"/>
          <w:numId w:val="0"/>
        </w:numPr>
        <w:spacing w:line="360" w:lineRule="auto"/>
        <w:ind w:firstLine="480"/>
        <w:jc w:val="both"/>
        <w:rPr>
          <w:rFonts w:hint="eastAsia" w:asciiTheme="minorEastAsia" w:hAnsiTheme="minorEastAsia"/>
          <w:b w:val="0"/>
          <w:bCs w:val="0"/>
          <w:sz w:val="24"/>
          <w:szCs w:val="24"/>
          <w:lang w:val="en-US" w:eastAsia="zh-CN"/>
        </w:rPr>
      </w:pPr>
      <w:r>
        <w:rPr>
          <w:rFonts w:hint="eastAsia" w:asciiTheme="minorEastAsia" w:hAnsiTheme="minorEastAsia"/>
          <w:b w:val="0"/>
          <w:bCs w:val="0"/>
          <w:sz w:val="24"/>
          <w:szCs w:val="24"/>
          <w:lang w:val="en-US" w:eastAsia="zh-CN"/>
        </w:rPr>
        <w:t>观察是发现问题的基础，发现是指导游戏的关键。因此，作为教师首先还是得借助多种方式把观察这一环节做细、做实、做稳，为发现做好铺垫，才能更敏锐地寻找、发现、捕捉问题。在循序渐进、层层递进中，教师才会真正踏上游戏的发现之路，感受发现的非凡意义。</w:t>
      </w:r>
    </w:p>
    <w:p>
      <w:pPr>
        <w:widowControl w:val="0"/>
        <w:numPr>
          <w:ilvl w:val="0"/>
          <w:numId w:val="2"/>
        </w:numPr>
        <w:spacing w:line="360" w:lineRule="auto"/>
        <w:ind w:firstLine="482" w:firstLineChars="20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多种方式，巧妙辅助</w:t>
      </w:r>
    </w:p>
    <w:p>
      <w:pPr>
        <w:widowControl w:val="0"/>
        <w:numPr>
          <w:ilvl w:val="0"/>
          <w:numId w:val="0"/>
        </w:numPr>
        <w:spacing w:line="360" w:lineRule="auto"/>
        <w:ind w:firstLine="48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意大利著名教育家蒙台梭利说过：“教师唯有通过观察和分析,才能真正了解孩子的内在需要和个别差异,以决定如何协调环境,并采取应有的态度来配合幼儿成长的需要。”由此可以看出，教师只有在充分观察幼儿的游戏行为和情感态度的基础上，才能准确了解幼儿需要和表现，才能对游戏情况做出正确判断、进行准确介入。</w:t>
      </w:r>
    </w:p>
    <w:p>
      <w:pPr>
        <w:widowControl w:val="0"/>
        <w:numPr>
          <w:ilvl w:val="0"/>
          <w:numId w:val="0"/>
        </w:numPr>
        <w:spacing w:line="360" w:lineRule="auto"/>
        <w:ind w:firstLine="48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观察是教育的起点，要想更好地提升游戏的价值，教师的观察就显得格外重要。因此，要想观察“出彩”教师还是需要借助一些辅助手段</w:t>
      </w:r>
      <w:r>
        <w:rPr>
          <w:rFonts w:hint="eastAsia" w:asciiTheme="minorEastAsia" w:hAnsiTheme="minorEastAsia" w:cstheme="minorEastAsia"/>
          <w:sz w:val="24"/>
          <w:szCs w:val="24"/>
          <w:lang w:val="en-US" w:eastAsia="zh-CN"/>
        </w:rPr>
        <w:t>的</w:t>
      </w:r>
      <w:r>
        <w:rPr>
          <w:rFonts w:hint="eastAsia" w:asciiTheme="minorEastAsia" w:hAnsiTheme="minorEastAsia"/>
          <w:sz w:val="24"/>
          <w:szCs w:val="24"/>
          <w:lang w:val="en-US" w:eastAsia="zh-CN"/>
        </w:rPr>
        <w:t>，从观察方法上教师在个别幼儿观察过程中，可以通过扫视来完成集体观察，这样即实现了对个别幼儿的重点观察，也能对其他幼儿进行面上观察，这样的观察会全面综合些，也更易于老师寻找出游戏中存在的问题。从观察记录上教师可以选择较为方便的仪器记录，更易发现游戏亮点，也方便教师反复观看进行整理。平时我大多会使用这些照片、录像进行游戏评价，打破老师讲的传统模式，让幼儿更直观的发现交流分享。</w:t>
      </w:r>
    </w:p>
    <w:p>
      <w:pPr>
        <w:widowControl w:val="0"/>
        <w:numPr>
          <w:ilvl w:val="0"/>
          <w:numId w:val="0"/>
        </w:numPr>
        <w:spacing w:line="360" w:lineRule="auto"/>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 xml:space="preserve">    2、善于捕捉，见机而作</w:t>
      </w:r>
    </w:p>
    <w:p>
      <w:pPr>
        <w:widowControl w:val="0"/>
        <w:numPr>
          <w:ilvl w:val="0"/>
          <w:numId w:val="0"/>
        </w:numPr>
        <w:spacing w:line="360" w:lineRule="auto"/>
        <w:ind w:firstLine="48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苏霍姆林斯基曾指出：“教师要练就一双鹰一样的眼睛。”因此作为一名教育工作者，我们要有一双敏锐的眼睛，不仅去发现是游戏的“发光点”，也要去发现游戏的问题所在。全面仔细的观察就能为“发现问题”奠定良好的基础，问题往往是引发人们产生思想火花的导火索，这里所说的问题一种是幼儿游戏时自己发现的，另一种则是幼儿并未发现需要老师进行启发的。教师可以从幼儿的游戏行为着手，关注游戏的“转折点”“起伏点”，从中及时捕捉问题，并针对问题付诸行动，更好的促进游戏的开展。发现问题、提出问题，才能更好得激发幼儿的思维和创造，才能真正走近孩子的内心世界，从而更好得体现游戏的价值。</w:t>
      </w:r>
    </w:p>
    <w:p>
      <w:pPr>
        <w:widowControl w:val="0"/>
        <w:numPr>
          <w:ilvl w:val="0"/>
          <w:numId w:val="0"/>
        </w:numPr>
        <w:spacing w:line="360" w:lineRule="auto"/>
        <w:ind w:firstLine="48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例如：在运用牛奶盒、胶带圈进行建构时，我发现涵涵总是会选择颜色比较鲜艳的，而白色的牛奶盒几乎没有使用过，从这一点可以看出孩子在选择材料的时候比较盲目，仅仅根据对材料的颜色、熟悉程度来选择，并不关注所选的材料是否能帮助建构。因此我融合区域，改造材料，对牛奶盒进行调整，一方面收集红、黄、蓝色的牛奶盒，另一方面在美工区对白色牛奶盒、胶带圈进行改造，让幼儿给牛奶盒、胶带圈涂上相应的颜色，这样颜色鲜艳的材料应该会更加吸引他们进行选择并建构。</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666875" cy="1080135"/>
            <wp:effectExtent l="0" t="0" r="9525" b="5715"/>
            <wp:docPr id="15" name="图片 15" descr="IMG_2504"/>
            <wp:cNvGraphicFramePr/>
            <a:graphic xmlns:a="http://schemas.openxmlformats.org/drawingml/2006/main">
              <a:graphicData uri="http://schemas.openxmlformats.org/drawingml/2006/picture">
                <pic:pic xmlns:pic="http://schemas.openxmlformats.org/drawingml/2006/picture">
                  <pic:nvPicPr>
                    <pic:cNvPr id="15" name="图片 15" descr="IMG_2504"/>
                    <pic:cNvPicPr/>
                  </pic:nvPicPr>
                  <pic:blipFill>
                    <a:blip r:embed="rId4"/>
                    <a:stretch>
                      <a:fillRect/>
                    </a:stretch>
                  </pic:blipFill>
                  <pic:spPr>
                    <a:xfrm>
                      <a:off x="0" y="0"/>
                      <a:ext cx="1666875" cy="1080135"/>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666875" cy="1080135"/>
            <wp:effectExtent l="0" t="0" r="9525" b="5715"/>
            <wp:docPr id="20" name="图片 20" descr="IMG_2470"/>
            <wp:cNvGraphicFramePr/>
            <a:graphic xmlns:a="http://schemas.openxmlformats.org/drawingml/2006/main">
              <a:graphicData uri="http://schemas.openxmlformats.org/drawingml/2006/picture">
                <pic:pic xmlns:pic="http://schemas.openxmlformats.org/drawingml/2006/picture">
                  <pic:nvPicPr>
                    <pic:cNvPr id="20" name="图片 20" descr="IMG_2470"/>
                    <pic:cNvPicPr/>
                  </pic:nvPicPr>
                  <pic:blipFill>
                    <a:blip r:embed="rId5"/>
                    <a:stretch>
                      <a:fillRect/>
                    </a:stretch>
                  </pic:blipFill>
                  <pic:spPr>
                    <a:xfrm>
                      <a:off x="0" y="0"/>
                      <a:ext cx="1666875" cy="1080135"/>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666875" cy="1080135"/>
            <wp:effectExtent l="0" t="0" r="9525" b="5715"/>
            <wp:docPr id="21" name="图片 21" descr="IMG_2473"/>
            <wp:cNvGraphicFramePr/>
            <a:graphic xmlns:a="http://schemas.openxmlformats.org/drawingml/2006/main">
              <a:graphicData uri="http://schemas.openxmlformats.org/drawingml/2006/picture">
                <pic:pic xmlns:pic="http://schemas.openxmlformats.org/drawingml/2006/picture">
                  <pic:nvPicPr>
                    <pic:cNvPr id="21" name="图片 21" descr="IMG_2473"/>
                    <pic:cNvPicPr/>
                  </pic:nvPicPr>
                  <pic:blipFill>
                    <a:blip r:embed="rId6"/>
                    <a:stretch>
                      <a:fillRect/>
                    </a:stretch>
                  </pic:blipFill>
                  <pic:spPr>
                    <a:xfrm>
                      <a:off x="0" y="0"/>
                      <a:ext cx="1666875" cy="10801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80" w:firstLineChars="20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建构区中涵涵先选择了两个小牛奶盒平铺在底部，他一边看着图纸，一边搭建，他发现了图纸上最下面的牛奶盒是大一些、长一些的，于是他拿走了刚才的两个小牛奶盒，换成了两个大牛奶盒（窄面贴地垫）后又继续向上堆高到了第三层，忽然，房子倒了，涵涵看了看图纸想了想说：“我知道了，我的房子下面太窄了，风一吹就会倒，我要把它翻过来，它就会变宽了，就不会倒了。”这是我当时捕捉到的“游戏插曲”，幼儿进行建构出现问题时，想到借助图纸对作品进行调整，最后也取得了成功，幼儿尝试了自我探索，同时也真切体会到成功的快感，进一步激发了对游戏的兴趣。</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drawing>
          <wp:inline distT="0" distB="0" distL="114300" distR="114300">
            <wp:extent cx="1666875" cy="1080135"/>
            <wp:effectExtent l="0" t="0" r="9525" b="5715"/>
            <wp:docPr id="27" name="图片 27" descr="IMG_2565"/>
            <wp:cNvGraphicFramePr/>
            <a:graphic xmlns:a="http://schemas.openxmlformats.org/drawingml/2006/main">
              <a:graphicData uri="http://schemas.openxmlformats.org/drawingml/2006/picture">
                <pic:pic xmlns:pic="http://schemas.openxmlformats.org/drawingml/2006/picture">
                  <pic:nvPicPr>
                    <pic:cNvPr id="27" name="图片 27" descr="IMG_2565"/>
                    <pic:cNvPicPr/>
                  </pic:nvPicPr>
                  <pic:blipFill>
                    <a:blip r:embed="rId7"/>
                    <a:stretch>
                      <a:fillRect/>
                    </a:stretch>
                  </pic:blipFill>
                  <pic:spPr>
                    <a:xfrm>
                      <a:off x="0" y="0"/>
                      <a:ext cx="1666875" cy="1080135"/>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drawing>
          <wp:inline distT="0" distB="0" distL="114300" distR="114300">
            <wp:extent cx="1666875" cy="1080135"/>
            <wp:effectExtent l="0" t="0" r="9525" b="5715"/>
            <wp:docPr id="24" name="图片 24" descr="IMG_2552"/>
            <wp:cNvGraphicFramePr/>
            <a:graphic xmlns:a="http://schemas.openxmlformats.org/drawingml/2006/main">
              <a:graphicData uri="http://schemas.openxmlformats.org/drawingml/2006/picture">
                <pic:pic xmlns:pic="http://schemas.openxmlformats.org/drawingml/2006/picture">
                  <pic:nvPicPr>
                    <pic:cNvPr id="24" name="图片 24" descr="IMG_2552"/>
                    <pic:cNvPicPr/>
                  </pic:nvPicPr>
                  <pic:blipFill>
                    <a:blip r:embed="rId8"/>
                    <a:stretch>
                      <a:fillRect/>
                    </a:stretch>
                  </pic:blipFill>
                  <pic:spPr>
                    <a:xfrm>
                      <a:off x="0" y="0"/>
                      <a:ext cx="1666875" cy="1080135"/>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drawing>
          <wp:inline distT="0" distB="0" distL="114300" distR="114300">
            <wp:extent cx="1666875" cy="1080135"/>
            <wp:effectExtent l="0" t="0" r="9525" b="5715"/>
            <wp:docPr id="30" name="图片 30" descr="IMG_2577"/>
            <wp:cNvGraphicFramePr/>
            <a:graphic xmlns:a="http://schemas.openxmlformats.org/drawingml/2006/main">
              <a:graphicData uri="http://schemas.openxmlformats.org/drawingml/2006/picture">
                <pic:pic xmlns:pic="http://schemas.openxmlformats.org/drawingml/2006/picture">
                  <pic:nvPicPr>
                    <pic:cNvPr id="30" name="图片 30" descr="IMG_2577"/>
                    <pic:cNvPicPr/>
                  </pic:nvPicPr>
                  <pic:blipFill>
                    <a:blip r:embed="rId9"/>
                    <a:stretch>
                      <a:fillRect/>
                    </a:stretch>
                  </pic:blipFill>
                  <pic:spPr>
                    <a:xfrm>
                      <a:off x="0" y="0"/>
                      <a:ext cx="1666875" cy="1080135"/>
                    </a:xfrm>
                    <a:prstGeom prst="rect">
                      <a:avLst/>
                    </a:prstGeom>
                  </pic:spPr>
                </pic:pic>
              </a:graphicData>
            </a:graphic>
          </wp:inline>
        </w:drawing>
      </w:r>
    </w:p>
    <w:p>
      <w:pPr>
        <w:widowControl w:val="0"/>
        <w:numPr>
          <w:ilvl w:val="0"/>
          <w:numId w:val="3"/>
        </w:numPr>
        <w:spacing w:line="360" w:lineRule="auto"/>
        <w:ind w:firstLine="482" w:firstLineChars="20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转变二：从“过度”走向“适度”</w:t>
      </w:r>
    </w:p>
    <w:p>
      <w:pPr>
        <w:widowControl w:val="0"/>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-6岁儿童学习与发展指南》中指出：“教师介入与指导幼儿的游戏时应有目标意识。”由此可见，在幼儿游戏的过程中教师介入是非常重要的一部分，以往的游戏中有的教师介入游戏的频率很高，虽确保了游戏的顺利开展，但幼儿的游戏积极性却大大降低，可以看出教师过度的介入往往会影响孩子的游戏体验、限制游戏水平的发展。因此，教师进行指导前的首要任务就是要加强学习，通过多种方式了解新理念，取其精华，不断提升理论知识。在这之后教师就要将理论融入实践，在幼儿游戏时留有余地的进行指导，尽量让孩子自己去学习、去探索、去发现，这样可以起到事半功倍的效果。</w:t>
      </w:r>
    </w:p>
    <w:p>
      <w:pPr>
        <w:widowControl w:val="0"/>
        <w:numPr>
          <w:ilvl w:val="0"/>
          <w:numId w:val="4"/>
        </w:numPr>
        <w:spacing w:line="360" w:lineRule="auto"/>
        <w:ind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加强学习，更新观念</w:t>
      </w:r>
    </w:p>
    <w:p>
      <w:pPr>
        <w:widowControl w:val="0"/>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俗话说：“要给学生一杯水，自己先要有一桶水。”时代在不断发展，幼儿的需求也在不断变化，作为教师我们更应当与时俱进，不断学习、不断改变，从而更好地理解幼儿游戏智慧、给予幼儿最恰当的支持、满足幼儿越发广泛的需要。</w:t>
      </w:r>
    </w:p>
    <w:p>
      <w:pPr>
        <w:widowControl w:val="0"/>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教师可以采用书籍查阅和网页浏览两种方式进行学习。教师进行书籍查阅时最好选择图书馆，图书馆的书籍更全面、更专业，既有名人理论书籍，也有相关的期刊杂志，教师可以先从期刊杂志入手，期刊杂志大多时效性比较高，与幼儿园的游戏活动发展同步更新，教师阅读时应该会感同身受，教师可以从中进行对比学习，这样习得的理念和经验更加透彻深入。另外，在这信息化飞速发展的时代，网页浏览更直观、更生动、更易教师接受操作。通过浏览优秀的游戏指导文本、观看精彩游戏指导视频，可以参考选取其中出彩的做法并结合本班幼儿的情况进行思考，最后提炼总结出最适宜、最合理的指导策略。</w:t>
      </w:r>
    </w:p>
    <w:p>
      <w:pPr>
        <w:widowControl w:val="0"/>
        <w:numPr>
          <w:ilvl w:val="0"/>
          <w:numId w:val="4"/>
        </w:numPr>
        <w:spacing w:line="360" w:lineRule="auto"/>
        <w:ind w:left="0" w:leftChars="0" w:firstLine="482" w:firstLineChars="200"/>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明确角色，灵活转变</w:t>
      </w:r>
    </w:p>
    <w:p>
      <w:pPr>
        <w:widowControl w:val="0"/>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《幼儿园教育指导纲要（试行）》中明确指出:“教师应成为幼儿学习活动的支持者、合作者、引导者。” 可见教师在幼儿学习游戏时需要扮演不同的角色，有时是敏锐的观察者、有时是积极的引导者、有时是机智的合作者。所以，教师在进行游戏指导时首先一定要明确自己的角色身份，其次，随着游戏的发展和变化，教师的角色身份也要及时进行灵活转变，当幼儿积极进行游戏探索时，教师是观察者的角色，静观其变，鼓励幼儿发挥，当游戏无法继续进行时，教师则转变为引导者，设置问题情景，引导幼儿思考展开行动，这样在潜移默化中推动游戏的发展，幼儿的参与兴趣也可以保持如一。</w:t>
      </w:r>
    </w:p>
    <w:p>
      <w:pPr>
        <w:widowControl w:val="0"/>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孩子们在建构区搭建好房子后，云云开心地说：“我们的房子真漂亮，要是有个小池塘我们就可以喂小鱼。”欢欢听完直接拿出来一个胶带圈说：“这个做小池塘吧。”豪豪说：“这个池塘真小，只能放一条小鱼。”孩子们开始尝试探索，明明马上拿了张长长的硬板纸折起来为了个圈，涵涵看了说：“你这个池塘是破的，小鱼都要游走了。”涵涵转了转眼珠跑到了牛奶盒的箱子边，拿出来几个小牛奶盒围成了一个圈，说：“看，我这个池塘好，可以放很多很多小鱼。”于是，其他小朋友也纷纷拿起牛奶盒，一起搭建好池塘。在此案例中，幼儿始终保持积极的游戏兴趣，作为老师，我选择做个观察者，静心观察，让孩子们自由的进行摆弄，孩子们的行为还是蛮出人意料的，可见，有时适度“放手”也能取得恰如其分的效果。</w:t>
      </w:r>
    </w:p>
    <w:p>
      <w:pPr>
        <w:widowControl w:val="0"/>
        <w:numPr>
          <w:ilvl w:val="0"/>
          <w:numId w:val="0"/>
        </w:numPr>
        <w:spacing w:line="360" w:lineRule="auto"/>
        <w:jc w:val="both"/>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drawing>
          <wp:inline distT="0" distB="0" distL="114300" distR="114300">
            <wp:extent cx="1666875" cy="1080135"/>
            <wp:effectExtent l="0" t="0" r="9525" b="5715"/>
            <wp:docPr id="55" name="图片 55" descr="IMG_2661"/>
            <wp:cNvGraphicFramePr/>
            <a:graphic xmlns:a="http://schemas.openxmlformats.org/drawingml/2006/main">
              <a:graphicData uri="http://schemas.openxmlformats.org/drawingml/2006/picture">
                <pic:pic xmlns:pic="http://schemas.openxmlformats.org/drawingml/2006/picture">
                  <pic:nvPicPr>
                    <pic:cNvPr id="55" name="图片 55" descr="IMG_2661"/>
                    <pic:cNvPicPr/>
                  </pic:nvPicPr>
                  <pic:blipFill>
                    <a:blip r:embed="rId10"/>
                    <a:stretch>
                      <a:fillRect/>
                    </a:stretch>
                  </pic:blipFill>
                  <pic:spPr>
                    <a:xfrm>
                      <a:off x="0" y="0"/>
                      <a:ext cx="1666875" cy="1080135"/>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drawing>
          <wp:inline distT="0" distB="0" distL="114300" distR="114300">
            <wp:extent cx="1666875" cy="1080135"/>
            <wp:effectExtent l="0" t="0" r="9525" b="5715"/>
            <wp:docPr id="56" name="图片 56" descr="IMG_2662"/>
            <wp:cNvGraphicFramePr/>
            <a:graphic xmlns:a="http://schemas.openxmlformats.org/drawingml/2006/main">
              <a:graphicData uri="http://schemas.openxmlformats.org/drawingml/2006/picture">
                <pic:pic xmlns:pic="http://schemas.openxmlformats.org/drawingml/2006/picture">
                  <pic:nvPicPr>
                    <pic:cNvPr id="56" name="图片 56" descr="IMG_2662"/>
                    <pic:cNvPicPr/>
                  </pic:nvPicPr>
                  <pic:blipFill>
                    <a:blip r:embed="rId11"/>
                    <a:stretch>
                      <a:fillRect/>
                    </a:stretch>
                  </pic:blipFill>
                  <pic:spPr>
                    <a:xfrm>
                      <a:off x="0" y="0"/>
                      <a:ext cx="1666875" cy="1080135"/>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drawing>
          <wp:inline distT="0" distB="0" distL="114300" distR="114300">
            <wp:extent cx="1666875" cy="1080135"/>
            <wp:effectExtent l="0" t="0" r="9525" b="5715"/>
            <wp:docPr id="58" name="图片 58" descr="IMG_2665"/>
            <wp:cNvGraphicFramePr/>
            <a:graphic xmlns:a="http://schemas.openxmlformats.org/drawingml/2006/main">
              <a:graphicData uri="http://schemas.openxmlformats.org/drawingml/2006/picture">
                <pic:pic xmlns:pic="http://schemas.openxmlformats.org/drawingml/2006/picture">
                  <pic:nvPicPr>
                    <pic:cNvPr id="58" name="图片 58" descr="IMG_2665"/>
                    <pic:cNvPicPr/>
                  </pic:nvPicPr>
                  <pic:blipFill>
                    <a:blip r:embed="rId12"/>
                    <a:stretch>
                      <a:fillRect/>
                    </a:stretch>
                  </pic:blipFill>
                  <pic:spPr>
                    <a:xfrm>
                      <a:off x="0" y="0"/>
                      <a:ext cx="1666875" cy="108013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firstLine="42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例如：四名幼儿在建构区进行游戏，每个人都搭了一栋房子后，就坐在搭好的房子旁边，有些无所事事，这时我轻轻来到孩子们身边说：“哇，这里的房子真漂亮，我想住在这一个房子里，但是我的好朋友住在其他的房子里，怎么才能去其他房子里呢？”此时，涵涵说：“我们小区里有那种石头路，可以从那个石头路上走过去呀。”说完，他们就找来了不同的圆形瓶盖铺了小路。我开心地说：“有了这个小路，我就可以去朋友家玩了，真是太好了，谢谢你们喽，小小建筑师。”孩子们听后也开心地笑了。在此次游戏中我扮演了引导者的角色，当游戏无法进行下去时，我及时为幼儿设置“问题情景”，引导幼儿思考行动，既增强了幼儿的成就感，同时也助推游戏深入发展。可见，有时教师的适度参与也能让游戏变得更加精彩。</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drawing>
          <wp:inline distT="0" distB="0" distL="114300" distR="114300">
            <wp:extent cx="1666875" cy="1080135"/>
            <wp:effectExtent l="0" t="0" r="9525" b="5715"/>
            <wp:docPr id="36" name="图片 36" descr="IMG_2585"/>
            <wp:cNvGraphicFramePr/>
            <a:graphic xmlns:a="http://schemas.openxmlformats.org/drawingml/2006/main">
              <a:graphicData uri="http://schemas.openxmlformats.org/drawingml/2006/picture">
                <pic:pic xmlns:pic="http://schemas.openxmlformats.org/drawingml/2006/picture">
                  <pic:nvPicPr>
                    <pic:cNvPr id="36" name="图片 36" descr="IMG_2585"/>
                    <pic:cNvPicPr/>
                  </pic:nvPicPr>
                  <pic:blipFill>
                    <a:blip r:embed="rId13"/>
                    <a:stretch>
                      <a:fillRect/>
                    </a:stretch>
                  </pic:blipFill>
                  <pic:spPr>
                    <a:xfrm>
                      <a:off x="0" y="0"/>
                      <a:ext cx="1666875" cy="1080135"/>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drawing>
          <wp:inline distT="0" distB="0" distL="114300" distR="114300">
            <wp:extent cx="1666875" cy="1080135"/>
            <wp:effectExtent l="0" t="0" r="9525" b="5715"/>
            <wp:docPr id="37" name="图片 37" descr="IMG_2591"/>
            <wp:cNvGraphicFramePr/>
            <a:graphic xmlns:a="http://schemas.openxmlformats.org/drawingml/2006/main">
              <a:graphicData uri="http://schemas.openxmlformats.org/drawingml/2006/picture">
                <pic:pic xmlns:pic="http://schemas.openxmlformats.org/drawingml/2006/picture">
                  <pic:nvPicPr>
                    <pic:cNvPr id="37" name="图片 37" descr="IMG_2591"/>
                    <pic:cNvPicPr/>
                  </pic:nvPicPr>
                  <pic:blipFill>
                    <a:blip r:embed="rId14"/>
                    <a:stretch>
                      <a:fillRect/>
                    </a:stretch>
                  </pic:blipFill>
                  <pic:spPr>
                    <a:xfrm>
                      <a:off x="0" y="0"/>
                      <a:ext cx="1666875" cy="1080135"/>
                    </a:xfrm>
                    <a:prstGeom prst="rect">
                      <a:avLst/>
                    </a:prstGeom>
                  </pic:spPr>
                </pic:pic>
              </a:graphicData>
            </a:graphic>
          </wp:inline>
        </w:drawing>
      </w:r>
      <w:r>
        <w:rPr>
          <w:rFonts w:hint="eastAsia" w:ascii="宋体" w:hAnsi="宋体" w:eastAsia="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drawing>
          <wp:inline distT="0" distB="0" distL="114300" distR="114300">
            <wp:extent cx="1666875" cy="1080135"/>
            <wp:effectExtent l="0" t="0" r="9525" b="5715"/>
            <wp:docPr id="39" name="图片 39" descr="IMG_2595"/>
            <wp:cNvGraphicFramePr/>
            <a:graphic xmlns:a="http://schemas.openxmlformats.org/drawingml/2006/main">
              <a:graphicData uri="http://schemas.openxmlformats.org/drawingml/2006/picture">
                <pic:pic xmlns:pic="http://schemas.openxmlformats.org/drawingml/2006/picture">
                  <pic:nvPicPr>
                    <pic:cNvPr id="39" name="图片 39" descr="IMG_2595"/>
                    <pic:cNvPicPr/>
                  </pic:nvPicPr>
                  <pic:blipFill>
                    <a:blip r:embed="rId15"/>
                    <a:stretch>
                      <a:fillRect/>
                    </a:stretch>
                  </pic:blipFill>
                  <pic:spPr>
                    <a:xfrm>
                      <a:off x="0" y="0"/>
                      <a:ext cx="1666875" cy="1080135"/>
                    </a:xfrm>
                    <a:prstGeom prst="rect">
                      <a:avLst/>
                    </a:prstGeom>
                  </pic:spPr>
                </pic:pic>
              </a:graphicData>
            </a:graphic>
          </wp:inline>
        </w:drawing>
      </w:r>
    </w:p>
    <w:p>
      <w:pPr>
        <w:widowControl w:val="0"/>
        <w:numPr>
          <w:ilvl w:val="0"/>
          <w:numId w:val="3"/>
        </w:numPr>
        <w:spacing w:line="360" w:lineRule="auto"/>
        <w:ind w:left="0" w:leftChars="0" w:firstLine="482" w:firstLineChars="20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转变三：</w:t>
      </w:r>
      <w:r>
        <w:rPr>
          <w:rFonts w:hint="eastAsia" w:ascii="宋体" w:hAnsi="宋体" w:eastAsia="宋体" w:cs="宋体"/>
          <w:b/>
          <w:bCs/>
          <w:sz w:val="24"/>
          <w:szCs w:val="24"/>
          <w:lang w:val="en-US" w:eastAsia="zh-CN"/>
        </w:rPr>
        <w:t xml:space="preserve">从“显性”走向“隐性” </w:t>
      </w:r>
    </w:p>
    <w:p>
      <w:pPr>
        <w:widowControl w:val="0"/>
        <w:numPr>
          <w:ilvl w:val="0"/>
          <w:numId w:val="0"/>
        </w:numPr>
        <w:spacing w:line="360" w:lineRule="auto"/>
        <w:ind w:leftChars="200"/>
        <w:jc w:val="both"/>
        <w:rPr>
          <w:rFonts w:hint="eastAsia" w:asciiTheme="minorEastAsia" w:hAnsiTheme="minorEastAsia" w:cstheme="minorEastAsia"/>
          <w:sz w:val="24"/>
          <w:szCs w:val="24"/>
        </w:rPr>
      </w:pPr>
      <w:r>
        <w:rPr>
          <w:rFonts w:hint="eastAsia" w:asciiTheme="minorEastAsia" w:hAnsiTheme="minorEastAsia" w:cstheme="minorEastAsia"/>
          <w:sz w:val="24"/>
          <w:szCs w:val="24"/>
        </w:rPr>
        <w:t>《幼儿园教育指导纲要（试行）》提到：“环境是重要的教育资源，应通过环</w:t>
      </w:r>
    </w:p>
    <w:p>
      <w:pPr>
        <w:widowControl w:val="0"/>
        <w:numPr>
          <w:ilvl w:val="0"/>
          <w:numId w:val="0"/>
        </w:numPr>
        <w:spacing w:line="360" w:lineRule="auto"/>
        <w:jc w:val="both"/>
        <w:rPr>
          <w:rFonts w:hint="eastAsia" w:asciiTheme="minorEastAsia" w:hAnsiTheme="minorEastAsia"/>
          <w:b/>
          <w:bCs/>
          <w:sz w:val="24"/>
          <w:szCs w:val="24"/>
          <w:lang w:val="en-US" w:eastAsia="zh-CN"/>
        </w:rPr>
      </w:pPr>
      <w:r>
        <w:rPr>
          <w:rFonts w:hint="eastAsia" w:asciiTheme="minorEastAsia" w:hAnsiTheme="minorEastAsia" w:cstheme="minorEastAsia"/>
          <w:sz w:val="24"/>
          <w:szCs w:val="24"/>
        </w:rPr>
        <w:t>境的创设和利用，有效促进幼儿的发展。”游戏的顺利开展</w:t>
      </w:r>
      <w:r>
        <w:rPr>
          <w:rFonts w:hint="eastAsia" w:asciiTheme="minorEastAsia" w:hAnsiTheme="minorEastAsia" w:cstheme="minorEastAsia"/>
          <w:sz w:val="24"/>
          <w:szCs w:val="24"/>
          <w:lang w:eastAsia="zh-CN"/>
        </w:rPr>
        <w:t>不仅</w:t>
      </w:r>
      <w:r>
        <w:rPr>
          <w:rFonts w:hint="eastAsia" w:asciiTheme="minorEastAsia" w:hAnsiTheme="minorEastAsia" w:cstheme="minorEastAsia"/>
          <w:sz w:val="24"/>
          <w:szCs w:val="24"/>
        </w:rPr>
        <w:t>需要幼儿的全力参与</w:t>
      </w:r>
      <w:r>
        <w:rPr>
          <w:rFonts w:hint="eastAsia" w:asciiTheme="minorEastAsia" w:hAnsiTheme="minorEastAsia" w:cstheme="minorEastAsia"/>
          <w:sz w:val="24"/>
          <w:szCs w:val="24"/>
          <w:lang w:eastAsia="zh-CN"/>
        </w:rPr>
        <w:t>和</w:t>
      </w:r>
      <w:r>
        <w:rPr>
          <w:rFonts w:hint="eastAsia" w:asciiTheme="minorEastAsia" w:hAnsiTheme="minorEastAsia" w:cstheme="minorEastAsia"/>
          <w:sz w:val="24"/>
          <w:szCs w:val="24"/>
        </w:rPr>
        <w:t>需要老师的适度指导，同样也需要游戏环境的辅助。对于幼儿来说，环境就像一位“无声的老师”，是一种隐性的“指示牌”。</w:t>
      </w:r>
      <w:r>
        <w:rPr>
          <w:rFonts w:hint="eastAsia" w:asciiTheme="minorEastAsia" w:hAnsiTheme="minorEastAsia" w:cstheme="minorEastAsia"/>
          <w:sz w:val="24"/>
          <w:szCs w:val="24"/>
          <w:lang w:eastAsia="zh-CN"/>
        </w:rPr>
        <w:t>基于建构区的空间，教师主要会对建构区墙面及收纳箱上标记图进行了用心创设，创设使用一段一时间后，教师还需根据幼儿的行为表现、使用情况等因素，及时对墙面内容进行更换和调整，从而不断给予幼儿新鲜的“刺激”，在潜移默化中支持辅助幼儿进行游戏。</w:t>
      </w:r>
    </w:p>
    <w:p>
      <w:pPr>
        <w:widowControl w:val="0"/>
        <w:numPr>
          <w:ilvl w:val="0"/>
          <w:numId w:val="5"/>
        </w:numPr>
        <w:spacing w:line="360" w:lineRule="auto"/>
        <w:ind w:left="480" w:leftChars="0" w:firstLine="0" w:firstLineChars="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用心创设，层层渗透</w:t>
      </w:r>
    </w:p>
    <w:p>
      <w:pPr>
        <w:widowControl w:val="0"/>
        <w:numPr>
          <w:ilvl w:val="0"/>
          <w:numId w:val="0"/>
        </w:numPr>
        <w:spacing w:line="360" w:lineRule="auto"/>
        <w:ind w:firstLine="480" w:firstLineChars="200"/>
        <w:jc w:val="both"/>
        <w:rPr>
          <w:rFonts w:hint="eastAsia" w:asciiTheme="minorEastAsia" w:hAnsiTheme="minorEastAsia"/>
          <w:sz w:val="24"/>
          <w:szCs w:val="24"/>
          <w:lang w:val="en-US" w:eastAsia="zh-CN"/>
        </w:rPr>
      </w:pPr>
      <w:r>
        <w:rPr>
          <w:rFonts w:hint="eastAsia" w:asciiTheme="minorEastAsia" w:hAnsiTheme="minorEastAsia"/>
          <w:sz w:val="24"/>
          <w:szCs w:val="24"/>
          <w:lang w:val="en-US" w:eastAsia="zh-CN"/>
        </w:rPr>
        <w:t>《幼儿园教育指导纲要（试行）》指出：“提供自由活动的机会，支持幼儿自主的选择和计划活动，并鼓励他们认真努力的完成任务。”因此用心创设游戏环境是非常关键的，这里的游戏环境主要针对墙面的环境创设和一些标记图的设置，教师可以在墙面上张贴上建筑物图片、自制建构图纸、幼儿建构作品照片等，当幼儿正式进行游戏时，幼儿可以自主选择图片进行建构，没准还能激发幼儿的建构灵感。另外收纳箱上的标记图也是教师值得思考设置的内容，清晰明确的标记图能够给予幼儿良好的指引和提示。将这些游戏环境自然渗透到游戏之中，使其成为孩子游戏的“隐性帮手”，也使幼儿游戏时更加自由、自主、愉悦。</w:t>
      </w:r>
    </w:p>
    <w:p>
      <w:pPr>
        <w:widowControl w:val="0"/>
        <w:numPr>
          <w:ilvl w:val="0"/>
          <w:numId w:val="0"/>
        </w:numPr>
        <w:spacing w:line="360" w:lineRule="auto"/>
        <w:ind w:firstLine="480" w:firstLineChars="200"/>
        <w:jc w:val="both"/>
        <w:rPr>
          <w:rFonts w:hint="eastAsia" w:ascii="宋体" w:hAnsi="宋体" w:eastAsia="宋体" w:cs="宋体"/>
          <w:b w:val="0"/>
          <w:bCs w:val="0"/>
          <w:sz w:val="24"/>
          <w:szCs w:val="24"/>
          <w:lang w:val="en-US" w:eastAsia="zh-CN"/>
        </w:rPr>
      </w:pPr>
      <w:r>
        <w:rPr>
          <w:rFonts w:hint="eastAsia" w:asciiTheme="minorEastAsia" w:hAnsiTheme="minorEastAsia"/>
          <w:sz w:val="24"/>
          <w:szCs w:val="24"/>
          <w:lang w:val="en-US" w:eastAsia="zh-CN"/>
        </w:rPr>
        <w:t>例如：在一次建构游戏中，牛奶盒和胶带卷分别放在两个收纳箱中，幼儿建构时，总是将很多牛奶盒都拿出来堆放在地垫上，才能拿到自己喜欢的颜色的盒子，当游戏结束时幼儿就将牛奶盒、胶带圈等建构材料直接放到了距离自己最近的收纳箱中，各种材料堆在一起，显得有些杂乱。</w:t>
      </w:r>
      <w:r>
        <w:rPr>
          <w:rFonts w:hint="eastAsia" w:ascii="宋体" w:hAnsi="宋体" w:eastAsia="宋体" w:cs="宋体"/>
          <w:b w:val="0"/>
          <w:bCs w:val="0"/>
          <w:sz w:val="24"/>
          <w:szCs w:val="24"/>
          <w:lang w:val="en-US" w:eastAsia="zh-CN"/>
        </w:rPr>
        <w:t>因此我们结合幼儿的游戏行为特点，在收纳盒上都设置了</w:t>
      </w:r>
      <w:r>
        <w:rPr>
          <w:rFonts w:hint="eastAsia" w:ascii="宋体" w:hAnsi="宋体" w:eastAsia="宋体" w:cs="宋体"/>
          <w:sz w:val="24"/>
          <w:szCs w:val="24"/>
          <w:lang w:val="en-US" w:eastAsia="zh-CN"/>
        </w:rPr>
        <w:t>带有颜色标识的标记图，将不同颜色大小的牛奶盒投放到不同的纸箱中，既方便幼儿观察、选择、拿取、整理，又进一步培养孩子收放材料的好习惯。其实，</w:t>
      </w:r>
      <w:r>
        <w:rPr>
          <w:rFonts w:hint="eastAsia" w:ascii="宋体" w:hAnsi="宋体" w:eastAsia="宋体" w:cs="宋体"/>
          <w:b w:val="0"/>
          <w:bCs w:val="0"/>
          <w:sz w:val="24"/>
          <w:szCs w:val="24"/>
          <w:lang w:val="en-US" w:eastAsia="zh-CN"/>
        </w:rPr>
        <w:t>标记图就像是一位不说话的小老师，默默地发挥着它独特的作用，通过标记图的启发，孩子们可以自主、有序地拿放建构材料。</w:t>
      </w:r>
    </w:p>
    <w:p>
      <w:pPr>
        <w:widowControl w:val="0"/>
        <w:numPr>
          <w:ilvl w:val="0"/>
          <w:numId w:val="0"/>
        </w:numPr>
        <w:spacing w:line="360" w:lineRule="auto"/>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drawing>
          <wp:inline distT="0" distB="0" distL="114300" distR="114300">
            <wp:extent cx="1666875" cy="1080135"/>
            <wp:effectExtent l="0" t="0" r="9525" b="5715"/>
            <wp:docPr id="5" name="图片 5" descr="IMG_2430"/>
            <wp:cNvGraphicFramePr/>
            <a:graphic xmlns:a="http://schemas.openxmlformats.org/drawingml/2006/main">
              <a:graphicData uri="http://schemas.openxmlformats.org/drawingml/2006/picture">
                <pic:pic xmlns:pic="http://schemas.openxmlformats.org/drawingml/2006/picture">
                  <pic:nvPicPr>
                    <pic:cNvPr id="5" name="图片 5" descr="IMG_2430"/>
                    <pic:cNvPicPr/>
                  </pic:nvPicPr>
                  <pic:blipFill>
                    <a:blip r:embed="rId16"/>
                    <a:stretch>
                      <a:fillRect/>
                    </a:stretch>
                  </pic:blipFill>
                  <pic:spPr>
                    <a:xfrm>
                      <a:off x="0" y="0"/>
                      <a:ext cx="1666875" cy="1080135"/>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666875" cy="1080135"/>
            <wp:effectExtent l="0" t="0" r="9525" b="5715"/>
            <wp:docPr id="1" name="图片 1" descr="IMG_2544"/>
            <wp:cNvGraphicFramePr/>
            <a:graphic xmlns:a="http://schemas.openxmlformats.org/drawingml/2006/main">
              <a:graphicData uri="http://schemas.openxmlformats.org/drawingml/2006/picture">
                <pic:pic xmlns:pic="http://schemas.openxmlformats.org/drawingml/2006/picture">
                  <pic:nvPicPr>
                    <pic:cNvPr id="1" name="图片 1" descr="IMG_2544"/>
                    <pic:cNvPicPr/>
                  </pic:nvPicPr>
                  <pic:blipFill>
                    <a:blip r:embed="rId17"/>
                    <a:stretch>
                      <a:fillRect/>
                    </a:stretch>
                  </pic:blipFill>
                  <pic:spPr>
                    <a:xfrm>
                      <a:off x="0" y="0"/>
                      <a:ext cx="1666875" cy="1080135"/>
                    </a:xfrm>
                    <a:prstGeom prst="rect">
                      <a:avLst/>
                    </a:prstGeom>
                  </pic:spPr>
                </pic:pic>
              </a:graphicData>
            </a:graphic>
          </wp:inline>
        </w:draw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lang w:val="en-US" w:eastAsia="zh-CN"/>
        </w:rPr>
        <w:drawing>
          <wp:inline distT="0" distB="0" distL="114300" distR="114300">
            <wp:extent cx="1666875" cy="1080135"/>
            <wp:effectExtent l="0" t="0" r="9525" b="5715"/>
            <wp:docPr id="8" name="图片 8" descr="IMG_2545"/>
            <wp:cNvGraphicFramePr/>
            <a:graphic xmlns:a="http://schemas.openxmlformats.org/drawingml/2006/main">
              <a:graphicData uri="http://schemas.openxmlformats.org/drawingml/2006/picture">
                <pic:pic xmlns:pic="http://schemas.openxmlformats.org/drawingml/2006/picture">
                  <pic:nvPicPr>
                    <pic:cNvPr id="8" name="图片 8" descr="IMG_2545"/>
                    <pic:cNvPicPr/>
                  </pic:nvPicPr>
                  <pic:blipFill>
                    <a:blip r:embed="rId18"/>
                    <a:stretch>
                      <a:fillRect/>
                    </a:stretch>
                  </pic:blipFill>
                  <pic:spPr>
                    <a:xfrm>
                      <a:off x="0" y="0"/>
                      <a:ext cx="1666875" cy="1080135"/>
                    </a:xfrm>
                    <a:prstGeom prst="rect">
                      <a:avLst/>
                    </a:prstGeom>
                  </pic:spPr>
                </pic:pic>
              </a:graphicData>
            </a:graphic>
          </wp:inline>
        </w:drawing>
      </w:r>
      <w:r>
        <w:rPr>
          <w:rFonts w:hint="eastAsia" w:ascii="宋体" w:hAnsi="宋体" w:eastAsia="宋体" w:cs="宋体"/>
          <w:sz w:val="24"/>
          <w:szCs w:val="24"/>
          <w:lang w:val="en-US" w:eastAsia="zh-CN"/>
        </w:rPr>
        <w:t xml:space="preserve"> </w:t>
      </w:r>
    </w:p>
    <w:p>
      <w:pPr>
        <w:widowControl w:val="0"/>
        <w:numPr>
          <w:ilvl w:val="0"/>
          <w:numId w:val="5"/>
        </w:numPr>
        <w:spacing w:line="360" w:lineRule="auto"/>
        <w:ind w:left="480" w:leftChars="0" w:firstLine="0" w:firstLineChars="0"/>
        <w:jc w:val="both"/>
        <w:rPr>
          <w:rFonts w:hint="eastAsia" w:asciiTheme="minorEastAsia" w:hAnsiTheme="minorEastAsia"/>
          <w:b/>
          <w:bCs/>
          <w:sz w:val="24"/>
          <w:szCs w:val="24"/>
          <w:lang w:val="en-US" w:eastAsia="zh-CN"/>
        </w:rPr>
      </w:pPr>
      <w:r>
        <w:rPr>
          <w:rFonts w:hint="eastAsia" w:asciiTheme="minorEastAsia" w:hAnsiTheme="minorEastAsia"/>
          <w:b/>
          <w:bCs/>
          <w:sz w:val="24"/>
          <w:szCs w:val="24"/>
          <w:lang w:val="en-US" w:eastAsia="zh-CN"/>
        </w:rPr>
        <w:t>及时调整，步步推进</w:t>
      </w:r>
    </w:p>
    <w:p>
      <w:pPr>
        <w:widowControl w:val="0"/>
        <w:numPr>
          <w:ilvl w:val="0"/>
          <w:numId w:val="0"/>
        </w:numPr>
        <w:spacing w:line="360" w:lineRule="auto"/>
        <w:ind w:firstLine="48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幼儿园教育指导纲要（试行）》指出：“教师要关注幼儿在活动中的表现和反应，敏感地察觉他们的需要，及时以适当的方式应答，形成合作探究式的师生互动。”这里所说的适当的方式，不仅指向游戏中教师的适当指导，还指向与游戏后教师对游戏环境的调整与推进。因此，教师创设完游戏环境后并非就“大功告成”了，教师还要进一步观察跟进，结合游戏时观察到的幼儿行为以及发现的游戏问题及时对游戏环境进行有目的性、有针对性的调整与改进，这样才能使幼儿在与环境的互动中不断丰富原有经验，更有效推进游戏的发展，促进幼儿的游戏水平不断提高。</w:t>
      </w:r>
    </w:p>
    <w:p>
      <w:pPr>
        <w:widowControl w:val="0"/>
        <w:numPr>
          <w:ilvl w:val="0"/>
          <w:numId w:val="0"/>
        </w:numPr>
        <w:spacing w:line="360" w:lineRule="auto"/>
        <w:ind w:firstLine="480" w:firstLineChars="200"/>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例如：幼儿在建构区进行的三次连续性的游戏，第一次游戏时幼儿完全凭借自己的经验进行建构，教师观察到幼儿建构时有些盲目，有些不知所措，针对这一情况，我契合幼儿经验，改进墙面环境，在建构区的墙面上一方面张贴一些常见建筑物的图片，激发孩子建构的兴趣，另一方面以牛奶盒、胶带圈的形状为主画了几张设计图供幼儿参考。随后开展的第二次游戏，孩子们逐渐关注到了墙面上的设计图，也能完成建构内容，不再像一开始建构那样缺乏目的性，游戏后我又一次进行调整，将建构区墙面的图片进行替换，增加一些拼搭好的作品照片供幼儿参考，从而激发幼儿灵感。</w:t>
      </w:r>
      <w:r>
        <w:rPr>
          <w:rFonts w:hint="eastAsia" w:ascii="宋体" w:hAnsi="宋体" w:eastAsia="宋体" w:cs="宋体"/>
          <w:b w:val="0"/>
          <w:bCs w:val="0"/>
          <w:sz w:val="24"/>
          <w:szCs w:val="24"/>
          <w:lang w:val="en-US" w:eastAsia="zh-CN"/>
        </w:rPr>
        <w:t>经过前几次游戏后的调整，孩子们在玩游戏的时候常常会参考墙面的图纸和照片，建构时有了一定的目的性，盲目搭建的现象越来越少了。这次游戏我又进行了一次思考和行动，在建构区增添一本建构小秘诀的本子，用绘画的方式将一些废旧材料的使用方法呈现出来，一方面可以给予能力弱的孩子一些参考，另一方面能力强的孩子的新颖想法，教师也可以进行添加，潜移默化中记录了孩子在建构中的探索与收获，满足幼儿不断变化的需求。</w:t>
      </w:r>
    </w:p>
    <w:p>
      <w:pPr>
        <w:widowControl w:val="0"/>
        <w:numPr>
          <w:ilvl w:val="0"/>
          <w:numId w:val="0"/>
        </w:numPr>
        <w:spacing w:line="360" w:lineRule="auto"/>
        <w:jc w:val="both"/>
        <w:rPr>
          <w:sz w:val="24"/>
        </w:rPr>
      </w:pPr>
      <w:r>
        <w:rPr>
          <w:rFonts w:hint="eastAsia" w:asciiTheme="minorEastAsia" w:hAnsiTheme="minorEastAsia"/>
          <w:sz w:val="24"/>
          <w:szCs w:val="24"/>
          <w:lang w:val="en-US" w:eastAsia="zh-CN"/>
        </w:rPr>
        <w:drawing>
          <wp:inline distT="0" distB="0" distL="114300" distR="114300">
            <wp:extent cx="1666875" cy="1080135"/>
            <wp:effectExtent l="0" t="0" r="9525" b="5715"/>
            <wp:docPr id="2" name="图片 2" descr="IMG_2546"/>
            <wp:cNvGraphicFramePr/>
            <a:graphic xmlns:a="http://schemas.openxmlformats.org/drawingml/2006/main">
              <a:graphicData uri="http://schemas.openxmlformats.org/drawingml/2006/picture">
                <pic:pic xmlns:pic="http://schemas.openxmlformats.org/drawingml/2006/picture">
                  <pic:nvPicPr>
                    <pic:cNvPr id="2" name="图片 2" descr="IMG_2546"/>
                    <pic:cNvPicPr/>
                  </pic:nvPicPr>
                  <pic:blipFill>
                    <a:blip r:embed="rId19"/>
                    <a:stretch>
                      <a:fillRect/>
                    </a:stretch>
                  </pic:blipFill>
                  <pic:spPr>
                    <a:xfrm>
                      <a:off x="0" y="0"/>
                      <a:ext cx="1666875" cy="1080135"/>
                    </a:xfrm>
                    <a:prstGeom prst="rect">
                      <a:avLst/>
                    </a:prstGeom>
                  </pic:spPr>
                </pic:pic>
              </a:graphicData>
            </a:graphic>
          </wp:inline>
        </w:drawing>
      </w:r>
      <w:r>
        <w:rPr>
          <w:rFonts w:hint="eastAsia" w:asciiTheme="minorEastAsia" w:hAnsiTheme="minorEastAsia"/>
          <w:sz w:val="24"/>
          <w:szCs w:val="24"/>
          <w:lang w:val="en-US" w:eastAsia="zh-CN"/>
        </w:rPr>
        <w:t xml:space="preserve"> </w:t>
      </w:r>
      <w:r>
        <w:rPr>
          <w:rFonts w:hint="eastAsia" w:asciiTheme="minorEastAsia" w:hAnsiTheme="minorEastAsia"/>
          <w:sz w:val="24"/>
          <w:szCs w:val="24"/>
          <w:lang w:val="en-US" w:eastAsia="zh-CN"/>
        </w:rPr>
        <w:drawing>
          <wp:inline distT="0" distB="0" distL="114300" distR="114300">
            <wp:extent cx="1666875" cy="1079500"/>
            <wp:effectExtent l="0" t="0" r="9525" b="6350"/>
            <wp:docPr id="4" name="图片 4" descr="IMG_2549"/>
            <wp:cNvGraphicFramePr/>
            <a:graphic xmlns:a="http://schemas.openxmlformats.org/drawingml/2006/main">
              <a:graphicData uri="http://schemas.openxmlformats.org/drawingml/2006/picture">
                <pic:pic xmlns:pic="http://schemas.openxmlformats.org/drawingml/2006/picture">
                  <pic:nvPicPr>
                    <pic:cNvPr id="4" name="图片 4" descr="IMG_2549"/>
                    <pic:cNvPicPr/>
                  </pic:nvPicPr>
                  <pic:blipFill>
                    <a:blip r:embed="rId20"/>
                    <a:stretch>
                      <a:fillRect/>
                    </a:stretch>
                  </pic:blipFill>
                  <pic:spPr>
                    <a:xfrm>
                      <a:off x="0" y="0"/>
                      <a:ext cx="1666875" cy="1079500"/>
                    </a:xfrm>
                    <a:prstGeom prst="rect">
                      <a:avLst/>
                    </a:prstGeom>
                  </pic:spPr>
                </pic:pic>
              </a:graphicData>
            </a:graphic>
          </wp:inline>
        </w:drawing>
      </w:r>
      <w:r>
        <w:rPr>
          <w:rFonts w:hint="eastAsia" w:asciiTheme="minorEastAsia" w:hAnsiTheme="minorEastAsia"/>
          <w:sz w:val="24"/>
          <w:szCs w:val="24"/>
          <w:lang w:val="en-US" w:eastAsia="zh-CN"/>
        </w:rPr>
        <w:t xml:space="preserve"> </w:t>
      </w:r>
      <w:r>
        <w:rPr>
          <w:rFonts w:hint="eastAsia" w:asciiTheme="minorEastAsia" w:hAnsiTheme="minorEastAsia"/>
          <w:sz w:val="24"/>
          <w:szCs w:val="24"/>
          <w:lang w:val="en-US" w:eastAsia="zh-CN"/>
        </w:rPr>
        <w:drawing>
          <wp:inline distT="0" distB="0" distL="114300" distR="114300">
            <wp:extent cx="1666875" cy="1080135"/>
            <wp:effectExtent l="0" t="0" r="9525" b="5715"/>
            <wp:docPr id="10" name="图片 10" descr="IMG_2594"/>
            <wp:cNvGraphicFramePr/>
            <a:graphic xmlns:a="http://schemas.openxmlformats.org/drawingml/2006/main">
              <a:graphicData uri="http://schemas.openxmlformats.org/drawingml/2006/picture">
                <pic:pic xmlns:pic="http://schemas.openxmlformats.org/drawingml/2006/picture">
                  <pic:nvPicPr>
                    <pic:cNvPr id="10" name="图片 10" descr="IMG_2594"/>
                    <pic:cNvPicPr/>
                  </pic:nvPicPr>
                  <pic:blipFill>
                    <a:blip r:embed="rId21"/>
                    <a:stretch>
                      <a:fillRect/>
                    </a:stretch>
                  </pic:blipFill>
                  <pic:spPr>
                    <a:xfrm>
                      <a:off x="0" y="0"/>
                      <a:ext cx="1666875" cy="1080135"/>
                    </a:xfrm>
                    <a:prstGeom prst="rect">
                      <a:avLst/>
                    </a:prstGeom>
                  </pic:spPr>
                </pic:pic>
              </a:graphicData>
            </a:graphic>
          </wp:inline>
        </w:drawing>
      </w:r>
      <w:r>
        <w:rPr>
          <w:rFonts w:hint="eastAsia" w:asciiTheme="minorEastAsia" w:hAnsiTheme="minorEastAsia"/>
          <w:sz w:val="24"/>
          <w:szCs w:val="24"/>
          <w:lang w:val="en-US" w:eastAsia="zh-CN"/>
        </w:rPr>
        <w:t xml:space="preserve"> </w:t>
      </w:r>
      <w:r>
        <w:rPr>
          <w:rFonts w:hint="eastAsia" w:asciiTheme="minorEastAsia" w:hAnsiTheme="minorEastAsia"/>
          <w:sz w:val="24"/>
          <w:szCs w:val="24"/>
          <w:lang w:val="en-US" w:eastAsia="zh-CN"/>
        </w:rPr>
        <w:drawing>
          <wp:inline distT="0" distB="0" distL="114300" distR="114300">
            <wp:extent cx="1666875" cy="1080135"/>
            <wp:effectExtent l="0" t="0" r="9525" b="5715"/>
            <wp:docPr id="7" name="图片 7" descr="IMG_2596"/>
            <wp:cNvGraphicFramePr/>
            <a:graphic xmlns:a="http://schemas.openxmlformats.org/drawingml/2006/main">
              <a:graphicData uri="http://schemas.openxmlformats.org/drawingml/2006/picture">
                <pic:pic xmlns:pic="http://schemas.openxmlformats.org/drawingml/2006/picture">
                  <pic:nvPicPr>
                    <pic:cNvPr id="7" name="图片 7" descr="IMG_2596"/>
                    <pic:cNvPicPr/>
                  </pic:nvPicPr>
                  <pic:blipFill>
                    <a:blip r:embed="rId22"/>
                    <a:stretch>
                      <a:fillRect/>
                    </a:stretch>
                  </pic:blipFill>
                  <pic:spPr>
                    <a:xfrm>
                      <a:off x="0" y="0"/>
                      <a:ext cx="1666875" cy="1080135"/>
                    </a:xfrm>
                    <a:prstGeom prst="rect">
                      <a:avLst/>
                    </a:prstGeom>
                  </pic:spPr>
                </pic:pic>
              </a:graphicData>
            </a:graphic>
          </wp:inline>
        </w:drawing>
      </w:r>
      <w:r>
        <w:rPr>
          <w:rFonts w:hint="eastAsia" w:asciiTheme="minorEastAsia" w:hAnsiTheme="minorEastAsia"/>
          <w:sz w:val="24"/>
          <w:szCs w:val="24"/>
          <w:lang w:val="en-US" w:eastAsia="zh-CN"/>
        </w:rPr>
        <w:t xml:space="preserve"> </w:t>
      </w:r>
      <w:r>
        <w:rPr>
          <w:rFonts w:hint="eastAsia" w:asciiTheme="minorEastAsia" w:hAnsiTheme="minorEastAsia"/>
          <w:sz w:val="24"/>
          <w:szCs w:val="24"/>
          <w:lang w:val="en-US" w:eastAsia="zh-CN"/>
        </w:rPr>
        <w:drawing>
          <wp:inline distT="0" distB="0" distL="114300" distR="114300">
            <wp:extent cx="1666875" cy="1080135"/>
            <wp:effectExtent l="0" t="0" r="9525" b="5715"/>
            <wp:docPr id="11" name="图片 11" descr="IMG_2628"/>
            <wp:cNvGraphicFramePr/>
            <a:graphic xmlns:a="http://schemas.openxmlformats.org/drawingml/2006/main">
              <a:graphicData uri="http://schemas.openxmlformats.org/drawingml/2006/picture">
                <pic:pic xmlns:pic="http://schemas.openxmlformats.org/drawingml/2006/picture">
                  <pic:nvPicPr>
                    <pic:cNvPr id="11" name="图片 11" descr="IMG_2628"/>
                    <pic:cNvPicPr/>
                  </pic:nvPicPr>
                  <pic:blipFill>
                    <a:blip r:embed="rId23"/>
                    <a:stretch>
                      <a:fillRect/>
                    </a:stretch>
                  </pic:blipFill>
                  <pic:spPr>
                    <a:xfrm>
                      <a:off x="0" y="0"/>
                      <a:ext cx="1666875" cy="1080135"/>
                    </a:xfrm>
                    <a:prstGeom prst="rect">
                      <a:avLst/>
                    </a:prstGeom>
                  </pic:spPr>
                </pic:pic>
              </a:graphicData>
            </a:graphic>
          </wp:inline>
        </w:drawing>
      </w:r>
      <w:r>
        <w:rPr>
          <w:rFonts w:hint="eastAsia" w:asciiTheme="minorEastAsia" w:hAnsiTheme="minorEastAsia"/>
          <w:sz w:val="24"/>
          <w:szCs w:val="24"/>
          <w:lang w:val="en-US" w:eastAsia="zh-CN"/>
        </w:rPr>
        <w:t xml:space="preserve">  </w:t>
      </w:r>
      <w:r>
        <w:rPr>
          <w:rFonts w:hint="eastAsia" w:asciiTheme="minorEastAsia" w:hAnsiTheme="minorEastAsia"/>
          <w:sz w:val="24"/>
          <w:szCs w:val="24"/>
          <w:lang w:val="en-US" w:eastAsia="zh-CN"/>
        </w:rPr>
        <w:drawing>
          <wp:inline distT="0" distB="0" distL="114300" distR="114300">
            <wp:extent cx="1666875" cy="1080135"/>
            <wp:effectExtent l="0" t="0" r="9525" b="5715"/>
            <wp:docPr id="9" name="图片 9" descr="IMG_2670"/>
            <wp:cNvGraphicFramePr/>
            <a:graphic xmlns:a="http://schemas.openxmlformats.org/drawingml/2006/main">
              <a:graphicData uri="http://schemas.openxmlformats.org/drawingml/2006/picture">
                <pic:pic xmlns:pic="http://schemas.openxmlformats.org/drawingml/2006/picture">
                  <pic:nvPicPr>
                    <pic:cNvPr id="9" name="图片 9" descr="IMG_2670"/>
                    <pic:cNvPicPr/>
                  </pic:nvPicPr>
                  <pic:blipFill>
                    <a:blip r:embed="rId24"/>
                    <a:stretch>
                      <a:fillRect/>
                    </a:stretch>
                  </pic:blipFill>
                  <pic:spPr>
                    <a:xfrm>
                      <a:off x="0" y="0"/>
                      <a:ext cx="1666875" cy="1080135"/>
                    </a:xfrm>
                    <a:prstGeom prst="rect">
                      <a:avLst/>
                    </a:prstGeom>
                  </pic:spPr>
                </pic:pic>
              </a:graphicData>
            </a:graphic>
          </wp:inline>
        </w:drawing>
      </w:r>
      <w:r>
        <w:rPr>
          <w:rFonts w:hint="eastAsia" w:asciiTheme="minorEastAsia" w:hAnsiTheme="minorEastAsia"/>
          <w:sz w:val="24"/>
          <w:szCs w:val="24"/>
        </w:rPr>
        <w:t>【</w:t>
      </w:r>
      <w:r>
        <w:rPr>
          <w:rFonts w:hint="eastAsia"/>
          <w:sz w:val="24"/>
        </w:rPr>
        <w:t>结束语</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的确，在</w:t>
      </w:r>
      <w:r>
        <w:rPr>
          <w:rFonts w:hint="eastAsia" w:asciiTheme="minorEastAsia" w:hAnsiTheme="minorEastAsia"/>
          <w:sz w:val="24"/>
          <w:szCs w:val="24"/>
          <w:lang w:eastAsia="zh-CN"/>
        </w:rPr>
        <w:t>经过</w:t>
      </w:r>
      <w:r>
        <w:rPr>
          <w:rFonts w:hint="eastAsia" w:asciiTheme="minorEastAsia" w:hAnsiTheme="minorEastAsia"/>
          <w:sz w:val="24"/>
          <w:szCs w:val="24"/>
        </w:rPr>
        <w:t>学习理论</w:t>
      </w:r>
      <w:r>
        <w:rPr>
          <w:rFonts w:hint="eastAsia" w:asciiTheme="minorEastAsia" w:hAnsiTheme="minorEastAsia"/>
          <w:sz w:val="24"/>
          <w:szCs w:val="24"/>
          <w:lang w:eastAsia="zh-CN"/>
        </w:rPr>
        <w:t>、</w:t>
      </w:r>
      <w:r>
        <w:rPr>
          <w:rFonts w:hint="eastAsia" w:asciiTheme="minorEastAsia" w:hAnsiTheme="minorEastAsia"/>
          <w:sz w:val="24"/>
          <w:szCs w:val="24"/>
        </w:rPr>
        <w:t>实践创设、</w:t>
      </w:r>
      <w:r>
        <w:rPr>
          <w:rFonts w:hint="eastAsia" w:asciiTheme="minorEastAsia" w:hAnsiTheme="minorEastAsia"/>
          <w:sz w:val="24"/>
          <w:szCs w:val="24"/>
          <w:lang w:eastAsia="zh-CN"/>
        </w:rPr>
        <w:t>后续</w:t>
      </w:r>
      <w:r>
        <w:rPr>
          <w:rFonts w:hint="eastAsia" w:asciiTheme="minorEastAsia" w:hAnsiTheme="minorEastAsia"/>
          <w:sz w:val="24"/>
          <w:szCs w:val="24"/>
        </w:rPr>
        <w:t>思考后，</w:t>
      </w:r>
      <w:r>
        <w:rPr>
          <w:rFonts w:hint="eastAsia" w:asciiTheme="minorEastAsia" w:hAnsiTheme="minorEastAsia"/>
          <w:sz w:val="24"/>
          <w:szCs w:val="24"/>
          <w:lang w:eastAsia="zh-CN"/>
        </w:rPr>
        <w:t>作为教师我真切</w:t>
      </w:r>
      <w:r>
        <w:rPr>
          <w:rFonts w:hint="eastAsia" w:asciiTheme="minorEastAsia" w:hAnsiTheme="minorEastAsia"/>
          <w:sz w:val="24"/>
          <w:szCs w:val="24"/>
        </w:rPr>
        <w:t>感到</w:t>
      </w:r>
      <w:r>
        <w:rPr>
          <w:rFonts w:hint="eastAsia" w:asciiTheme="minorEastAsia" w:hAnsiTheme="minorEastAsia"/>
          <w:sz w:val="24"/>
          <w:szCs w:val="24"/>
          <w:lang w:eastAsia="zh-CN"/>
        </w:rPr>
        <w:t>教师在游戏中的转变</w:t>
      </w:r>
      <w:r>
        <w:rPr>
          <w:rFonts w:hint="eastAsia" w:asciiTheme="minorEastAsia" w:hAnsiTheme="minorEastAsia"/>
          <w:sz w:val="24"/>
          <w:szCs w:val="24"/>
        </w:rPr>
        <w:t>对幼儿起着不可小觑的作用，具有十分重要的</w:t>
      </w:r>
      <w:r>
        <w:rPr>
          <w:rFonts w:hint="eastAsia" w:asciiTheme="minorEastAsia" w:hAnsiTheme="minorEastAsia"/>
          <w:sz w:val="24"/>
          <w:szCs w:val="24"/>
          <w:lang w:eastAsia="zh-CN"/>
        </w:rPr>
        <w:t>意义</w:t>
      </w:r>
      <w:r>
        <w:rPr>
          <w:rFonts w:hint="eastAsia" w:asciiTheme="minorEastAsia" w:hAnsiTheme="minorEastAsia"/>
          <w:sz w:val="24"/>
          <w:szCs w:val="24"/>
        </w:rPr>
        <w:t>。</w:t>
      </w:r>
      <w:r>
        <w:rPr>
          <w:rFonts w:hint="eastAsia" w:asciiTheme="minorEastAsia" w:hAnsiTheme="minorEastAsia"/>
          <w:sz w:val="24"/>
          <w:szCs w:val="24"/>
          <w:lang w:eastAsia="zh-CN"/>
        </w:rPr>
        <w:t>其实</w:t>
      </w:r>
      <w:r>
        <w:rPr>
          <w:rFonts w:hint="eastAsia" w:asciiTheme="minorEastAsia" w:hAnsiTheme="minorEastAsia"/>
          <w:sz w:val="24"/>
          <w:szCs w:val="24"/>
        </w:rPr>
        <w:t>“</w:t>
      </w:r>
      <w:r>
        <w:rPr>
          <w:rFonts w:hint="eastAsia" w:asciiTheme="minorEastAsia" w:hAnsiTheme="minorEastAsia"/>
          <w:sz w:val="24"/>
          <w:szCs w:val="24"/>
          <w:lang w:eastAsia="zh-CN"/>
        </w:rPr>
        <w:t>三大转变</w:t>
      </w:r>
      <w:r>
        <w:rPr>
          <w:rFonts w:hint="eastAsia" w:asciiTheme="minorEastAsia" w:hAnsiTheme="minorEastAsia"/>
          <w:sz w:val="24"/>
          <w:szCs w:val="24"/>
        </w:rPr>
        <w:t>”</w:t>
      </w:r>
      <w:r>
        <w:rPr>
          <w:rFonts w:hint="eastAsia" w:asciiTheme="minorEastAsia" w:hAnsiTheme="minorEastAsia"/>
          <w:sz w:val="24"/>
          <w:szCs w:val="24"/>
          <w:lang w:eastAsia="zh-CN"/>
        </w:rPr>
        <w:t>并</w:t>
      </w:r>
      <w:r>
        <w:rPr>
          <w:rFonts w:hint="eastAsia" w:asciiTheme="minorEastAsia" w:hAnsiTheme="minorEastAsia"/>
          <w:sz w:val="24"/>
          <w:szCs w:val="24"/>
        </w:rPr>
        <w:t>不只是口头讲述，更重要的是</w:t>
      </w:r>
      <w:r>
        <w:rPr>
          <w:rFonts w:hint="eastAsia" w:asciiTheme="minorEastAsia" w:hAnsiTheme="minorEastAsia"/>
          <w:sz w:val="24"/>
          <w:szCs w:val="24"/>
          <w:lang w:eastAsia="zh-CN"/>
        </w:rPr>
        <w:t>教师要</w:t>
      </w:r>
      <w:r>
        <w:rPr>
          <w:rFonts w:hint="eastAsia" w:asciiTheme="minorEastAsia" w:hAnsiTheme="minorEastAsia"/>
          <w:sz w:val="24"/>
          <w:szCs w:val="24"/>
        </w:rPr>
        <w:t>付诸行动，在创设</w:t>
      </w:r>
      <w:r>
        <w:rPr>
          <w:rFonts w:hint="eastAsia" w:asciiTheme="minorEastAsia" w:hAnsiTheme="minorEastAsia"/>
          <w:sz w:val="24"/>
          <w:szCs w:val="24"/>
          <w:lang w:eastAsia="zh-CN"/>
        </w:rPr>
        <w:t>转变</w:t>
      </w:r>
      <w:r>
        <w:rPr>
          <w:rFonts w:hint="eastAsia" w:asciiTheme="minorEastAsia" w:hAnsiTheme="minorEastAsia"/>
          <w:sz w:val="24"/>
          <w:szCs w:val="24"/>
        </w:rPr>
        <w:t>中将理论转化为实践、将理论与实践相结合，不断地</w:t>
      </w:r>
      <w:r>
        <w:rPr>
          <w:rFonts w:hint="eastAsia" w:asciiTheme="minorEastAsia" w:hAnsiTheme="minorEastAsia"/>
          <w:sz w:val="24"/>
          <w:szCs w:val="24"/>
          <w:lang w:eastAsia="zh-CN"/>
        </w:rPr>
        <w:t>观察发现</w:t>
      </w:r>
      <w:r>
        <w:rPr>
          <w:rFonts w:hint="eastAsia" w:asciiTheme="minorEastAsia" w:hAnsiTheme="minorEastAsia"/>
          <w:sz w:val="24"/>
          <w:szCs w:val="24"/>
        </w:rPr>
        <w:t>、</w:t>
      </w:r>
      <w:r>
        <w:rPr>
          <w:rFonts w:hint="eastAsia" w:asciiTheme="minorEastAsia" w:hAnsiTheme="minorEastAsia"/>
          <w:sz w:val="24"/>
          <w:szCs w:val="24"/>
          <w:lang w:eastAsia="zh-CN"/>
        </w:rPr>
        <w:t>分析思考</w:t>
      </w:r>
      <w:r>
        <w:rPr>
          <w:rFonts w:hint="eastAsia" w:asciiTheme="minorEastAsia" w:hAnsiTheme="minorEastAsia"/>
          <w:sz w:val="24"/>
          <w:szCs w:val="24"/>
        </w:rPr>
        <w:t>、</w:t>
      </w:r>
      <w:r>
        <w:rPr>
          <w:rFonts w:hint="eastAsia" w:asciiTheme="minorEastAsia" w:hAnsiTheme="minorEastAsia"/>
          <w:sz w:val="24"/>
          <w:szCs w:val="24"/>
          <w:lang w:eastAsia="zh-CN"/>
        </w:rPr>
        <w:t>调整研究</w:t>
      </w:r>
      <w:r>
        <w:rPr>
          <w:rFonts w:hint="eastAsia" w:asciiTheme="minorEastAsia" w:hAnsiTheme="minorEastAsia"/>
          <w:sz w:val="24"/>
          <w:szCs w:val="24"/>
        </w:rPr>
        <w:t>，</w:t>
      </w:r>
      <w:r>
        <w:rPr>
          <w:rFonts w:hint="eastAsia" w:asciiTheme="minorEastAsia" w:hAnsiTheme="minorEastAsia"/>
          <w:sz w:val="24"/>
          <w:szCs w:val="24"/>
          <w:lang w:eastAsia="zh-CN"/>
        </w:rPr>
        <w:t>才能</w:t>
      </w:r>
      <w:r>
        <w:rPr>
          <w:rFonts w:hint="eastAsia" w:asciiTheme="minorEastAsia" w:hAnsiTheme="minorEastAsia"/>
          <w:sz w:val="24"/>
          <w:szCs w:val="24"/>
        </w:rPr>
        <w:t>真正实现幼儿与</w:t>
      </w:r>
      <w:r>
        <w:rPr>
          <w:rFonts w:hint="eastAsia" w:asciiTheme="minorEastAsia" w:hAnsiTheme="minorEastAsia"/>
          <w:sz w:val="24"/>
          <w:szCs w:val="24"/>
          <w:lang w:eastAsia="zh-CN"/>
        </w:rPr>
        <w:t>游戏</w:t>
      </w:r>
      <w:r>
        <w:rPr>
          <w:rFonts w:hint="eastAsia" w:asciiTheme="minorEastAsia" w:hAnsiTheme="minorEastAsia"/>
          <w:sz w:val="24"/>
          <w:szCs w:val="24"/>
        </w:rPr>
        <w:t>的有效互动，</w:t>
      </w:r>
      <w:r>
        <w:rPr>
          <w:rFonts w:hint="eastAsia" w:asciiTheme="minorEastAsia" w:hAnsiTheme="minorEastAsia" w:cstheme="minorEastAsia"/>
          <w:sz w:val="24"/>
          <w:szCs w:val="24"/>
          <w:lang w:eastAsia="zh-CN"/>
        </w:rPr>
        <w:t>才能真正追随幼儿的游戏，才能让幼儿真正地游戏。</w:t>
      </w:r>
    </w:p>
    <w:p>
      <w:pPr>
        <w:spacing w:line="360" w:lineRule="auto"/>
        <w:rPr>
          <w:rFonts w:asciiTheme="minorEastAsia" w:hAnsiTheme="minorEastAsia"/>
          <w:sz w:val="24"/>
          <w:szCs w:val="24"/>
        </w:rPr>
      </w:pPr>
      <w:r>
        <w:rPr>
          <w:rFonts w:hint="eastAsia" w:asciiTheme="minorEastAsia" w:hAnsiTheme="minorEastAsia"/>
          <w:sz w:val="24"/>
          <w:szCs w:val="24"/>
        </w:rPr>
        <w:t>【参考文献】</w:t>
      </w:r>
    </w:p>
    <w:p>
      <w:pPr>
        <w:numPr>
          <w:ilvl w:val="0"/>
          <w:numId w:val="6"/>
        </w:numPr>
        <w:spacing w:line="360" w:lineRule="auto"/>
        <w:rPr>
          <w:rFonts w:hint="eastAsia" w:asciiTheme="minorEastAsia" w:hAnsiTheme="minorEastAsia"/>
          <w:sz w:val="24"/>
          <w:szCs w:val="24"/>
        </w:rPr>
      </w:pPr>
      <w:r>
        <w:rPr>
          <w:rFonts w:hint="eastAsia" w:asciiTheme="minorEastAsia" w:hAnsiTheme="minorEastAsia"/>
          <w:sz w:val="24"/>
          <w:szCs w:val="24"/>
        </w:rPr>
        <w:t>《幼儿园工作规程》</w:t>
      </w:r>
    </w:p>
    <w:p>
      <w:pPr>
        <w:numPr>
          <w:ilvl w:val="0"/>
          <w:numId w:val="6"/>
        </w:numPr>
        <w:spacing w:line="360" w:lineRule="auto"/>
        <w:rPr>
          <w:rFonts w:hint="eastAsia" w:asciiTheme="minorEastAsia" w:hAnsiTheme="minorEastAsia"/>
          <w:sz w:val="24"/>
          <w:szCs w:val="24"/>
        </w:rPr>
      </w:pPr>
      <w:r>
        <w:rPr>
          <w:rFonts w:hint="eastAsia" w:asciiTheme="minorEastAsia" w:hAnsiTheme="minorEastAsia"/>
          <w:sz w:val="24"/>
          <w:szCs w:val="24"/>
        </w:rPr>
        <w:t>简凌云.浅谈幼儿园结构游戏指导存在的问题及对策[J].</w:t>
      </w:r>
      <w:r>
        <w:rPr>
          <w:rFonts w:hint="eastAsia" w:asciiTheme="minorEastAsia" w:hAnsiTheme="minorEastAsia"/>
          <w:sz w:val="24"/>
          <w:szCs w:val="24"/>
          <w:lang w:eastAsia="zh-CN"/>
        </w:rPr>
        <w:t>基础教育参考</w:t>
      </w:r>
      <w:r>
        <w:rPr>
          <w:rFonts w:hint="eastAsia" w:asciiTheme="minorEastAsia" w:hAnsiTheme="minorEastAsia"/>
          <w:sz w:val="24"/>
          <w:szCs w:val="24"/>
        </w:rPr>
        <w:t>,201</w:t>
      </w:r>
      <w:r>
        <w:rPr>
          <w:rFonts w:hint="eastAsia" w:asciiTheme="minorEastAsia" w:hAnsiTheme="minorEastAsia"/>
          <w:sz w:val="24"/>
          <w:szCs w:val="24"/>
          <w:lang w:val="en-US" w:eastAsia="zh-CN"/>
        </w:rPr>
        <w:t>1</w:t>
      </w:r>
      <w:r>
        <w:rPr>
          <w:rFonts w:hint="eastAsia" w:asciiTheme="minorEastAsia" w:hAnsiTheme="minorEastAsia"/>
          <w:sz w:val="24"/>
          <w:szCs w:val="24"/>
        </w:rPr>
        <w:t>(</w:t>
      </w:r>
      <w:r>
        <w:rPr>
          <w:rFonts w:hint="eastAsia" w:asciiTheme="minorEastAsia" w:hAnsiTheme="minorEastAsia"/>
          <w:sz w:val="24"/>
          <w:szCs w:val="24"/>
          <w:lang w:val="en-US" w:eastAsia="zh-CN"/>
        </w:rPr>
        <w:t>1</w:t>
      </w:r>
      <w:r>
        <w:rPr>
          <w:rFonts w:hint="eastAsia" w:asciiTheme="minorEastAsia" w:hAnsiTheme="minorEastAsia"/>
          <w:sz w:val="24"/>
          <w:szCs w:val="24"/>
        </w:rPr>
        <w:t>):</w:t>
      </w:r>
      <w:r>
        <w:rPr>
          <w:rFonts w:hint="eastAsia" w:asciiTheme="minorEastAsia" w:hAnsiTheme="minorEastAsia"/>
          <w:sz w:val="24"/>
          <w:szCs w:val="24"/>
          <w:lang w:val="en-US" w:eastAsia="zh-CN"/>
        </w:rPr>
        <w:t>64</w:t>
      </w:r>
      <w:r>
        <w:rPr>
          <w:rFonts w:hint="eastAsia" w:asciiTheme="minorEastAsia" w:hAnsiTheme="minorEastAsia"/>
          <w:sz w:val="24"/>
          <w:szCs w:val="24"/>
        </w:rPr>
        <w:t>-6</w:t>
      </w:r>
      <w:r>
        <w:rPr>
          <w:rFonts w:hint="eastAsia" w:asciiTheme="minorEastAsia" w:hAnsiTheme="minorEastAsia"/>
          <w:sz w:val="24"/>
          <w:szCs w:val="24"/>
          <w:lang w:val="en-US" w:eastAsia="zh-CN"/>
        </w:rPr>
        <w:t>5</w:t>
      </w:r>
      <w:r>
        <w:rPr>
          <w:rFonts w:hint="eastAsia" w:asciiTheme="minorEastAsia" w:hAnsiTheme="minorEastAsia"/>
          <w:sz w:val="24"/>
          <w:szCs w:val="24"/>
        </w:rPr>
        <w:t>.</w:t>
      </w:r>
    </w:p>
    <w:p>
      <w:pPr>
        <w:numPr>
          <w:ilvl w:val="0"/>
          <w:numId w:val="6"/>
        </w:numPr>
        <w:spacing w:line="360" w:lineRule="auto"/>
        <w:rPr>
          <w:rFonts w:hint="eastAsia" w:asciiTheme="minorEastAsia" w:hAnsiTheme="minorEastAsia"/>
          <w:sz w:val="24"/>
          <w:szCs w:val="24"/>
        </w:rPr>
      </w:pPr>
      <w:r>
        <w:rPr>
          <w:rFonts w:hint="eastAsia" w:asciiTheme="minorEastAsia" w:hAnsiTheme="minorEastAsia"/>
          <w:sz w:val="24"/>
          <w:szCs w:val="24"/>
        </w:rPr>
        <w:t>《3—6岁儿童学习与发展指南》</w:t>
      </w:r>
    </w:p>
    <w:p>
      <w:pPr>
        <w:numPr>
          <w:ilvl w:val="0"/>
          <w:numId w:val="6"/>
        </w:numPr>
        <w:spacing w:line="360" w:lineRule="auto"/>
        <w:rPr>
          <w:rFonts w:hint="eastAsia" w:asciiTheme="minorEastAsia" w:hAnsiTheme="minorEastAsia"/>
          <w:sz w:val="24"/>
          <w:szCs w:val="24"/>
        </w:rPr>
      </w:pPr>
      <w:r>
        <w:rPr>
          <w:rFonts w:hint="eastAsia" w:asciiTheme="minorEastAsia" w:hAnsiTheme="minorEastAsia"/>
          <w:sz w:val="24"/>
          <w:szCs w:val="24"/>
          <w:lang w:eastAsia="zh-CN"/>
        </w:rPr>
        <w:t>赵雯</w:t>
      </w:r>
      <w:r>
        <w:rPr>
          <w:rFonts w:hint="eastAsia" w:asciiTheme="minorEastAsia" w:hAnsiTheme="minorEastAsia"/>
          <w:sz w:val="24"/>
          <w:szCs w:val="24"/>
        </w:rPr>
        <w:t>.</w:t>
      </w:r>
      <w:r>
        <w:rPr>
          <w:rFonts w:hint="eastAsia" w:asciiTheme="minorEastAsia" w:hAnsiTheme="minorEastAsia"/>
          <w:sz w:val="24"/>
          <w:szCs w:val="24"/>
          <w:lang w:eastAsia="zh-CN"/>
        </w:rPr>
        <w:t>例谈教师观察分析技能的培养</w:t>
      </w:r>
      <w:r>
        <w:rPr>
          <w:rFonts w:hint="eastAsia" w:asciiTheme="minorEastAsia" w:hAnsiTheme="minorEastAsia"/>
          <w:sz w:val="24"/>
          <w:szCs w:val="24"/>
        </w:rPr>
        <w:t>[J].早期教育教师版，201</w:t>
      </w:r>
      <w:r>
        <w:rPr>
          <w:rFonts w:hint="eastAsia" w:asciiTheme="minorEastAsia" w:hAnsiTheme="minorEastAsia"/>
          <w:sz w:val="24"/>
          <w:szCs w:val="24"/>
          <w:lang w:val="en-US" w:eastAsia="zh-CN"/>
        </w:rPr>
        <w:t>5</w:t>
      </w:r>
      <w:r>
        <w:rPr>
          <w:rFonts w:hint="eastAsia" w:asciiTheme="minorEastAsia" w:hAnsiTheme="minorEastAsia"/>
          <w:sz w:val="24"/>
          <w:szCs w:val="24"/>
        </w:rPr>
        <w:t>，（</w:t>
      </w:r>
      <w:r>
        <w:rPr>
          <w:rFonts w:hint="eastAsia" w:asciiTheme="minorEastAsia" w:hAnsiTheme="minorEastAsia"/>
          <w:sz w:val="24"/>
          <w:szCs w:val="24"/>
          <w:lang w:val="en-US" w:eastAsia="zh-CN"/>
        </w:rPr>
        <w:t>3</w:t>
      </w:r>
      <w:r>
        <w:rPr>
          <w:rFonts w:hint="eastAsia" w:asciiTheme="minorEastAsia" w:hAnsiTheme="minorEastAsia"/>
          <w:sz w:val="24"/>
          <w:szCs w:val="24"/>
        </w:rPr>
        <w:t>）：</w:t>
      </w:r>
      <w:r>
        <w:rPr>
          <w:rFonts w:hint="eastAsia" w:asciiTheme="minorEastAsia" w:hAnsiTheme="minorEastAsia"/>
          <w:sz w:val="24"/>
          <w:szCs w:val="24"/>
          <w:lang w:val="en-US" w:eastAsia="zh-CN"/>
        </w:rPr>
        <w:t>34</w:t>
      </w:r>
      <w:r>
        <w:rPr>
          <w:rFonts w:hint="eastAsia" w:asciiTheme="minorEastAsia" w:hAnsiTheme="minorEastAsia"/>
          <w:sz w:val="24"/>
          <w:szCs w:val="24"/>
        </w:rPr>
        <w:t>-</w:t>
      </w:r>
      <w:r>
        <w:rPr>
          <w:rFonts w:hint="eastAsia" w:asciiTheme="minorEastAsia" w:hAnsiTheme="minorEastAsia"/>
          <w:sz w:val="24"/>
          <w:szCs w:val="24"/>
          <w:lang w:val="en-US" w:eastAsia="zh-CN"/>
        </w:rPr>
        <w:t>35</w:t>
      </w:r>
      <w:r>
        <w:rPr>
          <w:rFonts w:hint="eastAsia" w:asciiTheme="minorEastAsia" w:hAnsiTheme="minorEastAsia"/>
          <w:sz w:val="24"/>
          <w:szCs w:val="24"/>
        </w:rPr>
        <w:t>.</w:t>
      </w:r>
    </w:p>
    <w:p>
      <w:pPr>
        <w:numPr>
          <w:ilvl w:val="0"/>
          <w:numId w:val="6"/>
        </w:numPr>
        <w:spacing w:line="360" w:lineRule="auto"/>
        <w:rPr>
          <w:rFonts w:hint="eastAsia" w:asciiTheme="minorEastAsia" w:hAnsiTheme="minorEastAsia"/>
          <w:sz w:val="24"/>
          <w:szCs w:val="24"/>
        </w:rPr>
      </w:pPr>
      <w:r>
        <w:rPr>
          <w:rFonts w:hint="eastAsia" w:asciiTheme="minorEastAsia" w:hAnsiTheme="minorEastAsia"/>
          <w:sz w:val="24"/>
          <w:szCs w:val="24"/>
        </w:rPr>
        <w:t>《幼儿园教育指导纲要（试行）》</w:t>
      </w:r>
    </w:p>
    <w:p>
      <w:pPr>
        <w:numPr>
          <w:ilvl w:val="0"/>
          <w:numId w:val="6"/>
        </w:numPr>
        <w:spacing w:line="360" w:lineRule="auto"/>
        <w:rPr>
          <w:rFonts w:hint="eastAsia" w:asciiTheme="minorEastAsia" w:hAnsiTheme="minorEastAsia"/>
          <w:sz w:val="24"/>
          <w:szCs w:val="24"/>
        </w:rPr>
      </w:pPr>
      <w:r>
        <w:rPr>
          <w:rFonts w:hint="eastAsia" w:asciiTheme="minorEastAsia" w:hAnsiTheme="minorEastAsia"/>
          <w:sz w:val="24"/>
          <w:szCs w:val="24"/>
        </w:rPr>
        <w:t>杨枫.《学前儿童游戏》（第二版）[M] .北京：高等教育出版社，2014:</w:t>
      </w:r>
      <w:r>
        <w:rPr>
          <w:rFonts w:hint="eastAsia" w:asciiTheme="minorEastAsia" w:hAnsiTheme="minorEastAsia"/>
          <w:sz w:val="24"/>
          <w:szCs w:val="24"/>
          <w:lang w:val="en-US" w:eastAsia="zh-CN"/>
        </w:rPr>
        <w:t>85</w:t>
      </w:r>
      <w:r>
        <w:rPr>
          <w:rFonts w:hint="eastAsia" w:asciiTheme="minorEastAsia" w:hAnsiTheme="minorEastAsia"/>
          <w:sz w:val="24"/>
          <w:szCs w:val="24"/>
        </w:rPr>
        <w:t>-</w:t>
      </w:r>
      <w:r>
        <w:rPr>
          <w:rFonts w:hint="eastAsia" w:asciiTheme="minorEastAsia" w:hAnsiTheme="minorEastAsia"/>
          <w:sz w:val="24"/>
          <w:szCs w:val="24"/>
          <w:lang w:val="en-US" w:eastAsia="zh-CN"/>
        </w:rPr>
        <w:t>91</w:t>
      </w:r>
      <w:r>
        <w:rPr>
          <w:rFonts w:hint="eastAsia" w:asciiTheme="minorEastAsia" w:hAnsiTheme="minorEastAsia"/>
          <w:sz w:val="24"/>
          <w:szCs w:val="24"/>
        </w:rPr>
        <w:t>.</w:t>
      </w:r>
    </w:p>
    <w:p>
      <w:pPr>
        <w:numPr>
          <w:ilvl w:val="0"/>
          <w:numId w:val="6"/>
        </w:numPr>
        <w:spacing w:line="360" w:lineRule="auto"/>
        <w:rPr>
          <w:rFonts w:hint="eastAsia" w:asciiTheme="minorEastAsia" w:hAnsiTheme="minorEastAsia"/>
          <w:sz w:val="24"/>
          <w:szCs w:val="24"/>
        </w:rPr>
      </w:pPr>
      <w:r>
        <w:rPr>
          <w:rFonts w:hint="eastAsia" w:asciiTheme="minorEastAsia" w:hAnsiTheme="minorEastAsia"/>
          <w:sz w:val="24"/>
          <w:szCs w:val="24"/>
          <w:lang w:eastAsia="zh-CN"/>
        </w:rPr>
        <w:t>吴紫娟</w:t>
      </w:r>
      <w:r>
        <w:rPr>
          <w:rFonts w:hint="eastAsia" w:asciiTheme="minorEastAsia" w:hAnsiTheme="minorEastAsia"/>
          <w:sz w:val="24"/>
          <w:szCs w:val="24"/>
        </w:rPr>
        <w:t>.</w:t>
      </w:r>
      <w:r>
        <w:rPr>
          <w:rFonts w:hint="eastAsia" w:asciiTheme="minorEastAsia" w:hAnsiTheme="minorEastAsia"/>
          <w:sz w:val="24"/>
          <w:szCs w:val="24"/>
          <w:lang w:eastAsia="zh-CN"/>
        </w:rPr>
        <w:t>例谈建构游戏的有效创设</w:t>
      </w:r>
      <w:r>
        <w:rPr>
          <w:rFonts w:hint="eastAsia" w:asciiTheme="minorEastAsia" w:hAnsiTheme="minorEastAsia"/>
          <w:sz w:val="24"/>
          <w:szCs w:val="24"/>
        </w:rPr>
        <w:t>[J].常州教师教育，2015，（10）:</w:t>
      </w:r>
      <w:r>
        <w:rPr>
          <w:rFonts w:hint="eastAsia" w:asciiTheme="minorEastAsia" w:hAnsiTheme="minorEastAsia"/>
          <w:sz w:val="24"/>
          <w:szCs w:val="24"/>
          <w:lang w:val="en-US" w:eastAsia="zh-CN"/>
        </w:rPr>
        <w:t>19</w:t>
      </w:r>
      <w:r>
        <w:rPr>
          <w:rFonts w:hint="eastAsia" w:asciiTheme="minorEastAsia" w:hAnsiTheme="minorEastAsia"/>
          <w:sz w:val="24"/>
          <w:szCs w:val="24"/>
        </w:rPr>
        <w:t>-</w:t>
      </w:r>
      <w:r>
        <w:rPr>
          <w:rFonts w:hint="eastAsia" w:asciiTheme="minorEastAsia" w:hAnsiTheme="minorEastAsia"/>
          <w:sz w:val="24"/>
          <w:szCs w:val="24"/>
          <w:lang w:val="en-US" w:eastAsia="zh-CN"/>
        </w:rPr>
        <w:t>20</w:t>
      </w:r>
      <w:r>
        <w:rPr>
          <w:rFonts w:hint="eastAsia" w:asciiTheme="minorEastAsia" w:hAnsiTheme="minorEastAsia"/>
          <w:sz w:val="24"/>
          <w:szCs w:val="24"/>
        </w:rPr>
        <w:t>.</w:t>
      </w:r>
    </w:p>
    <w:p>
      <w:pPr>
        <w:numPr>
          <w:ilvl w:val="0"/>
          <w:numId w:val="6"/>
        </w:numPr>
        <w:spacing w:line="360" w:lineRule="auto"/>
        <w:rPr>
          <w:rFonts w:hint="eastAsia" w:asciiTheme="minorEastAsia" w:hAnsiTheme="minorEastAsia"/>
          <w:sz w:val="24"/>
          <w:szCs w:val="24"/>
        </w:rPr>
      </w:pPr>
      <w:r>
        <w:rPr>
          <w:rFonts w:hint="eastAsia" w:asciiTheme="minorEastAsia" w:hAnsiTheme="minorEastAsia"/>
          <w:sz w:val="24"/>
          <w:szCs w:val="24"/>
          <w:lang w:eastAsia="zh-CN"/>
        </w:rPr>
        <w:t>潘海燕</w:t>
      </w:r>
      <w:r>
        <w:rPr>
          <w:rFonts w:hint="eastAsia" w:asciiTheme="minorEastAsia" w:hAnsiTheme="minorEastAsia"/>
          <w:sz w:val="24"/>
          <w:szCs w:val="24"/>
        </w:rPr>
        <w:t>.</w:t>
      </w:r>
      <w:r>
        <w:rPr>
          <w:rFonts w:hint="eastAsia" w:asciiTheme="minorEastAsia" w:hAnsiTheme="minorEastAsia"/>
          <w:sz w:val="24"/>
          <w:szCs w:val="24"/>
          <w:lang w:eastAsia="zh-CN"/>
        </w:rPr>
        <w:t>游戏活动中幼儿园教师角色转型的实践研究</w:t>
      </w:r>
      <w:r>
        <w:rPr>
          <w:rFonts w:hint="eastAsia" w:asciiTheme="minorEastAsia" w:hAnsiTheme="minorEastAsia"/>
          <w:sz w:val="24"/>
          <w:szCs w:val="24"/>
        </w:rPr>
        <w:t>[J].早期教育教师版，201</w:t>
      </w:r>
      <w:r>
        <w:rPr>
          <w:rFonts w:hint="eastAsia" w:asciiTheme="minorEastAsia" w:hAnsiTheme="minorEastAsia"/>
          <w:sz w:val="24"/>
          <w:szCs w:val="24"/>
          <w:lang w:val="en-US" w:eastAsia="zh-CN"/>
        </w:rPr>
        <w:t>7</w:t>
      </w:r>
      <w:r>
        <w:rPr>
          <w:rFonts w:hint="eastAsia" w:asciiTheme="minorEastAsia" w:hAnsiTheme="minorEastAsia"/>
          <w:sz w:val="24"/>
          <w:szCs w:val="24"/>
        </w:rPr>
        <w:t>，（</w:t>
      </w:r>
      <w:r>
        <w:rPr>
          <w:rFonts w:hint="eastAsia" w:asciiTheme="minorEastAsia" w:hAnsiTheme="minorEastAsia"/>
          <w:sz w:val="24"/>
          <w:szCs w:val="24"/>
          <w:lang w:val="en-US" w:eastAsia="zh-CN"/>
        </w:rPr>
        <w:t>11</w:t>
      </w:r>
      <w:r>
        <w:rPr>
          <w:rFonts w:hint="eastAsia" w:asciiTheme="minorEastAsia" w:hAnsiTheme="minorEastAsia"/>
          <w:sz w:val="24"/>
          <w:szCs w:val="24"/>
        </w:rPr>
        <w:t>）：</w:t>
      </w:r>
      <w:r>
        <w:rPr>
          <w:rFonts w:hint="eastAsia" w:asciiTheme="minorEastAsia" w:hAnsiTheme="minorEastAsia"/>
          <w:sz w:val="24"/>
          <w:szCs w:val="24"/>
          <w:lang w:val="en-US" w:eastAsia="zh-CN"/>
        </w:rPr>
        <w:t>22</w:t>
      </w:r>
      <w:r>
        <w:rPr>
          <w:rFonts w:hint="eastAsia" w:asciiTheme="minorEastAsia" w:hAnsiTheme="minorEastAsia"/>
          <w:sz w:val="24"/>
          <w:szCs w:val="24"/>
        </w:rPr>
        <w:t>-</w:t>
      </w:r>
      <w:r>
        <w:rPr>
          <w:rFonts w:hint="eastAsia" w:asciiTheme="minorEastAsia" w:hAnsiTheme="minorEastAsia"/>
          <w:sz w:val="24"/>
          <w:szCs w:val="24"/>
          <w:lang w:val="en-US" w:eastAsia="zh-CN"/>
        </w:rPr>
        <w:t>23</w:t>
      </w:r>
      <w:r>
        <w:rPr>
          <w:rFonts w:hint="eastAsia" w:asciiTheme="minorEastAsia" w:hAnsiTheme="minorEastAsia"/>
          <w:sz w:val="24"/>
          <w:szCs w:val="24"/>
        </w:rPr>
        <w:t>.</w:t>
      </w:r>
    </w:p>
    <w:p>
      <w:pPr>
        <w:numPr>
          <w:ilvl w:val="0"/>
          <w:numId w:val="6"/>
        </w:numPr>
        <w:spacing w:line="360" w:lineRule="auto"/>
        <w:rPr>
          <w:rFonts w:hint="eastAsia" w:asciiTheme="minorEastAsia" w:hAnsiTheme="minorEastAsia"/>
          <w:sz w:val="24"/>
          <w:szCs w:val="24"/>
        </w:rPr>
      </w:pPr>
      <w:r>
        <w:rPr>
          <w:rFonts w:hint="eastAsia" w:asciiTheme="minorEastAsia" w:hAnsiTheme="minorEastAsia"/>
          <w:sz w:val="24"/>
          <w:szCs w:val="24"/>
          <w:lang w:eastAsia="zh-CN"/>
        </w:rPr>
        <w:t>张蓉</w:t>
      </w:r>
      <w:r>
        <w:rPr>
          <w:rFonts w:hint="eastAsia" w:asciiTheme="minorEastAsia" w:hAnsiTheme="minorEastAsia"/>
          <w:sz w:val="24"/>
          <w:szCs w:val="24"/>
        </w:rPr>
        <w:t>.</w:t>
      </w:r>
      <w:r>
        <w:rPr>
          <w:rFonts w:hint="eastAsia" w:asciiTheme="minorEastAsia" w:hAnsiTheme="minorEastAsia"/>
          <w:sz w:val="24"/>
          <w:szCs w:val="24"/>
          <w:lang w:eastAsia="zh-CN"/>
        </w:rPr>
        <w:t>在幼儿园情境式建构游戏中让自主真正生发出来</w:t>
      </w:r>
      <w:r>
        <w:rPr>
          <w:rFonts w:hint="eastAsia" w:asciiTheme="minorEastAsia" w:hAnsiTheme="minorEastAsia"/>
          <w:sz w:val="24"/>
          <w:szCs w:val="24"/>
        </w:rPr>
        <w:t>[J].早期教育教师版，201</w:t>
      </w:r>
      <w:r>
        <w:rPr>
          <w:rFonts w:hint="eastAsia" w:asciiTheme="minorEastAsia" w:hAnsiTheme="minorEastAsia"/>
          <w:sz w:val="24"/>
          <w:szCs w:val="24"/>
          <w:lang w:val="en-US" w:eastAsia="zh-CN"/>
        </w:rPr>
        <w:t>7</w:t>
      </w:r>
      <w:r>
        <w:rPr>
          <w:rFonts w:hint="eastAsia" w:asciiTheme="minorEastAsia" w:hAnsiTheme="minorEastAsia"/>
          <w:sz w:val="24"/>
          <w:szCs w:val="24"/>
        </w:rPr>
        <w:t>，（</w:t>
      </w:r>
      <w:r>
        <w:rPr>
          <w:rFonts w:hint="eastAsia" w:asciiTheme="minorEastAsia" w:hAnsiTheme="minorEastAsia"/>
          <w:sz w:val="24"/>
          <w:szCs w:val="24"/>
          <w:lang w:val="en-US" w:eastAsia="zh-CN"/>
        </w:rPr>
        <w:t>11</w:t>
      </w:r>
      <w:r>
        <w:rPr>
          <w:rFonts w:hint="eastAsia" w:asciiTheme="minorEastAsia" w:hAnsiTheme="minorEastAsia"/>
          <w:sz w:val="24"/>
          <w:szCs w:val="24"/>
        </w:rPr>
        <w:t>）：</w:t>
      </w:r>
      <w:r>
        <w:rPr>
          <w:rFonts w:hint="eastAsia" w:asciiTheme="minorEastAsia" w:hAnsiTheme="minorEastAsia"/>
          <w:sz w:val="24"/>
          <w:szCs w:val="24"/>
          <w:lang w:val="en-US" w:eastAsia="zh-CN"/>
        </w:rPr>
        <w:t>54</w:t>
      </w:r>
      <w:r>
        <w:rPr>
          <w:rFonts w:hint="eastAsia" w:asciiTheme="minorEastAsia" w:hAnsiTheme="minorEastAsia"/>
          <w:sz w:val="24"/>
          <w:szCs w:val="24"/>
        </w:rPr>
        <w:t>-</w:t>
      </w:r>
      <w:r>
        <w:rPr>
          <w:rFonts w:hint="eastAsia" w:asciiTheme="minorEastAsia" w:hAnsiTheme="minorEastAsia"/>
          <w:sz w:val="24"/>
          <w:szCs w:val="24"/>
          <w:lang w:val="en-US" w:eastAsia="zh-CN"/>
        </w:rPr>
        <w:t>55</w:t>
      </w:r>
      <w:r>
        <w:rPr>
          <w:rFonts w:hint="eastAsia" w:asciiTheme="minorEastAsia" w:hAnsiTheme="minorEastAsia"/>
          <w:sz w:val="24"/>
          <w:szCs w:val="24"/>
        </w:rPr>
        <w:t>.</w:t>
      </w:r>
    </w:p>
    <w:p>
      <w:pPr>
        <w:numPr>
          <w:ilvl w:val="0"/>
          <w:numId w:val="0"/>
        </w:numPr>
        <w:spacing w:line="360" w:lineRule="auto"/>
        <w:rPr>
          <w:rFonts w:hint="eastAsia" w:asciiTheme="minorEastAsia" w:hAnsiTheme="minorEastAsia"/>
          <w:sz w:val="24"/>
          <w:szCs w:val="24"/>
        </w:rPr>
      </w:pPr>
    </w:p>
    <w:p>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Calibri Light">
    <w:panose1 w:val="020F0302020204030204"/>
    <w:charset w:val="00"/>
    <w:family w:val="auto"/>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Batang">
    <w:altName w:val="Calibri"/>
    <w:panose1 w:val="02030600000101010101"/>
    <w:charset w:val="81"/>
    <w:family w:val="auto"/>
    <w:pitch w:val="default"/>
    <w:sig w:usb0="00000000" w:usb1="00000000" w:usb2="00000030" w:usb3="00000000" w:csb0="4008009F" w:csb1="DFD70000"/>
  </w:font>
  <w:font w:name="BatangChe">
    <w:altName w:val="Calibri"/>
    <w:panose1 w:val="02030609000101010101"/>
    <w:charset w:val="81"/>
    <w:family w:val="auto"/>
    <w:pitch w:val="default"/>
    <w:sig w:usb0="00000000" w:usb1="00000000" w:usb2="00000030" w:usb3="00000000" w:csb0="4008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2E88D4"/>
    <w:multiLevelType w:val="singleLevel"/>
    <w:tmpl w:val="5A2E88D4"/>
    <w:lvl w:ilvl="0" w:tentative="0">
      <w:start w:val="2"/>
      <w:numFmt w:val="chineseCounting"/>
      <w:suff w:val="nothing"/>
      <w:lvlText w:val="（%1）"/>
      <w:lvlJc w:val="left"/>
    </w:lvl>
  </w:abstractNum>
  <w:abstractNum w:abstractNumId="1">
    <w:nsid w:val="5A2E8B55"/>
    <w:multiLevelType w:val="singleLevel"/>
    <w:tmpl w:val="5A2E8B55"/>
    <w:lvl w:ilvl="0" w:tentative="0">
      <w:start w:val="2"/>
      <w:numFmt w:val="decimal"/>
      <w:suff w:val="nothing"/>
      <w:lvlText w:val="%1、"/>
      <w:lvlJc w:val="left"/>
    </w:lvl>
  </w:abstractNum>
  <w:abstractNum w:abstractNumId="2">
    <w:nsid w:val="5A311180"/>
    <w:multiLevelType w:val="singleLevel"/>
    <w:tmpl w:val="5A311180"/>
    <w:lvl w:ilvl="0" w:tentative="0">
      <w:start w:val="1"/>
      <w:numFmt w:val="decimal"/>
      <w:suff w:val="nothing"/>
      <w:lvlText w:val="%1、"/>
      <w:lvlJc w:val="left"/>
    </w:lvl>
  </w:abstractNum>
  <w:abstractNum w:abstractNumId="3">
    <w:nsid w:val="5A3112B2"/>
    <w:multiLevelType w:val="singleLevel"/>
    <w:tmpl w:val="5A3112B2"/>
    <w:lvl w:ilvl="0" w:tentative="0">
      <w:start w:val="1"/>
      <w:numFmt w:val="decimal"/>
      <w:suff w:val="nothing"/>
      <w:lvlText w:val="%1、"/>
      <w:lvlJc w:val="left"/>
    </w:lvl>
  </w:abstractNum>
  <w:abstractNum w:abstractNumId="4">
    <w:nsid w:val="5A311310"/>
    <w:multiLevelType w:val="singleLevel"/>
    <w:tmpl w:val="5A311310"/>
    <w:lvl w:ilvl="0" w:tentative="0">
      <w:start w:val="1"/>
      <w:numFmt w:val="decimal"/>
      <w:suff w:val="nothing"/>
      <w:lvlText w:val="%1、"/>
      <w:lvlJc w:val="left"/>
      <w:pPr>
        <w:ind w:left="480" w:leftChars="0" w:firstLine="0" w:firstLineChars="0"/>
      </w:pPr>
    </w:lvl>
  </w:abstractNum>
  <w:abstractNum w:abstractNumId="5">
    <w:nsid w:val="5A329561"/>
    <w:multiLevelType w:val="singleLevel"/>
    <w:tmpl w:val="5A329561"/>
    <w:lvl w:ilvl="0" w:tentative="0">
      <w:start w:val="1"/>
      <w:numFmt w:val="decimal"/>
      <w:suff w:val="space"/>
      <w:lvlText w:val="[%1]"/>
      <w:lvlJc w:val="left"/>
    </w:lvl>
  </w:abstractNum>
  <w:num w:numId="1">
    <w:abstractNumId w:val="1"/>
  </w:num>
  <w:num w:numId="2">
    <w:abstractNumId w:val="2"/>
  </w:num>
  <w:num w:numId="3">
    <w:abstractNumId w:val="0"/>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AC6BE7"/>
    <w:rsid w:val="01471C43"/>
    <w:rsid w:val="022A6C8A"/>
    <w:rsid w:val="02FE7894"/>
    <w:rsid w:val="0336152B"/>
    <w:rsid w:val="03D17F5D"/>
    <w:rsid w:val="04D2195A"/>
    <w:rsid w:val="05CC3945"/>
    <w:rsid w:val="06634A58"/>
    <w:rsid w:val="068F2996"/>
    <w:rsid w:val="06C158EB"/>
    <w:rsid w:val="074372B5"/>
    <w:rsid w:val="082A7319"/>
    <w:rsid w:val="083674C6"/>
    <w:rsid w:val="09494430"/>
    <w:rsid w:val="09C95315"/>
    <w:rsid w:val="09F3767A"/>
    <w:rsid w:val="0A681012"/>
    <w:rsid w:val="0AB01474"/>
    <w:rsid w:val="0C5E1B00"/>
    <w:rsid w:val="0DCC58BD"/>
    <w:rsid w:val="0E166B69"/>
    <w:rsid w:val="0F884BFC"/>
    <w:rsid w:val="117B4B0D"/>
    <w:rsid w:val="122337AE"/>
    <w:rsid w:val="12CB782D"/>
    <w:rsid w:val="12D03CBC"/>
    <w:rsid w:val="135C2579"/>
    <w:rsid w:val="14A22638"/>
    <w:rsid w:val="16F80215"/>
    <w:rsid w:val="177F7467"/>
    <w:rsid w:val="19954BCD"/>
    <w:rsid w:val="19D4500E"/>
    <w:rsid w:val="1A5D7510"/>
    <w:rsid w:val="1AE51E0E"/>
    <w:rsid w:val="1B367C6F"/>
    <w:rsid w:val="1C951277"/>
    <w:rsid w:val="1DEF34FF"/>
    <w:rsid w:val="1E4B72CB"/>
    <w:rsid w:val="1E6C38DD"/>
    <w:rsid w:val="21210341"/>
    <w:rsid w:val="2145445F"/>
    <w:rsid w:val="21A242FA"/>
    <w:rsid w:val="21FE1AD5"/>
    <w:rsid w:val="23260386"/>
    <w:rsid w:val="234633CA"/>
    <w:rsid w:val="23564EE2"/>
    <w:rsid w:val="237C5ACE"/>
    <w:rsid w:val="23C872C1"/>
    <w:rsid w:val="255E12BD"/>
    <w:rsid w:val="25AF5CE6"/>
    <w:rsid w:val="25E47B03"/>
    <w:rsid w:val="25F26A48"/>
    <w:rsid w:val="26B43CA1"/>
    <w:rsid w:val="26DB2861"/>
    <w:rsid w:val="26F10467"/>
    <w:rsid w:val="27763D66"/>
    <w:rsid w:val="278336E8"/>
    <w:rsid w:val="27BD6581"/>
    <w:rsid w:val="29507023"/>
    <w:rsid w:val="2AD23B5E"/>
    <w:rsid w:val="2AE40ADF"/>
    <w:rsid w:val="2BB92430"/>
    <w:rsid w:val="2BF658D9"/>
    <w:rsid w:val="2C242321"/>
    <w:rsid w:val="2D066AAD"/>
    <w:rsid w:val="2D243D83"/>
    <w:rsid w:val="2E792A7C"/>
    <w:rsid w:val="31273DA4"/>
    <w:rsid w:val="319F5A95"/>
    <w:rsid w:val="33220D6E"/>
    <w:rsid w:val="354B403D"/>
    <w:rsid w:val="35C05415"/>
    <w:rsid w:val="36685A0B"/>
    <w:rsid w:val="36A779CF"/>
    <w:rsid w:val="39B3386E"/>
    <w:rsid w:val="3A8522B8"/>
    <w:rsid w:val="3B440CC1"/>
    <w:rsid w:val="3E400581"/>
    <w:rsid w:val="3F026556"/>
    <w:rsid w:val="3F894669"/>
    <w:rsid w:val="3FA56E30"/>
    <w:rsid w:val="3FFF6527"/>
    <w:rsid w:val="414B4ECD"/>
    <w:rsid w:val="42200AF4"/>
    <w:rsid w:val="42644F3E"/>
    <w:rsid w:val="43B11461"/>
    <w:rsid w:val="43BA1BDA"/>
    <w:rsid w:val="446A769D"/>
    <w:rsid w:val="46401F71"/>
    <w:rsid w:val="464633D6"/>
    <w:rsid w:val="47682B91"/>
    <w:rsid w:val="481C08B7"/>
    <w:rsid w:val="48D11FA6"/>
    <w:rsid w:val="494D2EFE"/>
    <w:rsid w:val="494D51A5"/>
    <w:rsid w:val="499C02D8"/>
    <w:rsid w:val="4AAB0D6D"/>
    <w:rsid w:val="4B02224D"/>
    <w:rsid w:val="4B912EB7"/>
    <w:rsid w:val="4C3853A9"/>
    <w:rsid w:val="4D87166B"/>
    <w:rsid w:val="4E126E67"/>
    <w:rsid w:val="4EF502E9"/>
    <w:rsid w:val="4F3F3E9F"/>
    <w:rsid w:val="4FAC6BE7"/>
    <w:rsid w:val="50757E4C"/>
    <w:rsid w:val="50A41DC0"/>
    <w:rsid w:val="52475812"/>
    <w:rsid w:val="524A3906"/>
    <w:rsid w:val="531D0713"/>
    <w:rsid w:val="5328200C"/>
    <w:rsid w:val="53892ABA"/>
    <w:rsid w:val="543D5444"/>
    <w:rsid w:val="57740E16"/>
    <w:rsid w:val="58107200"/>
    <w:rsid w:val="5813681A"/>
    <w:rsid w:val="59096BED"/>
    <w:rsid w:val="59E20AC3"/>
    <w:rsid w:val="5A1B7086"/>
    <w:rsid w:val="5A9B33A4"/>
    <w:rsid w:val="5AEB239E"/>
    <w:rsid w:val="5B3E03FA"/>
    <w:rsid w:val="5B427BA5"/>
    <w:rsid w:val="5BA07A65"/>
    <w:rsid w:val="5C0040A2"/>
    <w:rsid w:val="5ED860A8"/>
    <w:rsid w:val="5FCB0C0F"/>
    <w:rsid w:val="62DD7195"/>
    <w:rsid w:val="62EE3D54"/>
    <w:rsid w:val="644E2C2F"/>
    <w:rsid w:val="67F71B0B"/>
    <w:rsid w:val="690F2FF5"/>
    <w:rsid w:val="69295206"/>
    <w:rsid w:val="69795A45"/>
    <w:rsid w:val="697E2ACF"/>
    <w:rsid w:val="6BB416C9"/>
    <w:rsid w:val="6CD45516"/>
    <w:rsid w:val="6D062FDB"/>
    <w:rsid w:val="6E7E7331"/>
    <w:rsid w:val="6F6D2D2C"/>
    <w:rsid w:val="703D3541"/>
    <w:rsid w:val="71CC0CF3"/>
    <w:rsid w:val="71CD50C3"/>
    <w:rsid w:val="71D34145"/>
    <w:rsid w:val="72081DD9"/>
    <w:rsid w:val="7215226A"/>
    <w:rsid w:val="72DF00BD"/>
    <w:rsid w:val="74125B70"/>
    <w:rsid w:val="74E20655"/>
    <w:rsid w:val="75C30B36"/>
    <w:rsid w:val="769A2558"/>
    <w:rsid w:val="76FC2035"/>
    <w:rsid w:val="79754D02"/>
    <w:rsid w:val="7991712D"/>
    <w:rsid w:val="7A2742CE"/>
    <w:rsid w:val="7C2F1DD5"/>
    <w:rsid w:val="7D2D2C30"/>
    <w:rsid w:val="7D5740C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7" Type="http://schemas.openxmlformats.org/officeDocument/2006/relationships/fontTable" Target="fontTable.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21.jpeg"/><Relationship Id="rId23" Type="http://schemas.openxmlformats.org/officeDocument/2006/relationships/image" Target="media/image20.jpeg"/><Relationship Id="rId22" Type="http://schemas.openxmlformats.org/officeDocument/2006/relationships/image" Target="media/image19.jpeg"/><Relationship Id="rId21" Type="http://schemas.openxmlformats.org/officeDocument/2006/relationships/image" Target="media/image18.jpeg"/><Relationship Id="rId20" Type="http://schemas.openxmlformats.org/officeDocument/2006/relationships/image" Target="media/image17.jpe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2017-12-10T08:00:00Z</dcterms:created>
  <dc:creator>Sun_shine1411199121</dc:creator>
  <cp:lastModifiedBy>Administrator</cp:lastModifiedBy>
  <dcterms:modified xsi:type="dcterms:W3CDTF">2017-12-15T06:03:53Z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