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color w:val="000000"/>
          <w:sz w:val="32"/>
          <w:szCs w:val="32"/>
        </w:rPr>
        <w:t>巧改户外环境 打造游戏乐园</w:t>
      </w:r>
    </w:p>
    <w:p>
      <w:pPr>
        <w:spacing w:line="360" w:lineRule="auto"/>
        <w:jc w:val="center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 xml:space="preserve">常州市机关幼儿园 </w:t>
      </w:r>
      <w:r>
        <w:rPr>
          <w:rFonts w:ascii="宋体" w:hAnsi="宋体"/>
          <w:color w:val="000000"/>
          <w:sz w:val="28"/>
          <w:szCs w:val="28"/>
        </w:rPr>
        <w:t xml:space="preserve"> </w:t>
      </w:r>
      <w:r>
        <w:rPr>
          <w:rFonts w:hint="eastAsia" w:ascii="宋体" w:hAnsi="宋体"/>
          <w:color w:val="000000"/>
          <w:sz w:val="28"/>
          <w:szCs w:val="28"/>
        </w:rPr>
        <w:t>汤瑜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【摘要】  在课程游戏化改革中，我园追随孩子的游戏需求，立足户外环境现状，结合园所“健康”特色，因地制宜巧妙改造，创设开放丰富的户外环境，融通户外游戏的内容和形式，提供丰富的游戏材料，满足孩子户外自主游戏的需求，有效支持他们主动学习和健康发展。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【关键词】改造 </w:t>
      </w:r>
      <w:r>
        <w:rPr>
          <w:rFonts w:ascii="宋体" w:hAnsi="宋体"/>
          <w:color w:val="000000"/>
          <w:sz w:val="24"/>
        </w:rPr>
        <w:t xml:space="preserve"> </w:t>
      </w:r>
      <w:r>
        <w:rPr>
          <w:rFonts w:hint="eastAsia" w:ascii="宋体" w:hAnsi="宋体"/>
          <w:color w:val="000000"/>
          <w:sz w:val="24"/>
        </w:rPr>
        <w:t>户外 游戏场</w:t>
      </w:r>
    </w:p>
    <w:p>
      <w:pPr>
        <w:spacing w:line="360" w:lineRule="auto"/>
        <w:rPr>
          <w:rFonts w:hint="eastAsia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/>
          <w:color w:val="000000"/>
          <w:sz w:val="24"/>
        </w:rPr>
      </w:pPr>
      <w:r>
        <w:rPr>
          <w:rFonts w:hint="eastAsia"/>
          <w:color w:val="000000"/>
          <w:sz w:val="24"/>
        </w:rPr>
        <w:t>《3—6岁儿童学习与发展指南》指出：“珍视游戏和生活的独特价值，创设丰富的教育环境。” 户外环境作为幼儿每天二小时的户外活动天地，是幼儿园环境建设的重要组成部分。江苏省幼儿园课程游戏化项目实施要求中提出：“室外环境要有利于幼儿开展运动、观察、种植、探索、扮演、操作等多种活动，并给幼儿带来丰富多彩的经验。”在推进课程游戏化建设进程中，常州市机关幼儿园教育集团东方名园坚持“健康第一”，深化“健康”特色，追随孩子的游戏需求，加大投入，对原有户外游戏环境进行改造，全力打造儿童游戏乐园，有效支持儿童的多元发展。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一、盘点家底，立足现状思考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为加快实施改造，幼儿园对户外环境进行了摸家底、盘资源的行动，同时进行了综合思考分析。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（一）优势明显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1.户外面积宽敞。东方名园幼儿园户外场地有6800㎡，生均21㎡，有大型操场（2800㎡）、小操场（450㎡）、内庭（940㎡）、生态园（2100㎡）等多个大型户外场地，分布于建筑楼周边。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地面材质多种。有草地、沙池、塑胶、硅PU等软硬质地面，山坡、平地兼备。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园林绿化居多。全园绿化面积达7000㎡，各类树种达</w:t>
      </w:r>
      <w:r>
        <w:rPr>
          <w:rFonts w:ascii="宋体" w:hAnsi="宋体"/>
          <w:color w:val="000000"/>
          <w:sz w:val="24"/>
        </w:rPr>
        <w:t>3</w:t>
      </w:r>
      <w:r>
        <w:rPr>
          <w:rFonts w:hint="eastAsia" w:ascii="宋体" w:hAnsi="宋体"/>
          <w:color w:val="000000"/>
          <w:sz w:val="24"/>
        </w:rPr>
        <w:t>0余种，生态美观。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（二）凸显不足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1.运动场地空旷，区域功能不明。户外大操场，以操类活动、集体游戏为主，缺乏区域功能性。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2.园林观赏强，互动效应低。生态园作为园林景观和菜地种植，突出观赏功能，忽视儿童的游戏功能。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3.臂力锻炼设施少。全园运动设施以大型组合运动器材为主，攀爬类、悬吊类设施较少。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二、因地制宜，重新规划布局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/>
          <w:sz w:val="24"/>
        </w:rPr>
        <w:t>在盘点园区户外场地家底的基础上，遵循“分区域、重安全、趣味性”的原则，</w:t>
      </w:r>
      <w:r>
        <w:rPr>
          <w:rFonts w:hint="eastAsia" w:ascii="宋体" w:hAnsi="宋体"/>
          <w:sz w:val="24"/>
        </w:rPr>
        <w:t>进行整体规划。</w:t>
      </w:r>
      <w:r>
        <w:rPr>
          <w:rFonts w:hint="eastAsia" w:ascii="宋体" w:hAnsi="宋体"/>
          <w:color w:val="000000"/>
          <w:sz w:val="24"/>
        </w:rPr>
        <w:t>倡导“环境即课程”，因地制宜，将户外环境建设与园所健康特色紧密结合，开发利用各场地资源，创建安全生态、多变挑战、野趣互动的儿童游戏乐园。使幼儿园户外游戏环境呈现：基于儿童、活用资源、场景多变、游戏贯通的特点。大操场变多个功能区，可随时切换游戏场景；灌木丛变多功能球场，一场玩多种球类游戏；中庭与周边贯通变角色园、骑行区，满足幼儿角色交往需求；自然生态园变野趣拓展园，与大自然亲密互动；沙水区变体验场，科学探索其乐无穷。环境与儿童兴趣融合，与课程有机渗透，更有利于他们的充分体验和活动。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三、巧妙改造，创设游戏天地</w:t>
      </w:r>
    </w:p>
    <w:p>
      <w:pPr>
        <w:spacing w:line="360" w:lineRule="auto"/>
        <w:ind w:firstLine="472" w:firstLineChars="196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（一）巧变场地，凸显运动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因地制宜，变化拓展运动空间，创设多样的运动场地，支持幼儿多种运动体验，有效促进他们动作发展，增强体质。 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1.灌木丛变球场——爱玩球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球类游戏格外受到幼儿的喜欢，我们创造空间、创造条件让幼儿能快乐玩球。为此，将西北面闲置的荒地改建成500㎡的笼式玩球场，围网上添加篮球架，变成多功能球场。在不同时间内，场地随孩子们的运动需求变换功能，足球、篮球、羊角球、棒球……，球场的最大功效得到充分发挥。游戏时，幼儿可自主选择球类，既锻炼了运动能力，又培养了合作、克服困难等良好的意志品质。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20955</wp:posOffset>
            </wp:positionV>
            <wp:extent cx="1358900" cy="1515745"/>
            <wp:effectExtent l="0" t="0" r="12700" b="8255"/>
            <wp:wrapSquare wrapText="bothSides"/>
            <wp:docPr id="2" name="图片 24" descr="足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足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60325</wp:posOffset>
            </wp:positionV>
            <wp:extent cx="1735455" cy="1355725"/>
            <wp:effectExtent l="0" t="0" r="17145" b="15875"/>
            <wp:wrapSquare wrapText="bothSides"/>
            <wp:docPr id="1" name="图片 23" descr="荒草地视频[00_00_12][20161105-211844-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荒草地视频[00_00_12][20161105-211844-0]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236220</wp:posOffset>
                </wp:positionV>
                <wp:extent cx="714375" cy="361950"/>
                <wp:effectExtent l="4445" t="11430" r="24130" b="26670"/>
                <wp:wrapNone/>
                <wp:docPr id="3" name="自选图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ightArrow">
                          <a:avLst>
                            <a:gd name="adj1" fmla="val 50000"/>
                            <a:gd name="adj2" fmla="val 4934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1" o:spid="_x0000_s1026" o:spt="13" type="#_x0000_t13" style="position:absolute;left:0pt;margin-left:14.2pt;margin-top:18.6pt;height:28.5pt;width:56.25pt;z-index:251660288;mso-width-relative:page;mso-height-relative:page;" fillcolor="#FFFFFF" filled="t" stroked="t" coordsize="21600,21600" o:gfxdata="UEsDBAoAAAAAAIdO4kAAAAAAAAAAAAAAAAAEAAAAZHJzL1BLAwQUAAAACACHTuJAYLNWrdkAAAAI&#10;AQAADwAAAGRycy9kb3ducmV2LnhtbE2PQUvDQBSE74L/YXmCF7G7jcGmMS9FCuJBFGw96G2bfSbB&#10;7NuY3Sbx37s96XGYYeabYjPbTow0+NYxwnKhQBBXzrRcI7ztH64zED5oNrpzTAg/5GFTnp8VOjdu&#10;4lcad6EWsYR9rhGaEPpcSl81ZLVfuJ44ep9usDpEOdTSDHqK5baTiVK30uqW40Kje9o2VH3tjhZB&#10;Pj1efc+ml+/7cZVtn++nj+SlRry8WKo7EIHm8BeGE35EhzIyHdyRjRcdQpKlMYlws0pAnPxUrUEc&#10;ENZpArIs5P8D5S9QSwMEFAAAAAgAh07iQCO18icdAgAAOwQAAA4AAABkcnMvZTJvRG9jLnhtbK1T&#10;S44TMRDdI3EHy3um0/nMkCidESKEDYKRBg5QadvdRv5hO+lkxw5xBnYsuQPcZiS4BWWnySSwQYhe&#10;uMt2+fm9V6759U4rsuU+SGsqWl4MKOGmtkyapqJvXq8ePaYkRDAMlDW8onse6PXi4YN552Z8aFur&#10;GPcEQUyYda6ibYxuVhShbrmGcGEdN7gprNcQceqbgnnoEF2rYjgYXBad9cx5W/MQcHV52KSLjC8E&#10;r+MrIQKPRFUUucU8+jyu01gs5jBrPLhW1j0N+AcWGqTBS49QS4hANl7+AaVl7W2wIl7UVhdWCFnz&#10;rAHVlIPf1Ny24HjWguYEd7Qp/D/Y+uX2xhPJKjqixIDGEn3/8OXH+493n77dff1MRmWyqHNhhpm3&#10;7sb3s4Bh0rsTXqc/KiG7bOv+aCvfRVLj4lU5Hl1NKKlxa3RZTifZ9uL+sPMhPudWkxRU1MumjU+8&#10;t122FLYvQszesp4hsLclJUIrLNUWFJkM8OtLeZIzPM0ZT0fjYcrBe3tEjH7dnOCDVZKtpFJ54pv1&#10;U+UJwld0lb/+8FmaMqSr6HQyTPIA369QEDHUDh0NpskCzk6EU+DE+8AcuZylJWJLCO2BQN46CNQy&#10;cp9fbcuBPTOMxL3DqhlsL5rIaM4oURy7MUU5M4JUf5OJJJRBh1K5DwVO0dqyPb6RDpsENb3bgMeL&#10;Ni5XCVs+25Ly8IVmd/tuSi1wOs+49z2/+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gs1at2QAA&#10;AAgBAAAPAAAAAAAAAAEAIAAAACIAAABkcnMvZG93bnJldi54bWxQSwECFAAUAAAACACHTuJAI7Xy&#10;Jx0CAAA7BAAADgAAAAAAAAABACAAAAAoAQAAZHJzL2Uyb0RvYy54bWxQSwUGAAAAAAYABgBZAQAA&#10;tw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46990</wp:posOffset>
            </wp:positionV>
            <wp:extent cx="2038985" cy="1350010"/>
            <wp:effectExtent l="0" t="0" r="18415" b="2540"/>
            <wp:wrapSquare wrapText="bothSides"/>
            <wp:docPr id="5" name="图片 10" descr="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1738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21590</wp:posOffset>
            </wp:positionV>
            <wp:extent cx="2254885" cy="1387475"/>
            <wp:effectExtent l="0" t="0" r="12065" b="3175"/>
            <wp:wrapSquare wrapText="bothSides"/>
            <wp:docPr id="4" name="图片 4" descr="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730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2.生态园变拓展园——享野趣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南边的生态园有山坡、山洞、绿地、大树，一直以来仅作为园林景观和菜地种植。在改造前，幼儿说过：“我想到树那去玩”；“我想到山坡上找找小虫子”。为此，我们顺应孩子的需要，组织幼儿、老师现场研究地形、讨论绘制改造图，重新打造成为大型野趣拓展园。</w:t>
      </w:r>
      <w:r>
        <w:rPr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89535</wp:posOffset>
            </wp:positionV>
            <wp:extent cx="5217795" cy="2082800"/>
            <wp:effectExtent l="0" t="0" r="1905" b="12700"/>
            <wp:wrapSquare wrapText="bothSides"/>
            <wp:docPr id="13" name="图片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大树下的勇敢者。利用大树资源，清理灌木丛，架设爬杆、软梯，爬网等辅助物，这里成为勇敢者的游戏乐园。幼儿可登高、钻爬、走平衡、荡秋千、亲近小鸟，大胆挑战自我，发展臂力、悬垂力和大肌肉动作。改造结束后，大树下成了最受幼儿欢迎的地方。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91440</wp:posOffset>
            </wp:positionV>
            <wp:extent cx="1727835" cy="1997710"/>
            <wp:effectExtent l="0" t="0" r="5715" b="2540"/>
            <wp:wrapSquare wrapText="bothSides"/>
            <wp:docPr id="7" name="图片 27" descr="大叔大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 descr="大叔大叔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1892935" cy="1717675"/>
            <wp:effectExtent l="0" t="0" r="12065" b="15875"/>
            <wp:wrapSquare wrapText="bothSides"/>
            <wp:docPr id="6" name="图片 26" descr="QQ图片2016110620494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QQ图片20161106204949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100330</wp:posOffset>
                </wp:positionV>
                <wp:extent cx="476250" cy="257810"/>
                <wp:effectExtent l="5080" t="12065" r="13970" b="15875"/>
                <wp:wrapNone/>
                <wp:docPr id="8" name="自选图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810"/>
                        </a:xfrm>
                        <a:prstGeom prst="rightArrow">
                          <a:avLst>
                            <a:gd name="adj1" fmla="val 50000"/>
                            <a:gd name="adj2" fmla="val 4618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5" o:spid="_x0000_s1026" o:spt="13" type="#_x0000_t13" style="position:absolute;left:0pt;margin-left:24.85pt;margin-top:7.9pt;height:20.3pt;width:37.5pt;z-index:251665408;mso-width-relative:page;mso-height-relative:page;" fillcolor="#FFFFFF" filled="t" stroked="t" coordsize="21600,21600" o:gfxdata="UEsDBAoAAAAAAIdO4kAAAAAAAAAAAAAAAAAEAAAAZHJzL1BLAwQUAAAACACHTuJA7JjJudkAAAAI&#10;AQAADwAAAGRycy9kb3ducmV2LnhtbE2PzU7DMBCE70h9B2uRuCDqNEp/CHEqVAlxQFRqywFubrwk&#10;UeN1iN0kvD3bEz3uzGj2m2w92kb02PnakYLZNAKBVDhTU6ng4/DysALhgyajG0eo4Bc9rPPJTaZT&#10;4wbaYb8PpeAS8qlWUIXQplL6okKr/dS1SOx9u87qwGdXStPpgcttI+MoWkira+IPlW5xU2Fx2p+t&#10;Avn2ev8zmlZ+HvrlavP+PHzF21Kpu9tZ9AQi4Bj+w3DBZ3TImenozmS8aBQkj0tOsj7nBRc/Tlg4&#10;KpgvEpB5Jq8H5H9QSwMEFAAAAAgAh07iQE9iSbEdAgAAOwQAAA4AAABkcnMvZTJvRG9jLnhtbK1T&#10;S44TMRDdI3EHy3vSSTOdCa10RogQNghGGjiA40+3kX/YTjrZsUOcgd0suQPcZiS4BWWnySSwQYhe&#10;uMt2+fm9V6751U4rtOU+SGsaPBmNMeKGWiZN2+C3b1aPZhiFSAwjyhre4D0P+Grx8MG8dzUvbWcV&#10;4x4BiAl17xrcxejqogi045qEkXXcwKawXpMIU98WzJMe0LUqyvF4WvTWM+ct5SHA6vKwiRcZXwhO&#10;42shAo9INRi4xTz6PK7TWCzmpG49cZ2kAw3yDyw0kQYuPUItSSRo4+UfUFpSb4MVcUStLqwQkvKs&#10;AdRMxr+puemI41kLmBPc0abw/2Dpq+21R5I1GApliIYSff/45ceHT3efv919vUWPq2RR70INmTfu&#10;2g+zAGHSuxNepz8oQbts6/5oK99FRGHx4nJaVmA+ha2yupxNsu3F/WHnQ3zBrUYpaLCXbRefem/7&#10;bCnZvgwxe8sGhoS9m2AktIJSbYlC1Ri+oZQnOeVpzsV0MitTDtw7IEL06+YEH6ySbCWVyhPfrp8p&#10;jwC+wav8DYfP0pRBfYOfVGUF8gi8X6FIhFA7cDSYNgs4OxFOgRPvA3PgcpaWiC1J6A4E8tZBoJaR&#10;+/xqO07Yc8NQ3DuomoH2womM5gwjxaEbU5QzI5HqbzKBhDLgUCr3ocApWlu2hzfSQ5OApvcb4uGi&#10;jctVgpbPtqQ8eKHZ3aGbUguczjPufc8v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mMm52QAA&#10;AAgBAAAPAAAAAAAAAAEAIAAAACIAAABkcnMvZG93bnJldi54bWxQSwECFAAUAAAACACHTuJAT2JJ&#10;sR0CAAA7BAAADgAAAAAAAAABACAAAAAoAQAAZHJzL2Uyb0RvYy54bWxQSwUGAAAAAAYABgBZAQAA&#10;tw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3538220</wp:posOffset>
            </wp:positionV>
            <wp:extent cx="1611630" cy="1172210"/>
            <wp:effectExtent l="0" t="0" r="7620" b="8890"/>
            <wp:wrapSquare wrapText="bothSides"/>
            <wp:docPr id="12" name="图片 40" descr="玩转碉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0" descr="玩转碉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 w:val="24"/>
        </w:rPr>
        <w:t>拓展园里野趣多。根据山坡、竹林等地形特点，我们创设多个拓展体验区。在竹林里开辟迷宫；在上坡区域搭建轮胎桥；利用两棵树的落高差安装滑索；建造一个迷你多功能碉堡；搜集了各种生活中的废旧材料，有奶粉罐、薯片桶、汽车轮胎、竹篮等。幼儿相互合作，展开想象，不断切换游戏角色、游戏情境，在拓展园里快乐游戏。一会做小超人，走过梅花桩、挑战轮胎桥、迷宫探险；一会做小士兵，模仿军事游戏，占领高地、穿越烽火线、空中飞人、玩转碉堡；一会利用碉堡的小洞玩地鼠和躲猫猫游戏。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58420</wp:posOffset>
            </wp:positionV>
            <wp:extent cx="1638300" cy="1275715"/>
            <wp:effectExtent l="0" t="0" r="0" b="635"/>
            <wp:wrapSquare wrapText="bothSides"/>
            <wp:docPr id="10" name="图片 36" descr="空中飞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6" descr="空中飞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1374140</wp:posOffset>
            </wp:positionV>
            <wp:extent cx="1795145" cy="1287780"/>
            <wp:effectExtent l="0" t="0" r="14605" b="7620"/>
            <wp:wrapSquare wrapText="bothSides"/>
            <wp:docPr id="11" name="图片 37" descr="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7" descr="c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1372870</wp:posOffset>
            </wp:positionV>
            <wp:extent cx="1778000" cy="1275715"/>
            <wp:effectExtent l="0" t="0" r="12700" b="635"/>
            <wp:wrapSquare wrapText="bothSides"/>
            <wp:docPr id="9" name="图片 35" descr="梅花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 descr="梅花桩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95885</wp:posOffset>
            </wp:positionV>
            <wp:extent cx="1795145" cy="1162685"/>
            <wp:effectExtent l="0" t="0" r="14605" b="18415"/>
            <wp:wrapSquare wrapText="bothSides"/>
            <wp:docPr id="16" name="图片 33" descr="平衡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3" descr="平衡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86360</wp:posOffset>
            </wp:positionV>
            <wp:extent cx="1795145" cy="1158875"/>
            <wp:effectExtent l="0" t="0" r="14605" b="3175"/>
            <wp:wrapSquare wrapText="bothSides"/>
            <wp:docPr id="15" name="图片 32" descr="综合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2" descr="综合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3.大操场变功能区——乐运动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大操场平整宽敞，结合场地特点，根据幼儿动作和体能发展目标，添置万能工匠、多功能攀爬架，投放各类器材，将大操场划分为攀爬区、跑跳区、小技能区、大型运动乐园。每天幼儿自主计划、自行布局、自选材料，变换游戏玩法，跑跑卡丁车、架大炮、打地鼠、时光隧道、保龄球、叠叠高。随着孩子的运动需要，区域功能可不断调整变化。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88265</wp:posOffset>
            </wp:positionV>
            <wp:extent cx="3053080" cy="1933575"/>
            <wp:effectExtent l="0" t="0" r="13970" b="9525"/>
            <wp:wrapSquare wrapText="bothSides"/>
            <wp:docPr id="14" name="图片 47" descr="6F10777D352285DC341B91C375D5F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7" descr="6F10777D352285DC341B91C375D5FBD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110490</wp:posOffset>
            </wp:positionV>
            <wp:extent cx="1838325" cy="1384935"/>
            <wp:effectExtent l="0" t="0" r="9525" b="5715"/>
            <wp:wrapSquare wrapText="bothSides"/>
            <wp:docPr id="17" name="图片 1" descr="轮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轮滑2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0000"/>
          <w:sz w:val="24"/>
        </w:rPr>
        <w:t>4.小操场变轮滑场——趣滑行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东边小操场为硅PU，既光滑又富有弹性。根据场地材质特点，小操场变身轮滑场。投放轮滑器材，滑行天地引发了孩子自由滑翔，锻炼顽强的意志及良好的心理品质，培养了良好的生活运动习惯及自我服务能力。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（二）巧用空间，贯通各类游戏</w:t>
      </w:r>
    </w:p>
    <w:p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《3—6岁儿童学习与发展指南》指出：“支持幼儿在接触自然、生活事物和现象中积累有益的直接经验和感性认识；和幼儿一起通过户外活动、参观考察、种植和饲养活动，感知生物的多样性和独特性；给幼儿提供丰富的材料和适宜的工具，支持幼儿在游戏过程中探索并感知常见物质、材料的特性和物体的结构特点。”随着主题课程的开展，这里丰富的自然资源又是支持孩子们探索学习的乐园。我们把课程搬到大自然，</w:t>
      </w:r>
      <w:r>
        <w:rPr>
          <w:rFonts w:hint="eastAsia" w:ascii="宋体" w:hAnsi="宋体"/>
          <w:color w:val="000000"/>
          <w:sz w:val="24"/>
        </w:rPr>
        <w:t>用足户外空间，巧妙设计五大游戏场景，渗透社会、科学、艺术、语言等领域，幼儿</w:t>
      </w:r>
      <w:r>
        <w:rPr>
          <w:rFonts w:hint="eastAsia" w:ascii="宋体" w:hAnsi="宋体"/>
          <w:sz w:val="24"/>
        </w:rPr>
        <w:t>进行自主游戏、科学探究，</w:t>
      </w:r>
      <w:r>
        <w:rPr>
          <w:rFonts w:hint="eastAsia" w:ascii="宋体" w:hAnsi="宋体"/>
          <w:color w:val="000000"/>
          <w:sz w:val="24"/>
        </w:rPr>
        <w:t>与各类游戏融汇贯通。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1.户外角色场——角色的互动串联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2247265</wp:posOffset>
            </wp:positionV>
            <wp:extent cx="1504950" cy="998220"/>
            <wp:effectExtent l="0" t="0" r="0" b="11430"/>
            <wp:wrapSquare wrapText="bothSides"/>
            <wp:docPr id="19" name="图片 52" descr="QQ图片201611191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2" descr="QQ图片201611191614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2206625</wp:posOffset>
            </wp:positionV>
            <wp:extent cx="1518285" cy="1026160"/>
            <wp:effectExtent l="0" t="0" r="5715" b="2540"/>
            <wp:wrapSquare wrapText="bothSides"/>
            <wp:docPr id="18" name="图片 50" descr="外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0" descr="外卖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2228215</wp:posOffset>
            </wp:positionV>
            <wp:extent cx="1474470" cy="978535"/>
            <wp:effectExtent l="0" t="0" r="11430" b="12065"/>
            <wp:wrapSquare wrapText="bothSides"/>
            <wp:docPr id="20" name="图片 53" descr="开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3" descr="开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 w:val="24"/>
        </w:rPr>
        <w:t>室内角色区搬到中庭阳光下，师幼共创东方嘟嘟城，超市、医院、麦当劳、建构乐园等一应俱全。幼儿模仿成人劳动，在制作、买卖、包装、快递等一系列角色扮演中，混龄互动，促进社会交往、增强生活技能。同时，中庭四周开辟交通乐园，设置停车场、骑行车道，幼儿自主摆放标志，对号开锁取车、有序停车，接人、送货，在游戏中发展动作，遵守交通规则。将角色游戏延伸到户外，提供更加自由开阔的场地，不受时间、空间的限制，交通乐园贯通嘟嘟城，孩子们在各个角色场进行互动串联，社会实践体验更接近生活、更真实。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2.生态实验园——生物的探秘发现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在生态园优化树种，使园内绿植种类达40余种。利用绿植间隙，建设菜园、搭建阳光房、饲养角，幼儿在这里培植菌菇、种植蔬菜、喂养小动物，进行观察、</w:t>
      </w:r>
      <w:r>
        <w:rPr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109855</wp:posOffset>
            </wp:positionV>
            <wp:extent cx="1600200" cy="2286000"/>
            <wp:effectExtent l="0" t="0" r="0" b="0"/>
            <wp:wrapSquare wrapText="bothSides"/>
            <wp:docPr id="23" name="图片 58" descr="270F32EF0145D2438ACB7E833E45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8" descr="270F32EF0145D2438ACB7E833E4516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 w:val="24"/>
        </w:rPr>
        <w:t>测量、实验、记录动植物的生长、变化。春天萌生，夏天滋长，秋天收获，冬天储藏，成为爱探究、有责任的小主人。</w:t>
      </w:r>
    </w:p>
    <w:p>
      <w:pPr>
        <w:spacing w:line="360" w:lineRule="auto"/>
        <w:rPr>
          <w:rFonts w:hint="eastAsia" w:ascii="宋体" w:hAnsi="宋体"/>
          <w:b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147955</wp:posOffset>
            </wp:positionV>
            <wp:extent cx="1485900" cy="1146175"/>
            <wp:effectExtent l="0" t="0" r="0" b="15875"/>
            <wp:wrapSquare wrapText="bothSides"/>
            <wp:docPr id="22" name="图片 57" descr="IMG_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7" descr="IMG_05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167005</wp:posOffset>
            </wp:positionV>
            <wp:extent cx="1539240" cy="1150620"/>
            <wp:effectExtent l="0" t="0" r="3810" b="11430"/>
            <wp:wrapSquare wrapText="bothSides"/>
            <wp:docPr id="21" name="图片 55" descr="IMG_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5" descr="IMG_05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3.趣味沙水池——游戏的衔接延伸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沙水作为一种自然材料，蕴含着无限的创造想象空间。我们丰富玩沙区，新建一个嬉水池，贯通沙池、菜地。在这里，幼儿快乐玩沙、合作建构，探索沙的可塑性、变化性、吸水性和流动性；用自己喜欢的方式取水、运水，做水的实验。沙水的贯通游戏，实现游戏的衔接延伸，发展想像力和创造力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35560</wp:posOffset>
            </wp:positionV>
            <wp:extent cx="1644015" cy="1036320"/>
            <wp:effectExtent l="0" t="0" r="13335" b="11430"/>
            <wp:wrapSquare wrapText="bothSides"/>
            <wp:docPr id="25" name="图片 60" descr="IMG_8278[00_00_16][20161121-120222-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0" descr="IMG_8278[00_00_16][20161121-120222-0]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54610</wp:posOffset>
            </wp:positionV>
            <wp:extent cx="1864360" cy="1036320"/>
            <wp:effectExtent l="0" t="0" r="2540" b="11430"/>
            <wp:wrapSquare wrapText="bothSides"/>
            <wp:docPr id="24" name="图片 59" descr="沙水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9" descr="沙水记录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 xml:space="preserve">    </w:t>
      </w:r>
    </w:p>
    <w:p>
      <w:pPr>
        <w:spacing w:line="360" w:lineRule="auto"/>
        <w:ind w:firstLine="482" w:firstLineChars="200"/>
        <w:rPr>
          <w:rFonts w:ascii="宋体" w:hAnsi="宋体"/>
          <w:b/>
          <w:color w:val="000000"/>
          <w:sz w:val="24"/>
        </w:rPr>
      </w:pPr>
    </w:p>
    <w:p>
      <w:pPr>
        <w:spacing w:line="360" w:lineRule="auto"/>
        <w:ind w:firstLine="482" w:firstLineChars="200"/>
        <w:rPr>
          <w:rFonts w:ascii="宋体" w:hAnsi="宋体"/>
          <w:b/>
          <w:color w:val="000000"/>
          <w:sz w:val="24"/>
        </w:rPr>
      </w:pPr>
    </w:p>
    <w:p>
      <w:pPr>
        <w:spacing w:line="360" w:lineRule="auto"/>
        <w:ind w:firstLine="482" w:firstLineChars="200"/>
        <w:rPr>
          <w:rFonts w:ascii="宋体" w:hAnsi="宋体"/>
          <w:b/>
          <w:color w:val="000000"/>
          <w:sz w:val="24"/>
        </w:rPr>
      </w:pP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4.丛林寻宝地——探险的智慧体验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911225</wp:posOffset>
            </wp:positionV>
            <wp:extent cx="2446020" cy="1522730"/>
            <wp:effectExtent l="0" t="0" r="11430" b="1270"/>
            <wp:wrapSquare wrapText="bothSides"/>
            <wp:docPr id="26" name="图片 62" descr="111111111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2" descr="11111111111111111111111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 w:val="24"/>
        </w:rPr>
        <w:t>“寻宝”对幼儿来说，充满了挑战和神秘感。利用山坡、从林地貌特点，挖掘场地资源，衍生藏宝迷阵，大班幼儿自制藏宝图、线索卡，玩寻宝游戏。在探险寻宝中，体验成功的快乐，培养发现问题、思考问题、解决问题的能力。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48260</wp:posOffset>
            </wp:positionV>
            <wp:extent cx="2345055" cy="1522730"/>
            <wp:effectExtent l="0" t="0" r="17145" b="1270"/>
            <wp:wrapSquare wrapText="bothSides"/>
            <wp:docPr id="27" name="图片 63" descr="222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3" descr="2222222222222222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0000"/>
          <w:sz w:val="24"/>
        </w:rPr>
        <w:t>5.艺术畅想区——多元的创意表现</w:t>
      </w:r>
    </w:p>
    <w:p>
      <w:pPr>
        <w:spacing w:line="360" w:lineRule="auto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流动的艺术无处不在，创设集道具栏、背景墙、涂鸦墙等功能于一体的百变竹墙，提供移动式的音乐地台。幼儿随时随地，在自然中展开想象翅膀，运用自然材料多元表达，涂涂画画、说说演演、唱唱跳跳，玩出乐趣与智慧，体验艺术与创造。同时在大自然中感受美、表现美、创造美，让艺术返璞归真、回归自然。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107315</wp:posOffset>
            </wp:positionV>
            <wp:extent cx="1870075" cy="1254125"/>
            <wp:effectExtent l="0" t="0" r="15875" b="3175"/>
            <wp:wrapSquare wrapText="bothSides"/>
            <wp:docPr id="28" name="图片 64" descr="IMG_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4" descr="IMG_83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96520</wp:posOffset>
            </wp:positionV>
            <wp:extent cx="1586230" cy="1264920"/>
            <wp:effectExtent l="0" t="0" r="13970" b="11430"/>
            <wp:wrapSquare wrapText="bothSides"/>
            <wp:docPr id="2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（三）巧取资源，勾联多元课程</w:t>
      </w:r>
    </w:p>
    <w:p>
      <w:pPr>
        <w:spacing w:line="360" w:lineRule="auto"/>
        <w:ind w:firstLine="48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环境是潜在的课程，充分运用各类资源，将隐形的教育资源转化为显性的游戏资源，与课程勾联，有效支持儿童的学习与发展。</w:t>
      </w:r>
    </w:p>
    <w:p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突出课程资源观。</w:t>
      </w:r>
      <w:r>
        <w:rPr>
          <w:rFonts w:hint="eastAsia" w:ascii="宋体" w:hAnsi="宋体"/>
          <w:color w:val="000000"/>
          <w:sz w:val="24"/>
        </w:rPr>
        <w:t>自然即课程，大自然大社会是活教材，自然界的阳光、空气、泥土、植被等，都是课程资源。比如，在户外会接触到小虫子，这为生成“可爱的昆虫”主题课程提供了丰富的环境资源。同时生活中有取之不尽的游戏材料。我们奉行因陋就简、一物多玩的环境创设理念，挖掘以材料为载体的课程资源，支持儿童的游戏和经验的获得。全园师生家长总动员，共同收集、整理低碳环保的自然材料，品种丰富、数量充足。教师提供材料搜集的方法、路径和注意要点，家长带领孩子一起收集，鼓励孩子发现收集物品，聊聊收集到的材料等。</w:t>
      </w:r>
    </w:p>
    <w:p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突出价值发展观。</w:t>
      </w:r>
      <w:r>
        <w:rPr>
          <w:rFonts w:hint="eastAsia" w:ascii="宋体" w:hAnsi="宋体"/>
          <w:color w:val="000000"/>
          <w:sz w:val="24"/>
        </w:rPr>
        <w:t>首先，环境的价值。户外游戏作为幼儿园课程的生长点，孩子们打破环境界限，挖掘课程价值，生成主题、推进主题课程开展。比如，在主题“中国娃”的背景下，孩子们穿着少数民族服饰在角色场互动交往；在艺术畅想区大胆演绎。其次，材料的价值。户外游戏的材料以低结构为主，孩子们探究材料的多变玩法和以物代物，生成和丰富游戏内容，享受创造的乐趣，在与环境、材料的互动中获得经验。比如彩桶，他们会滚、钻、开火车、大套娃等；拓展园里，轮胎就是凳子、桌子，矿泉水瓶就是玩具；表演时铲子当做话筒，奶粉罐就是乐器。</w:t>
      </w:r>
    </w:p>
    <w:p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突出游戏自主观。</w:t>
      </w:r>
      <w:r>
        <w:rPr>
          <w:rFonts w:hint="eastAsia" w:ascii="宋体" w:hAnsi="宋体"/>
          <w:color w:val="000000"/>
          <w:sz w:val="24"/>
        </w:rPr>
        <w:t>改造后的户外游戏场地划成八大区域，制作了游戏自选表，教师可根据课程弹性安排户外游戏时间，孩子可在大区域里自选游戏项目，既增加使用率，又增加自主性。各种各样的材料有智慧标识，便于孩子自主、自主选择材料和开展游戏活动；运动场张贴安全提示，有安全隐患处软包处理；园部建立巡检维修制度，责任到人，保障游戏安全。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运动带来健康、游戏释放快乐。在户外环境改造中，我们融合课程、渗透领域，丰富游戏类型，拓展游戏空间，打通游戏脉络，使户外场地变成了儿童的游戏乐园，有效促进幼儿多元发展。“自由、自主、创造、愉悦”的游戏精神在这绽放光彩！在环境的开发和使用中，教师更加关注户外环境对幼儿身心发展的价值，顺应孩子的需求，观察、分析、反思“孩子真正想要的学习”。教师在不断的反思中更新观念，改变行为，加快专业化成长。游戏环境打造永无止境，如何基于儿童，让环境支持孩子游戏的需求；立足课程，让游戏承载幼儿的学习与发展，让我们在前进的路上且行且思……</w:t>
      </w:r>
    </w:p>
    <w:p>
      <w:pPr>
        <w:spacing w:line="360" w:lineRule="auto"/>
        <w:ind w:firstLine="482" w:firstLineChars="200"/>
        <w:rPr>
          <w:rFonts w:ascii="宋体" w:hAnsi="宋体"/>
          <w:b/>
          <w:color w:val="000000"/>
          <w:sz w:val="24"/>
        </w:rPr>
      </w:pPr>
    </w:p>
    <w:p>
      <w:pPr>
        <w:spacing w:line="360" w:lineRule="auto"/>
        <w:ind w:firstLine="482" w:firstLineChars="200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参考文献：</w:t>
      </w:r>
    </w:p>
    <w:p>
      <w:pPr>
        <w:spacing w:line="360" w:lineRule="auto"/>
        <w:rPr>
          <w:rFonts w:hint="eastAsia" w:ascii="宋体" w:hAnsi="宋体"/>
          <w:b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［1］伍香平   《幼儿园环境创设——整体环境》   湖北少儿出版社  </w:t>
      </w:r>
      <w:r>
        <w:rPr>
          <w:rFonts w:ascii="宋体" w:hAnsi="宋体"/>
          <w:color w:val="000000"/>
          <w:sz w:val="24"/>
        </w:rPr>
        <w:t xml:space="preserve">    </w:t>
      </w:r>
      <w:r>
        <w:rPr>
          <w:rFonts w:hint="eastAsia" w:ascii="宋体" w:hAnsi="宋体"/>
          <w:color w:val="000000"/>
          <w:sz w:val="24"/>
        </w:rPr>
        <w:t>20</w:t>
      </w:r>
      <w:r>
        <w:rPr>
          <w:rFonts w:ascii="宋体" w:hAnsi="宋体"/>
          <w:color w:val="000000"/>
          <w:sz w:val="24"/>
        </w:rPr>
        <w:t>10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［2］吴丽珍 《幼儿园室内外环境创设》           福建教育出版社  </w:t>
      </w:r>
      <w:r>
        <w:rPr>
          <w:rFonts w:ascii="宋体" w:hAnsi="宋体"/>
          <w:color w:val="000000"/>
          <w:sz w:val="24"/>
        </w:rPr>
        <w:t xml:space="preserve">    2015</w:t>
      </w:r>
    </w:p>
    <w:p>
      <w:pPr>
        <w:spacing w:line="360" w:lineRule="auto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［3］《3—6岁儿童学习与发展指南》    </w:t>
      </w:r>
      <w:r>
        <w:rPr>
          <w:rFonts w:ascii="宋体" w:hAnsi="宋体"/>
          <w:color w:val="000000"/>
          <w:sz w:val="24"/>
        </w:rPr>
        <w:t xml:space="preserve">           </w:t>
      </w:r>
      <w:r>
        <w:rPr>
          <w:rFonts w:hint="eastAsia" w:ascii="宋体" w:hAnsi="宋体"/>
          <w:color w:val="000000"/>
          <w:sz w:val="24"/>
        </w:rPr>
        <w:t xml:space="preserve">国家教育部  </w:t>
      </w:r>
      <w:r>
        <w:rPr>
          <w:rFonts w:ascii="宋体" w:hAnsi="宋体"/>
          <w:color w:val="000000"/>
          <w:sz w:val="24"/>
        </w:rPr>
        <w:t xml:space="preserve">        2012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［</w:t>
      </w:r>
      <w:r>
        <w:rPr>
          <w:rFonts w:ascii="宋体" w:hAnsi="宋体"/>
          <w:color w:val="000000"/>
          <w:sz w:val="24"/>
        </w:rPr>
        <w:t>4</w:t>
      </w:r>
      <w:r>
        <w:rPr>
          <w:rFonts w:hint="eastAsia" w:ascii="宋体" w:hAnsi="宋体"/>
          <w:color w:val="000000"/>
          <w:sz w:val="24"/>
        </w:rPr>
        <w:t xml:space="preserve">］朱莉﹒布拉德 </w:t>
      </w:r>
      <w:r>
        <w:rPr>
          <w:rFonts w:ascii="宋体" w:hAnsi="宋体"/>
          <w:color w:val="000000"/>
          <w:sz w:val="24"/>
        </w:rPr>
        <w:t xml:space="preserve"> </w:t>
      </w:r>
      <w:r>
        <w:rPr>
          <w:rFonts w:hint="eastAsia" w:ascii="宋体" w:hAnsi="宋体"/>
          <w:color w:val="000000"/>
          <w:sz w:val="24"/>
        </w:rPr>
        <w:t>《</w:t>
      </w:r>
      <w:r>
        <w:rPr>
          <w:rFonts w:ascii="宋体" w:hAnsi="宋体"/>
          <w:color w:val="000000"/>
          <w:sz w:val="24"/>
        </w:rPr>
        <w:t>0</w:t>
      </w:r>
      <w:r>
        <w:rPr>
          <w:rFonts w:hint="eastAsia" w:ascii="宋体" w:hAnsi="宋体"/>
          <w:color w:val="000000"/>
          <w:sz w:val="24"/>
        </w:rPr>
        <w:t>—</w:t>
      </w:r>
      <w:r>
        <w:rPr>
          <w:rFonts w:ascii="宋体" w:hAnsi="宋体"/>
          <w:color w:val="000000"/>
          <w:sz w:val="24"/>
        </w:rPr>
        <w:t>8</w:t>
      </w:r>
      <w:r>
        <w:rPr>
          <w:rFonts w:hint="eastAsia" w:ascii="宋体" w:hAnsi="宋体"/>
          <w:color w:val="000000"/>
          <w:sz w:val="24"/>
        </w:rPr>
        <w:t xml:space="preserve">岁儿童学习环境创设》 </w:t>
      </w:r>
      <w:r>
        <w:rPr>
          <w:rFonts w:ascii="宋体" w:hAnsi="宋体"/>
          <w:color w:val="000000"/>
          <w:sz w:val="24"/>
        </w:rPr>
        <w:t xml:space="preserve"> </w:t>
      </w:r>
      <w:r>
        <w:rPr>
          <w:rFonts w:hint="eastAsia" w:ascii="宋体" w:hAnsi="宋体"/>
          <w:color w:val="000000"/>
          <w:sz w:val="24"/>
        </w:rPr>
        <w:t xml:space="preserve">南京师范大学出版社 </w:t>
      </w:r>
      <w:r>
        <w:rPr>
          <w:rFonts w:ascii="宋体" w:hAnsi="宋体"/>
          <w:color w:val="000000"/>
          <w:sz w:val="24"/>
        </w:rPr>
        <w:t xml:space="preserve"> 2014</w:t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  <w:lang/>
      </w:rPr>
      <w:t>8</w:t>
    </w:r>
    <w: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298C9"/>
    <w:multiLevelType w:val="singleLevel"/>
    <w:tmpl w:val="59B298C9"/>
    <w:lvl w:ilvl="0" w:tentative="0">
      <w:start w:val="2"/>
      <w:numFmt w:val="decimal"/>
      <w:suff w:val="nothing"/>
      <w:lvlText w:val="%1."/>
      <w:lvlJc w:val="left"/>
    </w:lvl>
  </w:abstractNum>
  <w:abstractNum w:abstractNumId="1">
    <w:nsid w:val="59B29A61"/>
    <w:multiLevelType w:val="singleLevel"/>
    <w:tmpl w:val="59B29A6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9B29CBA"/>
    <w:multiLevelType w:val="singleLevel"/>
    <w:tmpl w:val="59B29CBA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9CA"/>
    <w:rsid w:val="0001201D"/>
    <w:rsid w:val="000157C4"/>
    <w:rsid w:val="00024A88"/>
    <w:rsid w:val="0003747F"/>
    <w:rsid w:val="00042447"/>
    <w:rsid w:val="00044270"/>
    <w:rsid w:val="0006065C"/>
    <w:rsid w:val="00065403"/>
    <w:rsid w:val="00067732"/>
    <w:rsid w:val="00071795"/>
    <w:rsid w:val="00083071"/>
    <w:rsid w:val="000848DC"/>
    <w:rsid w:val="00084904"/>
    <w:rsid w:val="00090000"/>
    <w:rsid w:val="000910CD"/>
    <w:rsid w:val="00091A06"/>
    <w:rsid w:val="00093AD7"/>
    <w:rsid w:val="0009788D"/>
    <w:rsid w:val="000A1D16"/>
    <w:rsid w:val="000A3D01"/>
    <w:rsid w:val="000A5D36"/>
    <w:rsid w:val="000A616D"/>
    <w:rsid w:val="000A7C21"/>
    <w:rsid w:val="000A7FF4"/>
    <w:rsid w:val="000B32C1"/>
    <w:rsid w:val="000B49C7"/>
    <w:rsid w:val="000B52B3"/>
    <w:rsid w:val="000C2FB4"/>
    <w:rsid w:val="000C46A8"/>
    <w:rsid w:val="000C6A03"/>
    <w:rsid w:val="000D20C6"/>
    <w:rsid w:val="000E32E9"/>
    <w:rsid w:val="000E50B6"/>
    <w:rsid w:val="000F13E3"/>
    <w:rsid w:val="000F1A31"/>
    <w:rsid w:val="00113B97"/>
    <w:rsid w:val="001179E5"/>
    <w:rsid w:val="00126089"/>
    <w:rsid w:val="00131D0B"/>
    <w:rsid w:val="00132DF5"/>
    <w:rsid w:val="00142388"/>
    <w:rsid w:val="0014296C"/>
    <w:rsid w:val="00146CF4"/>
    <w:rsid w:val="00147EFB"/>
    <w:rsid w:val="00150279"/>
    <w:rsid w:val="001503FE"/>
    <w:rsid w:val="00156A58"/>
    <w:rsid w:val="00161860"/>
    <w:rsid w:val="00167044"/>
    <w:rsid w:val="00173092"/>
    <w:rsid w:val="00177BAD"/>
    <w:rsid w:val="0018364B"/>
    <w:rsid w:val="00183E64"/>
    <w:rsid w:val="001863B3"/>
    <w:rsid w:val="00192E58"/>
    <w:rsid w:val="00193199"/>
    <w:rsid w:val="001A32C6"/>
    <w:rsid w:val="001C0AEF"/>
    <w:rsid w:val="001C699D"/>
    <w:rsid w:val="001D3465"/>
    <w:rsid w:val="001D383A"/>
    <w:rsid w:val="001D4D7F"/>
    <w:rsid w:val="001E408A"/>
    <w:rsid w:val="001F1E1E"/>
    <w:rsid w:val="001F6484"/>
    <w:rsid w:val="001F7113"/>
    <w:rsid w:val="0020012A"/>
    <w:rsid w:val="002031CD"/>
    <w:rsid w:val="00203991"/>
    <w:rsid w:val="0020740E"/>
    <w:rsid w:val="00214BF5"/>
    <w:rsid w:val="002249BF"/>
    <w:rsid w:val="002310F0"/>
    <w:rsid w:val="00233FE6"/>
    <w:rsid w:val="00236A87"/>
    <w:rsid w:val="0025136F"/>
    <w:rsid w:val="0025551C"/>
    <w:rsid w:val="0026012E"/>
    <w:rsid w:val="00263752"/>
    <w:rsid w:val="0026689E"/>
    <w:rsid w:val="002674F1"/>
    <w:rsid w:val="0027116C"/>
    <w:rsid w:val="00290150"/>
    <w:rsid w:val="00290715"/>
    <w:rsid w:val="002912AB"/>
    <w:rsid w:val="002929D4"/>
    <w:rsid w:val="0029502E"/>
    <w:rsid w:val="002950B4"/>
    <w:rsid w:val="002A1794"/>
    <w:rsid w:val="002B4FB5"/>
    <w:rsid w:val="002B5194"/>
    <w:rsid w:val="002B5B35"/>
    <w:rsid w:val="002B6E27"/>
    <w:rsid w:val="002B7BC5"/>
    <w:rsid w:val="002D1F42"/>
    <w:rsid w:val="002D5D28"/>
    <w:rsid w:val="002F0125"/>
    <w:rsid w:val="002F0202"/>
    <w:rsid w:val="002F1CA5"/>
    <w:rsid w:val="002F575A"/>
    <w:rsid w:val="00302C9C"/>
    <w:rsid w:val="00314687"/>
    <w:rsid w:val="00323E2E"/>
    <w:rsid w:val="00326AC7"/>
    <w:rsid w:val="00332873"/>
    <w:rsid w:val="00334474"/>
    <w:rsid w:val="00335205"/>
    <w:rsid w:val="00337761"/>
    <w:rsid w:val="00340C8E"/>
    <w:rsid w:val="00350C4E"/>
    <w:rsid w:val="00354093"/>
    <w:rsid w:val="003557BC"/>
    <w:rsid w:val="00357FF9"/>
    <w:rsid w:val="0036155C"/>
    <w:rsid w:val="003634DC"/>
    <w:rsid w:val="00365FA1"/>
    <w:rsid w:val="0037742A"/>
    <w:rsid w:val="00381907"/>
    <w:rsid w:val="00382E29"/>
    <w:rsid w:val="00387338"/>
    <w:rsid w:val="003876B1"/>
    <w:rsid w:val="00393DDA"/>
    <w:rsid w:val="00394246"/>
    <w:rsid w:val="00395421"/>
    <w:rsid w:val="0039645E"/>
    <w:rsid w:val="003A6103"/>
    <w:rsid w:val="003D2595"/>
    <w:rsid w:val="003D3A7E"/>
    <w:rsid w:val="003D7BFD"/>
    <w:rsid w:val="003E29CA"/>
    <w:rsid w:val="003E4691"/>
    <w:rsid w:val="003E679A"/>
    <w:rsid w:val="003F070B"/>
    <w:rsid w:val="003F0B3B"/>
    <w:rsid w:val="003F7004"/>
    <w:rsid w:val="00402232"/>
    <w:rsid w:val="00412E8C"/>
    <w:rsid w:val="00415BE7"/>
    <w:rsid w:val="0042317C"/>
    <w:rsid w:val="00431E39"/>
    <w:rsid w:val="004441F1"/>
    <w:rsid w:val="004568E2"/>
    <w:rsid w:val="00463F79"/>
    <w:rsid w:val="00471A83"/>
    <w:rsid w:val="004734E5"/>
    <w:rsid w:val="00476F1D"/>
    <w:rsid w:val="00485EA7"/>
    <w:rsid w:val="00495C89"/>
    <w:rsid w:val="00496782"/>
    <w:rsid w:val="004A00B7"/>
    <w:rsid w:val="004A3B35"/>
    <w:rsid w:val="004B4F62"/>
    <w:rsid w:val="004B6E16"/>
    <w:rsid w:val="004C2B01"/>
    <w:rsid w:val="004C4AA8"/>
    <w:rsid w:val="004D2849"/>
    <w:rsid w:val="004D32AA"/>
    <w:rsid w:val="004E012A"/>
    <w:rsid w:val="004E132E"/>
    <w:rsid w:val="004E7004"/>
    <w:rsid w:val="004F01A4"/>
    <w:rsid w:val="004F0307"/>
    <w:rsid w:val="004F0433"/>
    <w:rsid w:val="004F3D3B"/>
    <w:rsid w:val="004F5550"/>
    <w:rsid w:val="005030EF"/>
    <w:rsid w:val="00511C58"/>
    <w:rsid w:val="00516DED"/>
    <w:rsid w:val="00520308"/>
    <w:rsid w:val="00532991"/>
    <w:rsid w:val="00533FC1"/>
    <w:rsid w:val="0054270C"/>
    <w:rsid w:val="005553B3"/>
    <w:rsid w:val="00573CB4"/>
    <w:rsid w:val="00576104"/>
    <w:rsid w:val="00577A14"/>
    <w:rsid w:val="0058186C"/>
    <w:rsid w:val="00582F0D"/>
    <w:rsid w:val="005851E2"/>
    <w:rsid w:val="00596FF1"/>
    <w:rsid w:val="005A1B6B"/>
    <w:rsid w:val="005A3635"/>
    <w:rsid w:val="005B6E3F"/>
    <w:rsid w:val="005C09EF"/>
    <w:rsid w:val="005C2F8F"/>
    <w:rsid w:val="005C36FC"/>
    <w:rsid w:val="005D54A7"/>
    <w:rsid w:val="005E6F5C"/>
    <w:rsid w:val="005E73C7"/>
    <w:rsid w:val="00604AF9"/>
    <w:rsid w:val="00606D80"/>
    <w:rsid w:val="006074C8"/>
    <w:rsid w:val="006075F4"/>
    <w:rsid w:val="0062331B"/>
    <w:rsid w:val="00624B74"/>
    <w:rsid w:val="006332B5"/>
    <w:rsid w:val="00641675"/>
    <w:rsid w:val="00645474"/>
    <w:rsid w:val="00652A68"/>
    <w:rsid w:val="00653993"/>
    <w:rsid w:val="00660ADF"/>
    <w:rsid w:val="0066125B"/>
    <w:rsid w:val="00666395"/>
    <w:rsid w:val="0066795C"/>
    <w:rsid w:val="0067408F"/>
    <w:rsid w:val="006815F6"/>
    <w:rsid w:val="00687A3B"/>
    <w:rsid w:val="00692C49"/>
    <w:rsid w:val="0069753A"/>
    <w:rsid w:val="00697DF7"/>
    <w:rsid w:val="006A10EB"/>
    <w:rsid w:val="006A2E30"/>
    <w:rsid w:val="006B089E"/>
    <w:rsid w:val="006B6A4C"/>
    <w:rsid w:val="006D2E66"/>
    <w:rsid w:val="006D49FA"/>
    <w:rsid w:val="006D5D33"/>
    <w:rsid w:val="006D64EE"/>
    <w:rsid w:val="006E3B68"/>
    <w:rsid w:val="00700C3B"/>
    <w:rsid w:val="00706FB6"/>
    <w:rsid w:val="00713258"/>
    <w:rsid w:val="007157B5"/>
    <w:rsid w:val="00720322"/>
    <w:rsid w:val="0072130C"/>
    <w:rsid w:val="0074098B"/>
    <w:rsid w:val="00744C1A"/>
    <w:rsid w:val="0075034C"/>
    <w:rsid w:val="0075583A"/>
    <w:rsid w:val="00760210"/>
    <w:rsid w:val="007965F5"/>
    <w:rsid w:val="007A44DA"/>
    <w:rsid w:val="007A565D"/>
    <w:rsid w:val="007B147F"/>
    <w:rsid w:val="007B193F"/>
    <w:rsid w:val="007C498B"/>
    <w:rsid w:val="007D0349"/>
    <w:rsid w:val="007E32F0"/>
    <w:rsid w:val="007E7BEC"/>
    <w:rsid w:val="007E7E8F"/>
    <w:rsid w:val="007F0583"/>
    <w:rsid w:val="007F27AB"/>
    <w:rsid w:val="007F2907"/>
    <w:rsid w:val="007F51FB"/>
    <w:rsid w:val="008100E6"/>
    <w:rsid w:val="00814BCE"/>
    <w:rsid w:val="00816B93"/>
    <w:rsid w:val="008178B9"/>
    <w:rsid w:val="008200ED"/>
    <w:rsid w:val="00822A4F"/>
    <w:rsid w:val="008307B3"/>
    <w:rsid w:val="008466F8"/>
    <w:rsid w:val="008660BE"/>
    <w:rsid w:val="00874BCB"/>
    <w:rsid w:val="00876FFF"/>
    <w:rsid w:val="008816DD"/>
    <w:rsid w:val="00892FCA"/>
    <w:rsid w:val="00896200"/>
    <w:rsid w:val="008B13F1"/>
    <w:rsid w:val="008B67B9"/>
    <w:rsid w:val="008E5129"/>
    <w:rsid w:val="008F4CFC"/>
    <w:rsid w:val="009001E1"/>
    <w:rsid w:val="0090033A"/>
    <w:rsid w:val="00905DCD"/>
    <w:rsid w:val="00906DD1"/>
    <w:rsid w:val="009078ED"/>
    <w:rsid w:val="00910891"/>
    <w:rsid w:val="009204E2"/>
    <w:rsid w:val="00923B15"/>
    <w:rsid w:val="009352D5"/>
    <w:rsid w:val="00936CB4"/>
    <w:rsid w:val="0094081B"/>
    <w:rsid w:val="00944F25"/>
    <w:rsid w:val="00947E97"/>
    <w:rsid w:val="00947EFE"/>
    <w:rsid w:val="00956DA1"/>
    <w:rsid w:val="0096708B"/>
    <w:rsid w:val="0097650D"/>
    <w:rsid w:val="00982D9D"/>
    <w:rsid w:val="00985295"/>
    <w:rsid w:val="00990519"/>
    <w:rsid w:val="00996478"/>
    <w:rsid w:val="009A2E7B"/>
    <w:rsid w:val="009A3524"/>
    <w:rsid w:val="009A5203"/>
    <w:rsid w:val="009A7391"/>
    <w:rsid w:val="009A7516"/>
    <w:rsid w:val="009B1536"/>
    <w:rsid w:val="009B32D2"/>
    <w:rsid w:val="009C6A70"/>
    <w:rsid w:val="009C7F23"/>
    <w:rsid w:val="009D2E5F"/>
    <w:rsid w:val="009D6223"/>
    <w:rsid w:val="009E5857"/>
    <w:rsid w:val="009E6831"/>
    <w:rsid w:val="009F4052"/>
    <w:rsid w:val="009F5961"/>
    <w:rsid w:val="00A0085D"/>
    <w:rsid w:val="00A01644"/>
    <w:rsid w:val="00A030C4"/>
    <w:rsid w:val="00A06E7C"/>
    <w:rsid w:val="00A07133"/>
    <w:rsid w:val="00A0723E"/>
    <w:rsid w:val="00A10B58"/>
    <w:rsid w:val="00A11589"/>
    <w:rsid w:val="00A135DF"/>
    <w:rsid w:val="00A16436"/>
    <w:rsid w:val="00A20E53"/>
    <w:rsid w:val="00A21BB2"/>
    <w:rsid w:val="00A324D3"/>
    <w:rsid w:val="00A37878"/>
    <w:rsid w:val="00A424EB"/>
    <w:rsid w:val="00A43837"/>
    <w:rsid w:val="00A53BFD"/>
    <w:rsid w:val="00A53D46"/>
    <w:rsid w:val="00A5420D"/>
    <w:rsid w:val="00A669E2"/>
    <w:rsid w:val="00A672EC"/>
    <w:rsid w:val="00A704B6"/>
    <w:rsid w:val="00A737EA"/>
    <w:rsid w:val="00A779BA"/>
    <w:rsid w:val="00A83D54"/>
    <w:rsid w:val="00A92D22"/>
    <w:rsid w:val="00A97A1A"/>
    <w:rsid w:val="00AA1398"/>
    <w:rsid w:val="00AA16C9"/>
    <w:rsid w:val="00AA3FB3"/>
    <w:rsid w:val="00AA5F26"/>
    <w:rsid w:val="00AC52E2"/>
    <w:rsid w:val="00AC7134"/>
    <w:rsid w:val="00AD2DBF"/>
    <w:rsid w:val="00AE2E33"/>
    <w:rsid w:val="00AE2FB5"/>
    <w:rsid w:val="00AE5E86"/>
    <w:rsid w:val="00AE748D"/>
    <w:rsid w:val="00AF3457"/>
    <w:rsid w:val="00AF4443"/>
    <w:rsid w:val="00B06918"/>
    <w:rsid w:val="00B07E35"/>
    <w:rsid w:val="00B129E4"/>
    <w:rsid w:val="00B16EC8"/>
    <w:rsid w:val="00B1785F"/>
    <w:rsid w:val="00B321D8"/>
    <w:rsid w:val="00B372A1"/>
    <w:rsid w:val="00B405AB"/>
    <w:rsid w:val="00B43284"/>
    <w:rsid w:val="00B47F2E"/>
    <w:rsid w:val="00B50DB1"/>
    <w:rsid w:val="00B51803"/>
    <w:rsid w:val="00B52E97"/>
    <w:rsid w:val="00B57B09"/>
    <w:rsid w:val="00B61471"/>
    <w:rsid w:val="00B63A95"/>
    <w:rsid w:val="00B7212E"/>
    <w:rsid w:val="00B85CB7"/>
    <w:rsid w:val="00B863F4"/>
    <w:rsid w:val="00B90F84"/>
    <w:rsid w:val="00B9403C"/>
    <w:rsid w:val="00B9522F"/>
    <w:rsid w:val="00B96530"/>
    <w:rsid w:val="00BA6A1C"/>
    <w:rsid w:val="00BA745D"/>
    <w:rsid w:val="00BB5D9A"/>
    <w:rsid w:val="00BB60FB"/>
    <w:rsid w:val="00BB6FF3"/>
    <w:rsid w:val="00BB7E30"/>
    <w:rsid w:val="00BE360B"/>
    <w:rsid w:val="00BF5A58"/>
    <w:rsid w:val="00C12ED2"/>
    <w:rsid w:val="00C14F00"/>
    <w:rsid w:val="00C23096"/>
    <w:rsid w:val="00C268C2"/>
    <w:rsid w:val="00C26C23"/>
    <w:rsid w:val="00C44813"/>
    <w:rsid w:val="00C53350"/>
    <w:rsid w:val="00C62C1B"/>
    <w:rsid w:val="00C66F98"/>
    <w:rsid w:val="00C71E07"/>
    <w:rsid w:val="00C732AB"/>
    <w:rsid w:val="00C75516"/>
    <w:rsid w:val="00C77119"/>
    <w:rsid w:val="00C870AA"/>
    <w:rsid w:val="00C9163D"/>
    <w:rsid w:val="00C91C47"/>
    <w:rsid w:val="00C929E8"/>
    <w:rsid w:val="00CA364F"/>
    <w:rsid w:val="00CA5790"/>
    <w:rsid w:val="00CA7D64"/>
    <w:rsid w:val="00CC2D75"/>
    <w:rsid w:val="00CC7A8B"/>
    <w:rsid w:val="00CD3E84"/>
    <w:rsid w:val="00CE08EC"/>
    <w:rsid w:val="00CE18AD"/>
    <w:rsid w:val="00CE2AC3"/>
    <w:rsid w:val="00CE6054"/>
    <w:rsid w:val="00CF11BE"/>
    <w:rsid w:val="00CF4D62"/>
    <w:rsid w:val="00D020D6"/>
    <w:rsid w:val="00D109A9"/>
    <w:rsid w:val="00D114B6"/>
    <w:rsid w:val="00D127E5"/>
    <w:rsid w:val="00D15F9F"/>
    <w:rsid w:val="00D251C9"/>
    <w:rsid w:val="00D34408"/>
    <w:rsid w:val="00D45188"/>
    <w:rsid w:val="00D461A6"/>
    <w:rsid w:val="00D47D0B"/>
    <w:rsid w:val="00D51811"/>
    <w:rsid w:val="00D52033"/>
    <w:rsid w:val="00D564D6"/>
    <w:rsid w:val="00D57FF7"/>
    <w:rsid w:val="00D61316"/>
    <w:rsid w:val="00D62253"/>
    <w:rsid w:val="00D62C42"/>
    <w:rsid w:val="00D827EB"/>
    <w:rsid w:val="00D9369D"/>
    <w:rsid w:val="00D965D1"/>
    <w:rsid w:val="00D96D2A"/>
    <w:rsid w:val="00DB06CD"/>
    <w:rsid w:val="00DB15CF"/>
    <w:rsid w:val="00DC1A92"/>
    <w:rsid w:val="00DC6B55"/>
    <w:rsid w:val="00DD6AA2"/>
    <w:rsid w:val="00DD7AB1"/>
    <w:rsid w:val="00DE2FAD"/>
    <w:rsid w:val="00DE73AA"/>
    <w:rsid w:val="00DF26B2"/>
    <w:rsid w:val="00DF5333"/>
    <w:rsid w:val="00DF589B"/>
    <w:rsid w:val="00E03B09"/>
    <w:rsid w:val="00E0592A"/>
    <w:rsid w:val="00E11B13"/>
    <w:rsid w:val="00E145D3"/>
    <w:rsid w:val="00E2297C"/>
    <w:rsid w:val="00E35F5B"/>
    <w:rsid w:val="00E37A2C"/>
    <w:rsid w:val="00E415A4"/>
    <w:rsid w:val="00E42154"/>
    <w:rsid w:val="00E43783"/>
    <w:rsid w:val="00E46681"/>
    <w:rsid w:val="00E50F80"/>
    <w:rsid w:val="00E547B5"/>
    <w:rsid w:val="00E73AC4"/>
    <w:rsid w:val="00E915E3"/>
    <w:rsid w:val="00E9262C"/>
    <w:rsid w:val="00E9555F"/>
    <w:rsid w:val="00EA14CE"/>
    <w:rsid w:val="00EA2A6B"/>
    <w:rsid w:val="00EB09B8"/>
    <w:rsid w:val="00EC0225"/>
    <w:rsid w:val="00EC4DE5"/>
    <w:rsid w:val="00ED3332"/>
    <w:rsid w:val="00EF4E67"/>
    <w:rsid w:val="00F12C0D"/>
    <w:rsid w:val="00F15AC8"/>
    <w:rsid w:val="00F16544"/>
    <w:rsid w:val="00F316C6"/>
    <w:rsid w:val="00F34672"/>
    <w:rsid w:val="00F4174C"/>
    <w:rsid w:val="00F41F0F"/>
    <w:rsid w:val="00F42FD5"/>
    <w:rsid w:val="00F44E92"/>
    <w:rsid w:val="00F45D39"/>
    <w:rsid w:val="00F47442"/>
    <w:rsid w:val="00F51359"/>
    <w:rsid w:val="00F56B44"/>
    <w:rsid w:val="00F56BBB"/>
    <w:rsid w:val="00F56F36"/>
    <w:rsid w:val="00F57BC8"/>
    <w:rsid w:val="00F61CB0"/>
    <w:rsid w:val="00F62102"/>
    <w:rsid w:val="00F74D43"/>
    <w:rsid w:val="00F94AEF"/>
    <w:rsid w:val="00F96EFF"/>
    <w:rsid w:val="00FB4836"/>
    <w:rsid w:val="00FB72B8"/>
    <w:rsid w:val="00FC1650"/>
    <w:rsid w:val="00FC2A2F"/>
    <w:rsid w:val="00FC2B35"/>
    <w:rsid w:val="00FD2081"/>
    <w:rsid w:val="00FE02C9"/>
    <w:rsid w:val="00FE4197"/>
    <w:rsid w:val="00FF7980"/>
    <w:rsid w:val="2BAE7D5E"/>
    <w:rsid w:val="42C309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f">
      <v:fill on="f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0"/>
  </w:style>
  <w:style w:type="character" w:styleId="7">
    <w:name w:val="Hyperlink"/>
    <w:uiPriority w:val="0"/>
    <w:rPr>
      <w:color w:val="0563C1"/>
      <w:u w:val="single"/>
    </w:rPr>
  </w:style>
  <w:style w:type="character" w:customStyle="1" w:styleId="9">
    <w:name w:val="页脚 字符"/>
    <w:link w:val="3"/>
    <w:uiPriority w:val="0"/>
    <w:rPr>
      <w:kern w:val="2"/>
      <w:sz w:val="18"/>
      <w:szCs w:val="18"/>
    </w:rPr>
  </w:style>
  <w:style w:type="character" w:customStyle="1" w:styleId="10">
    <w:name w:val="页眉 字符"/>
    <w:link w:val="4"/>
    <w:uiPriority w:val="0"/>
    <w:rPr>
      <w:kern w:val="2"/>
      <w:sz w:val="18"/>
      <w:szCs w:val="18"/>
    </w:rPr>
  </w:style>
  <w:style w:type="character" w:styleId="11">
    <w:name w:val=""/>
    <w:unhideWhenUsed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663</Words>
  <Characters>3781</Characters>
  <Lines>31</Lines>
  <Paragraphs>8</Paragraphs>
  <ScaleCrop>false</ScaleCrop>
  <LinksUpToDate>false</LinksUpToDate>
  <CharactersWithSpaces>4436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2017-11-02T14:17:00Z</dcterms:created>
  <dc:creator>admin</dc:creator>
  <cp:lastModifiedBy>user</cp:lastModifiedBy>
  <cp:lastPrinted>2016-12-23T02:11:00Z</cp:lastPrinted>
  <dcterms:modified xsi:type="dcterms:W3CDTF">2018-01-07T02:58:04Z</dcterms:modified>
  <dc:title>巧思得趣 悦游于外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