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240" w:lineRule="auto"/>
        <w:jc w:val="both"/>
        <w:rPr>
          <w:rFonts w:ascii="黑体" w:hAnsi="黑体" w:eastAsia="黑体" w:cs="黑体"/>
          <w:sz w:val="28"/>
          <w:szCs w:val="28"/>
        </w:rPr>
      </w:pPr>
      <w:bookmarkStart w:id="12" w:name="_GoBack"/>
      <w:bookmarkEnd w:id="12"/>
      <w:r>
        <w:rPr>
          <w:rFonts w:hint="eastAsia" w:ascii="黑体" w:hAnsi="黑体" w:eastAsia="黑体" w:cs="黑体"/>
          <w:color w:val="000000"/>
          <w:sz w:val="28"/>
          <w:szCs w:val="28"/>
        </w:rPr>
        <w:t>附件1：</w:t>
      </w:r>
    </w:p>
    <w:p>
      <w:pPr>
        <w:pStyle w:val="13"/>
        <w:spacing w:after="240"/>
        <w:ind w:firstLine="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sz w:val="36"/>
          <w:szCs w:val="36"/>
        </w:rPr>
        <w:t>江苏省中小学教学研究第十二期课题评奖要求</w:t>
      </w:r>
    </w:p>
    <w:p>
      <w:pPr>
        <w:pStyle w:val="11"/>
        <w:tabs>
          <w:tab w:val="left" w:pos="854"/>
        </w:tabs>
        <w:spacing w:line="440" w:lineRule="exact"/>
        <w:ind w:firstLine="562" w:firstLineChars="200"/>
        <w:jc w:val="both"/>
        <w:rPr>
          <w:rFonts w:ascii="黑体" w:hAnsi="黑体" w:eastAsia="黑体" w:cs="黑体"/>
          <w:sz w:val="28"/>
          <w:szCs w:val="28"/>
        </w:rPr>
      </w:pPr>
      <w:bookmarkStart w:id="0" w:name="bookmark1"/>
      <w:r>
        <w:rPr>
          <w:rFonts w:hint="eastAsia" w:ascii="黑体" w:hAnsi="黑体" w:eastAsia="黑体" w:cs="黑体"/>
          <w:b/>
          <w:bCs/>
          <w:color w:val="000000"/>
          <w:sz w:val="28"/>
          <w:szCs w:val="28"/>
        </w:rPr>
        <w:t>一</w:t>
      </w:r>
      <w:bookmarkEnd w:id="0"/>
      <w:r>
        <w:rPr>
          <w:rFonts w:hint="eastAsia" w:ascii="黑体" w:hAnsi="黑体" w:eastAsia="黑体" w:cs="黑体"/>
          <w:b/>
          <w:bCs/>
          <w:color w:val="000000"/>
          <w:sz w:val="28"/>
          <w:szCs w:val="28"/>
        </w:rPr>
        <w:t>、评奖资格及名额</w:t>
      </w:r>
    </w:p>
    <w:p>
      <w:pPr>
        <w:pStyle w:val="11"/>
        <w:spacing w:line="4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在2021年6月前结题的江苏省中小学教学研究第十二期课题以及由于特殊原因滚动到第十二期的第十一期课题（需有</w:t>
      </w:r>
      <w:r>
        <w:rPr>
          <w:rFonts w:hint="eastAsia" w:ascii="仿宋_GB2312" w:hAnsi="仿宋_GB2312" w:eastAsia="仿宋_GB2312" w:cs="仿宋_GB2312"/>
          <w:sz w:val="28"/>
          <w:szCs w:val="28"/>
          <w:lang w:eastAsia="zh-CN"/>
        </w:rPr>
        <w:t>省教研室</w:t>
      </w:r>
      <w:r>
        <w:rPr>
          <w:rFonts w:hint="eastAsia" w:ascii="仿宋_GB2312" w:hAnsi="仿宋_GB2312" w:eastAsia="仿宋_GB2312" w:cs="仿宋_GB2312"/>
          <w:color w:val="000000"/>
          <w:sz w:val="28"/>
          <w:szCs w:val="28"/>
        </w:rPr>
        <w:t>开具的同意延期的书面证明）的研究成果均可参加此次评奖。评奖的名额不限。</w:t>
      </w:r>
    </w:p>
    <w:p>
      <w:pPr>
        <w:pStyle w:val="11"/>
        <w:tabs>
          <w:tab w:val="left" w:pos="854"/>
        </w:tabs>
        <w:spacing w:line="440" w:lineRule="exact"/>
        <w:ind w:firstLine="562" w:firstLineChars="200"/>
        <w:jc w:val="both"/>
        <w:rPr>
          <w:rFonts w:ascii="黑体" w:hAnsi="黑体" w:eastAsia="黑体" w:cs="黑体"/>
          <w:b/>
          <w:bCs/>
          <w:sz w:val="28"/>
          <w:szCs w:val="28"/>
        </w:rPr>
      </w:pPr>
      <w:bookmarkStart w:id="1" w:name="bookmark2"/>
      <w:r>
        <w:rPr>
          <w:rFonts w:hint="eastAsia" w:ascii="黑体" w:hAnsi="黑体" w:eastAsia="黑体" w:cs="黑体"/>
          <w:b/>
          <w:bCs/>
          <w:color w:val="000000"/>
          <w:sz w:val="28"/>
          <w:szCs w:val="28"/>
        </w:rPr>
        <w:t>二</w:t>
      </w:r>
      <w:bookmarkEnd w:id="1"/>
      <w:r>
        <w:rPr>
          <w:rFonts w:hint="eastAsia" w:ascii="黑体" w:hAnsi="黑体" w:eastAsia="黑体" w:cs="黑体"/>
          <w:b/>
          <w:bCs/>
          <w:color w:val="000000"/>
          <w:sz w:val="28"/>
          <w:szCs w:val="28"/>
        </w:rPr>
        <w:t>、评奖材料</w:t>
      </w:r>
    </w:p>
    <w:p>
      <w:pPr>
        <w:pStyle w:val="11"/>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参加评奖的课题须提供以下材料：</w:t>
      </w:r>
    </w:p>
    <w:p>
      <w:pPr>
        <w:pStyle w:val="11"/>
        <w:tabs>
          <w:tab w:val="left" w:pos="718"/>
        </w:tabs>
        <w:spacing w:line="440" w:lineRule="exact"/>
        <w:ind w:firstLine="560" w:firstLineChars="200"/>
        <w:jc w:val="both"/>
        <w:rPr>
          <w:rFonts w:ascii="仿宋_GB2312" w:hAnsi="仿宋_GB2312" w:eastAsia="仿宋_GB2312" w:cs="仿宋_GB2312"/>
          <w:sz w:val="28"/>
          <w:szCs w:val="28"/>
        </w:rPr>
      </w:pPr>
      <w:bookmarkStart w:id="2" w:name="bookmark3"/>
      <w:bookmarkEnd w:id="2"/>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（1）课题申报评审书（2）开题论证书（3）中期评估表（4）结题论证书（5）结题证书（6）发表的省级以上的论文。以上材料只需复印件，需加盖课题负责人所在单位公章，上述材料按顺序装订成册。</w:t>
      </w:r>
    </w:p>
    <w:p>
      <w:pPr>
        <w:pStyle w:val="11"/>
        <w:tabs>
          <w:tab w:val="left" w:pos="718"/>
        </w:tabs>
        <w:spacing w:line="440" w:lineRule="exact"/>
        <w:ind w:firstLine="560" w:firstLineChars="200"/>
        <w:jc w:val="both"/>
        <w:rPr>
          <w:rFonts w:ascii="仿宋_GB2312" w:hAnsi="仿宋_GB2312" w:eastAsia="仿宋_GB2312" w:cs="仿宋_GB2312"/>
          <w:sz w:val="28"/>
          <w:szCs w:val="28"/>
        </w:rPr>
      </w:pPr>
      <w:bookmarkStart w:id="3" w:name="bookmark4"/>
      <w:bookmarkEnd w:id="3"/>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（1）研究（结题）报告（2）教研成果应用情况说明（主要说明成果的推广效果，限1000字）。研究（结题）报告与教研成果应用情况说明需提供纸质材料和电子稿，电子稿用参评的课题名称命名。</w:t>
      </w:r>
    </w:p>
    <w:p>
      <w:pPr>
        <w:pStyle w:val="11"/>
        <w:tabs>
          <w:tab w:val="left" w:pos="724"/>
        </w:tabs>
        <w:spacing w:line="440" w:lineRule="exact"/>
        <w:ind w:firstLine="560" w:firstLineChars="200"/>
        <w:jc w:val="both"/>
        <w:rPr>
          <w:rFonts w:ascii="仿宋_GB2312" w:hAnsi="仿宋_GB2312" w:eastAsia="仿宋_GB2312" w:cs="仿宋_GB2312"/>
          <w:sz w:val="28"/>
          <w:szCs w:val="28"/>
        </w:rPr>
      </w:pPr>
      <w:bookmarkStart w:id="4" w:name="bookmark5"/>
      <w:bookmarkEnd w:id="4"/>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课题研究的其他相关成果，包括专著、教材、案例集、影像制品（光盘或</w:t>
      </w:r>
      <w:r>
        <w:rPr>
          <w:rFonts w:hint="eastAsia" w:ascii="仿宋_GB2312" w:hAnsi="仿宋_GB2312" w:eastAsia="仿宋_GB2312" w:cs="仿宋_GB2312"/>
          <w:color w:val="000000"/>
          <w:sz w:val="28"/>
          <w:szCs w:val="28"/>
          <w:lang w:val="en-US" w:eastAsia="zh-CN" w:bidi="en-US"/>
        </w:rPr>
        <w:t>U</w:t>
      </w:r>
      <w:r>
        <w:rPr>
          <w:rFonts w:hint="eastAsia" w:ascii="仿宋_GB2312" w:hAnsi="仿宋_GB2312" w:eastAsia="仿宋_GB2312" w:cs="仿宋_GB2312"/>
          <w:color w:val="000000"/>
          <w:sz w:val="28"/>
          <w:szCs w:val="28"/>
        </w:rPr>
        <w:t>盘）、网站网页、相关软件及其他具有推广价值的内容，光盘或</w:t>
      </w:r>
      <w:r>
        <w:rPr>
          <w:rFonts w:hint="eastAsia" w:ascii="仿宋_GB2312" w:hAnsi="仿宋_GB2312" w:eastAsia="仿宋_GB2312" w:cs="仿宋_GB2312"/>
          <w:color w:val="000000"/>
          <w:sz w:val="28"/>
          <w:szCs w:val="28"/>
          <w:lang w:val="en-US" w:eastAsia="zh-CN" w:bidi="en-US"/>
        </w:rPr>
        <w:t>U</w:t>
      </w:r>
      <w:r>
        <w:rPr>
          <w:rFonts w:hint="eastAsia" w:ascii="仿宋_GB2312" w:hAnsi="仿宋_GB2312" w:eastAsia="仿宋_GB2312" w:cs="仿宋_GB2312"/>
          <w:color w:val="000000"/>
          <w:sz w:val="28"/>
          <w:szCs w:val="28"/>
        </w:rPr>
        <w:t>盘内容可以是课堂教学录像、课题展示活动、课题研究的专题介绍等。</w:t>
      </w:r>
    </w:p>
    <w:p>
      <w:pPr>
        <w:pStyle w:val="11"/>
        <w:spacing w:line="4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课题负责人填写好《江苏省教学研究第十二期课题评奖送审材料袋（封面）》</w:t>
      </w:r>
      <w:r>
        <w:rPr>
          <w:rFonts w:hint="eastAsia" w:ascii="仿宋_GB2312" w:hAnsi="仿宋_GB2312" w:eastAsia="仿宋_GB2312" w:cs="仿宋_GB2312"/>
          <w:sz w:val="28"/>
          <w:szCs w:val="28"/>
          <w:lang w:eastAsia="zh-CN"/>
        </w:rPr>
        <w:t>（附件2）</w:t>
      </w:r>
      <w:r>
        <w:rPr>
          <w:rFonts w:hint="eastAsia" w:ascii="仿宋_GB2312" w:hAnsi="仿宋_GB2312" w:eastAsia="仿宋_GB2312" w:cs="仿宋_GB2312"/>
          <w:color w:val="000000"/>
          <w:sz w:val="28"/>
          <w:szCs w:val="28"/>
        </w:rPr>
        <w:t xml:space="preserve">（在江苏省中小学教学研究室网站 </w:t>
      </w:r>
      <w:r>
        <w:rPr>
          <w:rFonts w:hint="eastAsia" w:ascii="仿宋_GB2312" w:hAnsi="仿宋_GB2312" w:eastAsia="仿宋_GB2312" w:cs="仿宋_GB2312"/>
          <w:color w:val="000000"/>
          <w:sz w:val="28"/>
          <w:szCs w:val="28"/>
          <w:lang w:val="en-US" w:eastAsia="zh-CN" w:bidi="en-US"/>
        </w:rPr>
        <w:t>“http://ww.jssjys.com”</w:t>
      </w:r>
      <w:r>
        <w:rPr>
          <w:rFonts w:hint="eastAsia" w:ascii="仿宋_GB2312" w:hAnsi="仿宋_GB2312" w:eastAsia="仿宋_GB2312" w:cs="仿宋_GB2312"/>
          <w:color w:val="000000"/>
          <w:sz w:val="28"/>
          <w:szCs w:val="28"/>
        </w:rPr>
        <w:t>中的</w:t>
      </w:r>
      <w:r>
        <w:rPr>
          <w:rFonts w:hint="eastAsia" w:ascii="仿宋_GB2312" w:hAnsi="仿宋_GB2312" w:eastAsia="仿宋_GB2312" w:cs="仿宋_GB2312"/>
          <w:color w:val="000000"/>
          <w:sz w:val="28"/>
          <w:szCs w:val="28"/>
          <w:lang w:val="zh-CN" w:eastAsia="zh-CN" w:bidi="zh-CN"/>
        </w:rPr>
        <w:t>“课题</w:t>
      </w:r>
      <w:r>
        <w:rPr>
          <w:rFonts w:hint="eastAsia" w:ascii="仿宋_GB2312" w:hAnsi="仿宋_GB2312" w:eastAsia="仿宋_GB2312" w:cs="仿宋_GB2312"/>
          <w:color w:val="000000"/>
          <w:sz w:val="28"/>
          <w:szCs w:val="28"/>
        </w:rPr>
        <w:t>研究</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栏目中下载），粘贴于送评材料袋封面。上交参评材料不超过一盒（一般规格的文件盒，厚度</w:t>
      </w:r>
      <w:r>
        <w:rPr>
          <w:rFonts w:hint="eastAsia" w:ascii="仿宋_GB2312" w:hAnsi="仿宋_GB2312" w:eastAsia="仿宋_GB2312" w:cs="仿宋_GB2312"/>
          <w:color w:val="000000"/>
          <w:sz w:val="28"/>
          <w:szCs w:val="28"/>
          <w:lang w:val="en-US" w:eastAsia="zh-CN" w:bidi="en-US"/>
        </w:rPr>
        <w:t>10cm</w:t>
      </w:r>
      <w:r>
        <w:rPr>
          <w:rFonts w:hint="eastAsia" w:ascii="仿宋_GB2312" w:hAnsi="仿宋_GB2312" w:eastAsia="仿宋_GB2312" w:cs="仿宋_GB2312"/>
          <w:color w:val="000000"/>
          <w:sz w:val="28"/>
          <w:szCs w:val="28"/>
        </w:rPr>
        <w:t>左右）。上述材料由各</w:t>
      </w:r>
      <w:r>
        <w:rPr>
          <w:rFonts w:hint="eastAsia" w:ascii="仿宋_GB2312" w:hAnsi="仿宋_GB2312" w:eastAsia="仿宋_GB2312" w:cs="仿宋_GB2312"/>
          <w:sz w:val="28"/>
          <w:szCs w:val="28"/>
          <w:lang w:eastAsia="zh-CN"/>
        </w:rPr>
        <w:t>辖市区教师</w:t>
      </w:r>
      <w:r>
        <w:rPr>
          <w:rFonts w:ascii="仿宋_GB2312" w:hAnsi="仿宋_GB2312" w:eastAsia="仿宋_GB2312" w:cs="仿宋_GB2312"/>
          <w:sz w:val="28"/>
          <w:szCs w:val="28"/>
          <w:lang w:eastAsia="zh-CN"/>
        </w:rPr>
        <w:t>发展中心、局属</w:t>
      </w:r>
      <w:r>
        <w:rPr>
          <w:rFonts w:hint="eastAsia" w:ascii="仿宋_GB2312" w:hAnsi="仿宋_GB2312" w:eastAsia="仿宋_GB2312" w:cs="仿宋_GB2312"/>
          <w:sz w:val="28"/>
          <w:szCs w:val="28"/>
          <w:lang w:eastAsia="zh-CN"/>
        </w:rPr>
        <w:t>学校</w:t>
      </w:r>
      <w:r>
        <w:rPr>
          <w:rFonts w:hint="eastAsia" w:ascii="仿宋_GB2312" w:hAnsi="仿宋_GB2312" w:eastAsia="仿宋_GB2312" w:cs="仿宋_GB2312"/>
          <w:color w:val="000000"/>
          <w:sz w:val="28"/>
          <w:szCs w:val="28"/>
        </w:rPr>
        <w:t>统一报送, 上报材料一般不予退还，原件材料请自留备份。</w:t>
      </w:r>
    </w:p>
    <w:p>
      <w:pPr>
        <w:pStyle w:val="11"/>
        <w:tabs>
          <w:tab w:val="left" w:pos="854"/>
        </w:tabs>
        <w:spacing w:line="440" w:lineRule="exact"/>
        <w:ind w:firstLine="562" w:firstLineChars="200"/>
        <w:jc w:val="both"/>
        <w:rPr>
          <w:rFonts w:ascii="黑体" w:hAnsi="黑体" w:eastAsia="黑体" w:cs="黑体"/>
          <w:b/>
          <w:bCs/>
          <w:sz w:val="28"/>
          <w:szCs w:val="28"/>
        </w:rPr>
      </w:pPr>
      <w:r>
        <w:rPr>
          <w:rFonts w:hint="eastAsia" w:ascii="黑体" w:hAnsi="黑体" w:eastAsia="黑体" w:cs="黑体"/>
          <w:b/>
          <w:bCs/>
          <w:color w:val="000000"/>
          <w:sz w:val="28"/>
          <w:szCs w:val="28"/>
        </w:rPr>
        <w:t>三、评奖要求</w:t>
      </w:r>
    </w:p>
    <w:p>
      <w:pPr>
        <w:pStyle w:val="11"/>
        <w:spacing w:line="4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以研究（结题）报告及教研成果应用情况作为评奖的成果主件，研究的专著、教材、论文、影像资料等作为成果附件。课题研究必须符合学术规范，在理论探索上有所创新与突破，或对提高教学质量有明显作用；研究成果多样，量多质高；研发的教材具有科学性与较强的实用性；课题研究对学校的发展起到了正确的导向与促进作用；课题研究成果有利于在更大范围内推广，有利于促进我省教学改革和发展；在课题研究过程中，课题组成员团结合作，对教师以及学生的发展都起到了一定的促进作用。</w:t>
      </w:r>
    </w:p>
    <w:p>
      <w:pPr>
        <w:pStyle w:val="11"/>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有下列情况之一者，不能参加此次评奖。</w:t>
      </w:r>
    </w:p>
    <w:p>
      <w:pPr>
        <w:pStyle w:val="11"/>
        <w:tabs>
          <w:tab w:val="left" w:pos="679"/>
        </w:tabs>
        <w:spacing w:line="440" w:lineRule="exact"/>
        <w:ind w:firstLine="560" w:firstLineChars="200"/>
        <w:rPr>
          <w:rFonts w:ascii="仿宋_GB2312" w:hAnsi="仿宋_GB2312" w:eastAsia="仿宋_GB2312" w:cs="仿宋_GB2312"/>
          <w:sz w:val="28"/>
          <w:szCs w:val="28"/>
        </w:rPr>
      </w:pPr>
      <w:bookmarkStart w:id="5" w:name="bookmark6"/>
      <w:bookmarkEnd w:id="5"/>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主持人无工作单位或挂靠工作单位的；</w:t>
      </w:r>
    </w:p>
    <w:p>
      <w:pPr>
        <w:pStyle w:val="11"/>
        <w:tabs>
          <w:tab w:val="left" w:pos="711"/>
        </w:tabs>
        <w:spacing w:line="440" w:lineRule="exact"/>
        <w:ind w:firstLine="560" w:firstLineChars="200"/>
        <w:jc w:val="both"/>
        <w:rPr>
          <w:rFonts w:ascii="仿宋_GB2312" w:hAnsi="仿宋_GB2312" w:eastAsia="仿宋_GB2312" w:cs="仿宋_GB2312"/>
          <w:sz w:val="28"/>
          <w:szCs w:val="28"/>
        </w:rPr>
      </w:pPr>
      <w:bookmarkStart w:id="6" w:name="bookmark7"/>
      <w:bookmarkEnd w:id="6"/>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课题主持人所承担的江苏省教研课题经费使用严重违反财务制度和规定的；</w:t>
      </w:r>
    </w:p>
    <w:p>
      <w:pPr>
        <w:pStyle w:val="11"/>
        <w:tabs>
          <w:tab w:val="left" w:pos="699"/>
        </w:tabs>
        <w:spacing w:line="440" w:lineRule="exact"/>
        <w:ind w:firstLine="560" w:firstLineChars="200"/>
        <w:rPr>
          <w:rFonts w:ascii="仿宋_GB2312" w:hAnsi="仿宋_GB2312" w:eastAsia="仿宋_GB2312" w:cs="仿宋_GB2312"/>
          <w:sz w:val="28"/>
          <w:szCs w:val="28"/>
        </w:rPr>
      </w:pPr>
      <w:bookmarkStart w:id="7" w:name="bookmark8"/>
      <w:bookmarkEnd w:id="7"/>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申报材料没有通过正常的申报程序的；</w:t>
      </w:r>
    </w:p>
    <w:p>
      <w:pPr>
        <w:pStyle w:val="11"/>
        <w:tabs>
          <w:tab w:val="left" w:pos="699"/>
        </w:tabs>
        <w:spacing w:line="440" w:lineRule="exact"/>
        <w:ind w:firstLine="560" w:firstLineChars="200"/>
        <w:rPr>
          <w:rFonts w:ascii="仿宋_GB2312" w:hAnsi="仿宋_GB2312" w:eastAsia="仿宋_GB2312" w:cs="仿宋_GB2312"/>
          <w:sz w:val="28"/>
          <w:szCs w:val="28"/>
        </w:rPr>
      </w:pPr>
      <w:bookmarkStart w:id="8" w:name="bookmark9"/>
      <w:bookmarkEnd w:id="8"/>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申报者同时申报两项以上（含两项）课题的。</w:t>
      </w:r>
    </w:p>
    <w:p>
      <w:pPr>
        <w:pStyle w:val="11"/>
        <w:tabs>
          <w:tab w:val="left" w:pos="854"/>
        </w:tabs>
        <w:spacing w:line="440" w:lineRule="exact"/>
        <w:ind w:firstLine="562" w:firstLineChars="200"/>
        <w:jc w:val="both"/>
        <w:rPr>
          <w:rFonts w:ascii="黑体" w:hAnsi="黑体" w:eastAsia="黑体" w:cs="黑体"/>
          <w:b/>
          <w:bCs/>
          <w:sz w:val="28"/>
          <w:szCs w:val="28"/>
        </w:rPr>
      </w:pPr>
      <w:r>
        <w:rPr>
          <w:rFonts w:hint="eastAsia" w:ascii="黑体" w:hAnsi="黑体" w:eastAsia="黑体" w:cs="黑体"/>
          <w:b/>
          <w:bCs/>
          <w:color w:val="000000"/>
          <w:sz w:val="28"/>
          <w:szCs w:val="28"/>
        </w:rPr>
        <w:t>四、评奖程序</w:t>
      </w:r>
    </w:p>
    <w:p>
      <w:pPr>
        <w:pStyle w:val="11"/>
        <w:spacing w:line="440" w:lineRule="exact"/>
        <w:ind w:firstLine="560" w:firstLineChars="200"/>
        <w:jc w:val="both"/>
        <w:rPr>
          <w:rFonts w:ascii="仿宋_GB2312" w:hAnsi="仿宋_GB2312" w:eastAsia="仿宋_GB2312" w:cs="仿宋_GB2312"/>
          <w:sz w:val="28"/>
          <w:szCs w:val="28"/>
        </w:rPr>
      </w:pPr>
      <w:bookmarkStart w:id="9" w:name="bookmark10"/>
      <w:bookmarkEnd w:id="9"/>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按“学校</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县（市、区）教研部门</w:t>
      </w:r>
      <w:r>
        <w:rPr>
          <w:rFonts w:hint="eastAsia" w:ascii="仿宋_GB2312" w:hAnsi="仿宋_GB2312" w:eastAsia="仿宋_GB2312" w:cs="仿宋_GB2312"/>
          <w:color w:val="000000"/>
          <w:sz w:val="28"/>
          <w:szCs w:val="28"/>
          <w:lang w:val="en-US" w:eastAsia="zh-CN" w:bidi="en-US"/>
        </w:rPr>
        <w:t>——</w:t>
      </w:r>
      <w:r>
        <w:rPr>
          <w:rFonts w:hint="eastAsia" w:ascii="仿宋_GB2312" w:hAnsi="仿宋_GB2312" w:eastAsia="仿宋_GB2312" w:cs="仿宋_GB2312"/>
          <w:color w:val="000000"/>
          <w:sz w:val="28"/>
          <w:szCs w:val="28"/>
        </w:rPr>
        <w:t>设区市教研部门</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省教研室</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000000"/>
          <w:sz w:val="28"/>
          <w:szCs w:val="28"/>
        </w:rPr>
        <w:t>程序逐级申报。</w:t>
      </w:r>
    </w:p>
    <w:p>
      <w:pPr>
        <w:pStyle w:val="11"/>
        <w:tabs>
          <w:tab w:val="left" w:pos="718"/>
        </w:tabs>
        <w:spacing w:line="440" w:lineRule="exact"/>
        <w:ind w:firstLine="560" w:firstLineChars="200"/>
        <w:jc w:val="both"/>
        <w:rPr>
          <w:rFonts w:ascii="仿宋_GB2312" w:hAnsi="仿宋_GB2312" w:eastAsia="仿宋_GB2312" w:cs="仿宋_GB2312"/>
          <w:sz w:val="28"/>
          <w:szCs w:val="28"/>
        </w:rPr>
      </w:pPr>
      <w:bookmarkStart w:id="10" w:name="bookmark11"/>
      <w:bookmarkEnd w:id="10"/>
      <w:r>
        <w:rPr>
          <w:rFonts w:hint="eastAsia" w:ascii="仿宋_GB2312" w:hAnsi="仿宋_GB2312" w:eastAsia="仿宋_GB2312" w:cs="仿宋_GB2312"/>
          <w:color w:val="000000"/>
          <w:sz w:val="28"/>
          <w:szCs w:val="28"/>
          <w:lang w:val="en-US"/>
        </w:rPr>
        <w:t>2.</w:t>
      </w:r>
      <w:r>
        <w:rPr>
          <w:rFonts w:hint="eastAsia" w:ascii="仿宋_GB2312" w:hAnsi="仿宋_GB2312" w:eastAsia="仿宋_GB2312" w:cs="仿宋_GB2312"/>
          <w:sz w:val="28"/>
          <w:szCs w:val="28"/>
        </w:rPr>
        <w:t>申报人</w:t>
      </w:r>
      <w:r>
        <w:rPr>
          <w:rFonts w:hint="eastAsia" w:ascii="仿宋_GB2312" w:hAnsi="仿宋_GB2312" w:eastAsia="仿宋_GB2312" w:cs="仿宋_GB2312"/>
          <w:color w:val="000000"/>
          <w:sz w:val="28"/>
          <w:szCs w:val="28"/>
        </w:rPr>
        <w:t>在江苏省教研室网站</w:t>
      </w:r>
      <w:r>
        <w:rPr>
          <w:rFonts w:hint="eastAsia" w:ascii="仿宋_GB2312" w:hAnsi="仿宋_GB2312" w:eastAsia="仿宋_GB2312" w:cs="仿宋_GB2312"/>
          <w:color w:val="000000"/>
          <w:sz w:val="28"/>
          <w:szCs w:val="28"/>
          <w:lang w:val="en-US" w:bidi="en-US"/>
        </w:rPr>
        <w:t>（http://www.jssjys.com）</w:t>
      </w:r>
      <w:r>
        <w:rPr>
          <w:rFonts w:hint="eastAsia" w:ascii="仿宋_GB2312" w:hAnsi="仿宋_GB2312" w:eastAsia="仿宋_GB2312" w:cs="仿宋_GB2312"/>
          <w:color w:val="000000"/>
          <w:sz w:val="28"/>
          <w:szCs w:val="28"/>
        </w:rPr>
        <w:t>中的“课题研究”栏目中下载《江苏省教学研究第十二期课题参评目录表》</w:t>
      </w:r>
      <w:r>
        <w:rPr>
          <w:rFonts w:hint="eastAsia" w:ascii="仿宋_GB2312" w:hAnsi="仿宋_GB2312" w:eastAsia="仿宋_GB2312" w:cs="仿宋_GB2312"/>
          <w:sz w:val="28"/>
          <w:szCs w:val="28"/>
        </w:rPr>
        <w:t>（附件3）</w:t>
      </w:r>
      <w:r>
        <w:rPr>
          <w:rFonts w:hint="eastAsia" w:ascii="仿宋_GB2312" w:hAnsi="仿宋_GB2312" w:eastAsia="仿宋_GB2312" w:cs="仿宋_GB2312"/>
          <w:color w:val="000000"/>
          <w:sz w:val="28"/>
          <w:szCs w:val="28"/>
        </w:rPr>
        <w:t>，填写完毕用</w:t>
      </w:r>
      <w:r>
        <w:rPr>
          <w:rFonts w:hint="eastAsia" w:ascii="仿宋_GB2312" w:hAnsi="仿宋_GB2312" w:eastAsia="仿宋_GB2312" w:cs="仿宋_GB2312"/>
          <w:color w:val="000000"/>
          <w:sz w:val="28"/>
          <w:szCs w:val="28"/>
          <w:lang w:val="en-US" w:bidi="en-US"/>
        </w:rPr>
        <w:t>word</w:t>
      </w:r>
      <w:r>
        <w:rPr>
          <w:rFonts w:hint="eastAsia" w:ascii="仿宋_GB2312" w:hAnsi="仿宋_GB2312" w:eastAsia="仿宋_GB2312" w:cs="仿宋_GB2312"/>
          <w:color w:val="000000"/>
          <w:sz w:val="28"/>
          <w:szCs w:val="28"/>
        </w:rPr>
        <w:t>文档形式通过附件发至</w:t>
      </w:r>
      <w:r>
        <w:rPr>
          <w:rFonts w:hint="eastAsia" w:ascii="仿宋_GB2312" w:hAnsi="仿宋_GB2312" w:eastAsia="仿宋_GB2312" w:cs="仿宋_GB2312"/>
          <w:sz w:val="28"/>
          <w:szCs w:val="28"/>
          <w:lang w:val="en-US" w:bidi="en-US"/>
        </w:rPr>
        <w:t>指定邮箱</w:t>
      </w:r>
      <w:r>
        <w:rPr>
          <w:rFonts w:hint="eastAsia" w:ascii="仿宋_GB2312" w:hAnsi="仿宋_GB2312" w:eastAsia="仿宋_GB2312" w:cs="仿宋_GB2312"/>
          <w:color w:val="000000"/>
          <w:sz w:val="28"/>
          <w:szCs w:val="28"/>
          <w:vertAlign w:val="subscript"/>
          <w:lang w:val="en-US" w:bidi="en-US"/>
        </w:rPr>
        <w:t>o</w:t>
      </w:r>
    </w:p>
    <w:p>
      <w:pPr>
        <w:pStyle w:val="11"/>
        <w:tabs>
          <w:tab w:val="left" w:pos="718"/>
        </w:tabs>
        <w:spacing w:line="440" w:lineRule="exact"/>
        <w:ind w:firstLine="560" w:firstLineChars="200"/>
        <w:jc w:val="both"/>
        <w:rPr>
          <w:rFonts w:ascii="仿宋_GB2312" w:hAnsi="仿宋_GB2312" w:eastAsia="PMingLiU" w:cs="仿宋_GB2312"/>
          <w:sz w:val="28"/>
          <w:szCs w:val="28"/>
        </w:rPr>
      </w:pPr>
      <w:bookmarkStart w:id="11" w:name="bookmark12"/>
      <w:bookmarkEnd w:id="11"/>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sz w:val="28"/>
          <w:szCs w:val="28"/>
          <w:lang w:eastAsia="zh-CN"/>
        </w:rPr>
        <w:t>省教研室</w:t>
      </w:r>
      <w:r>
        <w:rPr>
          <w:rFonts w:hint="eastAsia" w:ascii="仿宋_GB2312" w:hAnsi="仿宋_GB2312" w:eastAsia="仿宋_GB2312" w:cs="仿宋_GB2312"/>
          <w:color w:val="000000"/>
          <w:sz w:val="28"/>
          <w:szCs w:val="28"/>
        </w:rPr>
        <w:t>将组织专家对</w:t>
      </w:r>
      <w:r>
        <w:rPr>
          <w:rFonts w:hint="eastAsia" w:ascii="仿宋_GB2312" w:hAnsi="仿宋_GB2312" w:eastAsia="仿宋_GB2312" w:cs="仿宋_GB2312"/>
          <w:sz w:val="28"/>
          <w:szCs w:val="28"/>
          <w:lang w:eastAsia="zh-CN"/>
        </w:rPr>
        <w:t>相关材料</w:t>
      </w:r>
      <w:r>
        <w:rPr>
          <w:rFonts w:hint="eastAsia" w:ascii="仿宋_GB2312" w:hAnsi="仿宋_GB2312" w:eastAsia="仿宋_GB2312" w:cs="仿宋_GB2312"/>
          <w:color w:val="000000"/>
          <w:sz w:val="28"/>
          <w:szCs w:val="28"/>
        </w:rPr>
        <w:t>评奖，获奖名单与第十四期课题评审结果一并公布。</w:t>
      </w:r>
    </w:p>
    <w:p>
      <w:pPr>
        <w:pStyle w:val="11"/>
        <w:tabs>
          <w:tab w:val="left" w:pos="718"/>
        </w:tabs>
        <w:spacing w:line="440" w:lineRule="exact"/>
        <w:ind w:firstLine="0"/>
        <w:jc w:val="both"/>
        <w:rPr>
          <w:rFonts w:hint="eastAsia" w:ascii="仿宋_GB2312" w:hAnsi="仿宋_GB2312" w:eastAsia="PMingLiU" w:cs="仿宋_GB2312"/>
          <w:sz w:val="28"/>
          <w:szCs w:val="28"/>
        </w:rPr>
      </w:pPr>
    </w:p>
    <w:p>
      <w:pPr>
        <w:rPr>
          <w:rFonts w:hint="eastAsia" w:ascii="黑体" w:hAnsi="黑体" w:eastAsia="黑体" w:cs="黑体"/>
          <w:b/>
          <w:bCs/>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A50"/>
    <w:rsid w:val="00297A50"/>
    <w:rsid w:val="0088746D"/>
    <w:rsid w:val="00BE45B5"/>
    <w:rsid w:val="00F75DB7"/>
    <w:rsid w:val="7E776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pPr>
    <w:rPr>
      <w:rFonts w:asciiTheme="minorHAnsi" w:hAnsiTheme="minorHAnsi" w:eastAsiaTheme="minorEastAsia" w:cstheme="minorBidi"/>
      <w:color w:val="auto"/>
      <w:kern w:val="2"/>
      <w:sz w:val="18"/>
      <w:szCs w:val="18"/>
      <w:lang w:eastAsia="zh-CN" w:bidi="ar-SA"/>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lang w:eastAsia="zh-CN" w:bidi="ar-SA"/>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Body text|4_"/>
    <w:basedOn w:val="5"/>
    <w:link w:val="9"/>
    <w:qFormat/>
    <w:uiPriority w:val="0"/>
    <w:rPr>
      <w:rFonts w:ascii="宋体" w:hAnsi="宋体" w:eastAsia="宋体" w:cs="宋体"/>
      <w:sz w:val="20"/>
      <w:szCs w:val="20"/>
      <w:lang w:val="zh-TW" w:eastAsia="zh-TW" w:bidi="zh-TW"/>
    </w:rPr>
  </w:style>
  <w:style w:type="paragraph" w:customStyle="1" w:styleId="9">
    <w:name w:val="Body text|4"/>
    <w:basedOn w:val="1"/>
    <w:link w:val="8"/>
    <w:qFormat/>
    <w:uiPriority w:val="0"/>
    <w:pPr>
      <w:spacing w:after="320" w:line="276" w:lineRule="auto"/>
    </w:pPr>
    <w:rPr>
      <w:rFonts w:ascii="宋体" w:hAnsi="宋体" w:eastAsia="宋体" w:cs="宋体"/>
      <w:color w:val="auto"/>
      <w:kern w:val="2"/>
      <w:sz w:val="20"/>
      <w:szCs w:val="20"/>
      <w:lang w:val="zh-TW" w:eastAsia="zh-TW" w:bidi="zh-TW"/>
    </w:rPr>
  </w:style>
  <w:style w:type="character" w:customStyle="1" w:styleId="10">
    <w:name w:val="Body text|1_"/>
    <w:basedOn w:val="5"/>
    <w:link w:val="11"/>
    <w:uiPriority w:val="0"/>
    <w:rPr>
      <w:rFonts w:ascii="MingLiU" w:hAnsi="MingLiU" w:eastAsia="MingLiU" w:cs="MingLiU"/>
      <w:sz w:val="20"/>
      <w:szCs w:val="20"/>
      <w:lang w:val="zh-TW" w:eastAsia="zh-TW" w:bidi="zh-TW"/>
    </w:rPr>
  </w:style>
  <w:style w:type="paragraph" w:customStyle="1" w:styleId="11">
    <w:name w:val="Body text|1"/>
    <w:basedOn w:val="1"/>
    <w:link w:val="10"/>
    <w:qFormat/>
    <w:uiPriority w:val="0"/>
    <w:pPr>
      <w:spacing w:line="312" w:lineRule="auto"/>
      <w:ind w:firstLine="400"/>
    </w:pPr>
    <w:rPr>
      <w:rFonts w:ascii="MingLiU" w:hAnsi="MingLiU" w:eastAsia="MingLiU" w:cs="MingLiU"/>
      <w:color w:val="auto"/>
      <w:kern w:val="2"/>
      <w:sz w:val="20"/>
      <w:szCs w:val="20"/>
      <w:lang w:val="zh-TW" w:eastAsia="zh-TW" w:bidi="zh-TW"/>
    </w:rPr>
  </w:style>
  <w:style w:type="character" w:customStyle="1" w:styleId="12">
    <w:name w:val="Body text|2_"/>
    <w:basedOn w:val="5"/>
    <w:link w:val="13"/>
    <w:qFormat/>
    <w:uiPriority w:val="0"/>
    <w:rPr>
      <w:rFonts w:ascii="MingLiU" w:hAnsi="MingLiU" w:eastAsia="MingLiU" w:cs="MingLiU"/>
      <w:lang w:val="zh-TW" w:eastAsia="zh-TW" w:bidi="zh-TW"/>
    </w:rPr>
  </w:style>
  <w:style w:type="paragraph" w:customStyle="1" w:styleId="13">
    <w:name w:val="Body text|2"/>
    <w:basedOn w:val="1"/>
    <w:link w:val="12"/>
    <w:qFormat/>
    <w:uiPriority w:val="0"/>
    <w:pPr>
      <w:spacing w:after="160"/>
      <w:ind w:firstLine="600"/>
    </w:pPr>
    <w:rPr>
      <w:rFonts w:ascii="MingLiU" w:hAnsi="MingLiU" w:eastAsia="MingLiU" w:cs="MingLiU"/>
      <w:color w:val="auto"/>
      <w:kern w:val="2"/>
      <w:sz w:val="21"/>
      <w:szCs w:val="22"/>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172</Words>
  <Characters>985</Characters>
  <Lines>8</Lines>
  <Paragraphs>2</Paragraphs>
  <TotalTime>0</TotalTime>
  <ScaleCrop>false</ScaleCrop>
  <LinksUpToDate>false</LinksUpToDate>
  <CharactersWithSpaces>1155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2021-05-17T05:35:00Z</dcterms:created>
  <dc:creator>王俊</dc:creator>
  <cp:lastModifiedBy>Cherish</cp:lastModifiedBy>
  <dcterms:modified xsi:type="dcterms:W3CDTF">2021-05-17T08:03:11Z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408B059A9E024942AFAD71192132C6D9</vt:lpwstr>
  </property>
</Properties>
</file>