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游戏情境激发思维火花 游戏学习助推思维生长</w:t>
      </w:r>
    </w:p>
    <w:p>
      <w:pPr>
        <w:rPr>
          <w:rFonts w:ascii="黑体" w:hAnsi="黑体" w:eastAsia="黑体"/>
          <w:color w:val="000000" w:themeColor="text1"/>
          <w:szCs w:val="21"/>
          <w14:textFill>
            <w14:solidFill>
              <w14:schemeClr w14:val="tx1"/>
            </w14:solidFill>
          </w14:textFill>
        </w:rPr>
      </w:pPr>
      <w:r>
        <w:rPr>
          <w:rFonts w:hint="eastAsia"/>
        </w:rPr>
        <w:t xml:space="preserve">                    ——</w:t>
      </w:r>
      <w:r>
        <w:rPr>
          <w:rFonts w:hint="eastAsia" w:ascii="黑体" w:hAnsi="黑体" w:eastAsia="黑体"/>
          <w:color w:val="000000" w:themeColor="text1"/>
          <w:szCs w:val="21"/>
          <w14:textFill>
            <w14:solidFill>
              <w14:schemeClr w14:val="tx1"/>
            </w14:solidFill>
          </w14:textFill>
        </w:rPr>
        <w:t>以ü为例浅谈统编版教材拼音教学的情境化与游戏化</w:t>
      </w:r>
    </w:p>
    <w:p>
      <w:pPr>
        <w:rPr>
          <w:rFonts w:ascii="黑体" w:hAnsi="黑体" w:eastAsia="黑体"/>
          <w:color w:val="000000" w:themeColor="text1"/>
          <w:szCs w:val="21"/>
          <w14:textFill>
            <w14:solidFill>
              <w14:schemeClr w14:val="tx1"/>
            </w14:solidFill>
          </w14:textFill>
        </w:rPr>
      </w:pPr>
    </w:p>
    <w:p>
      <w:pPr>
        <w:spacing w:line="440" w:lineRule="exact"/>
        <w:jc w:val="center"/>
        <w:rPr>
          <w:rFonts w:hint="eastAsia" w:ascii="宋体" w:hAnsi="宋体" w:eastAsia="宋体" w:cs="宋体"/>
          <w:lang w:val="en-US" w:eastAsia="zh-CN"/>
        </w:rPr>
      </w:pPr>
      <w:bookmarkStart w:id="0" w:name="OLE_LINK1"/>
      <w:bookmarkStart w:id="1" w:name="OLE_LINK2"/>
      <w:r>
        <w:rPr>
          <w:rFonts w:hint="eastAsia" w:ascii="宋体" w:hAnsi="宋体" w:eastAsia="宋体" w:cs="宋体"/>
          <w:lang w:eastAsia="zh-CN"/>
        </w:rPr>
        <w:t>常州市觅渡教育集团</w:t>
      </w:r>
      <w:r>
        <w:rPr>
          <w:rFonts w:hint="eastAsia" w:ascii="宋体" w:hAnsi="宋体" w:eastAsia="宋体" w:cs="宋体"/>
          <w:lang w:val="en-US" w:eastAsia="zh-CN"/>
        </w:rPr>
        <w:t xml:space="preserve">  何依洋</w:t>
      </w:r>
    </w:p>
    <w:p>
      <w:pPr>
        <w:spacing w:line="440" w:lineRule="exact"/>
        <w:rPr>
          <w:rFonts w:ascii="楷体" w:hAnsi="楷体" w:eastAsia="楷体"/>
        </w:rPr>
      </w:pPr>
      <w:r>
        <w:rPr>
          <w:rFonts w:hint="eastAsia" w:ascii="楷体" w:hAnsi="楷体" w:eastAsia="楷体"/>
        </w:rPr>
        <w:t>摘要：统编版教材的逐步革新与完善，推动着语文思维课堂的转型与发展。“为思维而教”已成为教学目标的应然追求，而统编版教材蕴含思维培育之逻辑，可作为学生思维的落脚点。教师应基于教材和学生特征创生游戏情境进行教学，让游戏情境成为学生思维的触发点，激发思维火花，助推思维生长。拼音的读写规则作为学生思维的生长点，引发学生的学习联想与串联学习，并为今后的语文识字学习奠定基础。</w:t>
      </w:r>
    </w:p>
    <w:p>
      <w:pPr>
        <w:rPr>
          <w:rFonts w:ascii="楷体" w:hAnsi="楷体" w:eastAsia="楷体"/>
        </w:rPr>
      </w:pPr>
    </w:p>
    <w:p>
      <w:pPr>
        <w:spacing w:line="440" w:lineRule="exact"/>
        <w:rPr>
          <w:rFonts w:ascii="楷体" w:hAnsi="楷体" w:eastAsia="楷体"/>
        </w:rPr>
      </w:pPr>
      <w:r>
        <w:rPr>
          <w:rFonts w:hint="eastAsia" w:ascii="楷体" w:hAnsi="楷体" w:eastAsia="楷体"/>
        </w:rPr>
        <w:t>关键词：游戏化教学；小学拼音；统编版教材</w:t>
      </w:r>
    </w:p>
    <w:p>
      <w:pPr>
        <w:spacing w:line="440" w:lineRule="exact"/>
        <w:rPr>
          <w:rFonts w:ascii="楷体" w:hAnsi="楷体" w:eastAsia="楷体"/>
        </w:rPr>
      </w:pP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在小学语文低年段的学习中，拼音是识字的基础。随着素质教育的不断推进，针对小学低年段学生容易注意力不集中、提前学习拼音等问题，游戏在小学拼音中的应用正在逐渐强化，统编版教材的单元设计与板块设计也体现了拼音教学的情境化与游戏化倾向。本文旨在以单韵母ü的读写规则作为学生思维的生长点，讨论并提出游戏化教学在小学拼音教学中的几点可行性策略，引导学生自主掌握读写规则。</w:t>
      </w:r>
    </w:p>
    <w:p>
      <w:pPr>
        <w:spacing w:line="440" w:lineRule="exact"/>
        <w:ind w:firstLine="482" w:firstLineChars="200"/>
        <w:rPr>
          <w:rFonts w:asciiTheme="minorEastAsia" w:hAnsiTheme="minorEastAsia" w:eastAsiaTheme="minorEastAsia"/>
          <w:b/>
        </w:rPr>
      </w:pPr>
      <w:r>
        <w:rPr>
          <w:rFonts w:hint="eastAsia" w:asciiTheme="minorEastAsia" w:hAnsiTheme="minorEastAsia" w:eastAsiaTheme="minorEastAsia"/>
          <w:b/>
        </w:rPr>
        <w:t>一、统编版教材设计——学生思维落脚点</w:t>
      </w:r>
    </w:p>
    <w:p>
      <w:pPr>
        <w:spacing w:line="440" w:lineRule="exact"/>
        <w:ind w:firstLine="360" w:firstLineChars="150"/>
      </w:pPr>
      <w:r>
        <w:rPr>
          <w:rFonts w:hint="eastAsia"/>
          <w:color w:val="000000" w:themeColor="text1"/>
          <w14:textFill>
            <w14:solidFill>
              <w14:schemeClr w14:val="tx1"/>
            </w14:solidFill>
          </w14:textFill>
        </w:rPr>
        <w:t>《普通高中语文学科课程标准（2017年版）》提出了四种语文核心素养，即：语言建构与运用、思维发展与提升、审美鉴赏与创造、文化传承与理解。</w:t>
      </w:r>
      <w:r>
        <w:rPr>
          <w:rStyle w:val="14"/>
          <w:color w:val="000000" w:themeColor="text1"/>
          <w14:textFill>
            <w14:solidFill>
              <w14:schemeClr w14:val="tx1"/>
            </w14:solidFill>
          </w14:textFill>
        </w:rPr>
        <w:footnoteReference w:id="0"/>
      </w:r>
      <w:r>
        <w:rPr>
          <w:rFonts w:hint="eastAsia"/>
          <w:color w:val="000000" w:themeColor="text1"/>
          <w14:textFill>
            <w14:solidFill>
              <w14:schemeClr w14:val="tx1"/>
            </w14:solidFill>
          </w14:textFill>
        </w:rPr>
        <w:t>其中“发展思维能力” “提升思维品质”等具体课程目标均指向思维能力的培养。由此可见，</w:t>
      </w:r>
      <w:r>
        <w:rPr>
          <w:rFonts w:hint="eastAsia" w:asciiTheme="minorEastAsia" w:hAnsiTheme="minorEastAsia" w:eastAsiaTheme="minorEastAsia"/>
        </w:rPr>
        <w:t>思维是语文学科核心素养的重要组成部分。语文是语言与思维的统一，以语言能力的形成促进思维能力的培养是语文学科发展的前沿方向。</w:t>
      </w:r>
    </w:p>
    <w:p>
      <w:pPr>
        <w:spacing w:line="440" w:lineRule="exact"/>
        <w:ind w:firstLine="480" w:firstLineChars="200"/>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（一）“为思维而教”是教学目标的应然追求</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近年来，许多学者提出“知识与思维应作为教育应该坚固的两个维度和层面”， 这也与区“学会思维”的教学改革研究工程不谋而合：“为思维而教”是教学目标的应然追求。</w:t>
      </w:r>
    </w:p>
    <w:p>
      <w:pPr>
        <w:spacing w:line="440" w:lineRule="exact"/>
        <w:ind w:firstLine="480" w:firstLineChars="200"/>
      </w:pPr>
      <w:r>
        <w:rPr>
          <w:rFonts w:hint="eastAsia"/>
        </w:rPr>
        <w:t>在目前的教学中，许多一线教师发现学生掌握知识，却缺少个性思维，也不能在真实情境中灵活运用，“学会思维”的课堂转型迫在眉睫。</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在小学语文学科的教学上，我们可以从当前高中语文课程标准的改革中得到一些启发：语文学科当前探索的主要方向，就应当在训练思维——训练不同形态的语文思维上，这一观点不仅为高中语文课程标准到小学语文课程标准一贯制继承与创新的实现提供了思路，也是基于江苏</w:t>
      </w:r>
      <w:r>
        <w:rPr>
          <w:rFonts w:hint="eastAsia"/>
        </w:rPr>
        <w:t>省教学改革实验重大项目《新时代发展素质教育区域范式的实践探索》背景下区</w:t>
      </w:r>
      <w:r>
        <w:rPr>
          <w:rFonts w:hint="eastAsia" w:asciiTheme="minorEastAsia" w:hAnsiTheme="minorEastAsia" w:eastAsiaTheme="minorEastAsia"/>
        </w:rPr>
        <w:t>“学会思维”重要课题应运而生的观点支撑。如果我们将传统意义上的“听、说、读、写”四个板块通过语文思维形态的分类而自然分割成思维品质与思维能力，从而了解到语文思维的具体含义，那么“为思维而教”就是具体可感的，是有落脚点的。所以，不管是“为思维而教”还是“学会思维”，都是一种挑战，它要求教师关注问题的整体性、指向性、挑战性，从发展性思维目标的教学设计入手，通过情境场、引爆点、跃迁位等一系列教学活动引导学生自主</w:t>
      </w:r>
      <w:r>
        <w:rPr>
          <w:rFonts w:hint="eastAsia" w:asciiTheme="minorEastAsia" w:hAnsiTheme="minorEastAsia" w:eastAsiaTheme="minorEastAsia"/>
          <w:color w:val="000000" w:themeColor="text1"/>
          <w14:textFill>
            <w14:solidFill>
              <w14:schemeClr w14:val="tx1"/>
            </w14:solidFill>
          </w14:textFill>
        </w:rPr>
        <w:t>关注语</w:t>
      </w:r>
      <w:r>
        <w:rPr>
          <w:rFonts w:hint="eastAsia"/>
          <w:color w:val="000000" w:themeColor="text1"/>
          <w14:textFill>
            <w14:solidFill>
              <w14:schemeClr w14:val="tx1"/>
            </w14:solidFill>
          </w14:textFill>
        </w:rPr>
        <w:t>言表达背后的思维规律，</w:t>
      </w:r>
      <w:r>
        <w:rPr>
          <w:rFonts w:hint="eastAsia" w:asciiTheme="minorEastAsia" w:hAnsiTheme="minorEastAsia" w:eastAsiaTheme="minorEastAsia"/>
        </w:rPr>
        <w:t>并以具体的知识内容去带动抽象的思维发展。这也是一种机遇，不管是新老师，还是有经验的教育教学工作者，都需要重新认真研读统编本教材，从文本中提取“语文要素”，设计教学环节，落实教学活动，促进教学反思。</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（二）统编版教材蕴含思维培育之逻辑</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统编版教材将语文必备的知识和能力、策略及思维分成若干个训练点，分布在每年级、每单元的单元导语、课后习题、语文园地中，这些则被称之为语文要素。每个单元，都为双线组织，在人文主题上相对统一，又在语文要素中相对明确，使教师在教学时注重知识和能力的双向培养。以低年段教材为例，一年级下学期最后一单元出现两篇不注音课文《咕咚》《小壁虎借尾巴》，首次提出自主识字，二年级上学期最后一单元出现两篇不注音课文《纸船和风筝》《风娃娃》，课后习题中均涉及到“用学过的方法猜猜读音”，三年级的课文开始个别字注音，这样的编排，体现了从学习新知到理解运用的过程，形成了相互联系、逐步提高要求的整体，提高学生自主识字、整体认字的能力，将自主识字的要求有机渗透到各年级教材中，以引起螺旋式上升的思维发展。统编版教材从编排形式上不断变革，暗含思维培育之逻辑。</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统编版教材在一年级上册单元设计上首先安排了一个识字单元，再安排了汉语拼音两个单元，就可以看出拼音与识字教学相结合的特点。拼音第一板块有8课拼音和1个语文园地，学习内容包括6个单韵母，23个声母和10个整体认读音节，还穿插编排了儿歌、词语以及认读字。拼音第二板块有5课拼音和1个语文园地，学习内容包括9个复韵母、9个鼻韵母和6个整体认读音节，还穿插安排了儿歌、词语以及认读字。13课拼音，共11课安排了词语拼读，10课安排了儿歌朗读。统编版教材的编排导向显而易见：将识字与拼音的学习有机地融为一体，拼音帮助认读汉字，汉字帮助读准拼音，学生学以致用，从中体会拼音学习的价值。</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（三）基于教材和学生特征创生游戏情境</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因此，在设计拼音教学时，教师需要根据教材特点和一年级学生的认知特点，以一颗童心串联情境和内容，让学生在轻松愉悦的情境中朗读，营造开放民主和谐的课堂氛围，让学生主动参与到学习中来。结合生活实际与当代时代的特点，注意拼音与识字的联系，不仅有利于学生记字形、了字义，还便于在此基础之上让学生在识字单元初步运用拼音学习方法感知识字，此环节指向培养学生的直觉思维，关注思维的感悟力与反应力、转换力，提升思维的敏捷性与迁移运用。</w:t>
      </w:r>
    </w:p>
    <w:p>
      <w:pPr>
        <w:spacing w:line="440" w:lineRule="exact"/>
        <w:ind w:firstLine="480" w:firstLineChars="200"/>
        <w:rPr>
          <w:rFonts w:asciiTheme="minorEastAsia" w:hAnsiTheme="minorEastAsia" w:eastAsiaTheme="minorEastAsia"/>
        </w:rPr>
      </w:pPr>
      <w:r>
        <w:rPr>
          <w:rFonts w:hint="eastAsia" w:asciiTheme="minorEastAsia" w:hAnsiTheme="minorEastAsia" w:eastAsiaTheme="minorEastAsia"/>
        </w:rPr>
        <w:t>在拼音单元每一课的板块设计主要包含了这几部分内容：字母、情境图、音节、词语、儿歌、识字和拼音书写，其中情境图既能够激发学生学习的兴趣，也能使他们从字形、字音上更快掌握拼音的书写与朗读，甚至可以增强他们看图说话的语言组织能力。而游戏教学法是小学低年段的主要教学方法，尤其在拼音教学中，常常起到至关重要的促进作用。《义务教育语文课程标准（2011 版）》 在“实施建议”中指出：“汉语拼音教学要尽可能有趣味性，宜采用活动和游戏的形式。”</w:t>
      </w:r>
      <w:r>
        <w:rPr>
          <w:rStyle w:val="14"/>
          <w:rFonts w:asciiTheme="minorEastAsia" w:hAnsiTheme="minorEastAsia" w:eastAsiaTheme="minorEastAsia"/>
        </w:rPr>
        <w:footnoteReference w:id="1"/>
      </w:r>
      <w:r>
        <w:rPr>
          <w:rFonts w:hint="eastAsia" w:asciiTheme="minorEastAsia" w:hAnsiTheme="minorEastAsia" w:eastAsiaTheme="minorEastAsia"/>
        </w:rPr>
        <w:t>因此，本文认为，紧扣教材、善于利用教材创生游戏方法、联系生活情境是游戏化教学在拼音教学中不可或缺的一部分。</w:t>
      </w:r>
    </w:p>
    <w:p/>
    <w:p>
      <w:pPr>
        <w:pStyle w:val="22"/>
        <w:numPr>
          <w:ilvl w:val="0"/>
          <w:numId w:val="2"/>
        </w:numPr>
        <w:ind w:firstLineChars="0"/>
        <w:rPr>
          <w:b/>
          <w:sz w:val="24"/>
        </w:rPr>
      </w:pPr>
      <w:r>
        <w:rPr>
          <w:rFonts w:hint="eastAsia"/>
          <w:b/>
          <w:sz w:val="24"/>
        </w:rPr>
        <w:t>创设游戏教学情境——学生思维触发点</w:t>
      </w:r>
    </w:p>
    <w:p>
      <w:pPr>
        <w:spacing w:line="440" w:lineRule="exact"/>
        <w:ind w:firstLine="480" w:firstLineChars="200"/>
        <w:rPr>
          <w:b/>
        </w:rPr>
      </w:pPr>
      <w:r>
        <w:rPr>
          <w:rFonts w:hint="eastAsia"/>
        </w:rPr>
        <w:t>“小孩子生来是以游戏为生命的。”</w:t>
      </w:r>
      <w:r>
        <w:rPr>
          <w:rStyle w:val="14"/>
        </w:rPr>
        <w:footnoteReference w:id="2"/>
      </w:r>
      <w:r>
        <w:rPr>
          <w:rFonts w:hint="eastAsia"/>
        </w:rPr>
        <w:t>我国著名的儿童心理学家、教育学家陈鹤琴先生曾提到过这种心理特性，同样也在启示我们，在新课改的背景下，课堂教学的变革要遵循游戏精神，将游戏进入寻常课堂，植入学生的学习体验旅程，释放儿童的身心，让孩子在玩中学习。也就是说，优化拼音教学，不妨让“语文游戏”来当助手，实施教学设计转型，让学生享受课堂。</w:t>
      </w:r>
    </w:p>
    <w:p>
      <w:pPr>
        <w:spacing w:line="440" w:lineRule="exact"/>
        <w:ind w:firstLine="480" w:firstLineChars="200"/>
      </w:pPr>
      <w:r>
        <w:rPr>
          <w:rFonts w:hint="eastAsia"/>
        </w:rPr>
        <w:t>（一）利用教材情境，自主发现音、形元素</w:t>
      </w:r>
    </w:p>
    <w:p>
      <w:pPr>
        <w:spacing w:line="440" w:lineRule="exact"/>
      </w:pPr>
      <w:r>
        <w:rPr>
          <w:rFonts w:hint="eastAsia"/>
        </w:rPr>
        <w:t xml:space="preserve">    统编版教材的情境图是非常独特的，单韵母与声母的情境图既有音又有形，很容易激发学生的学习兴趣，培养他们的观察能力。单韵母ü在情境图里是一条弯弯的金鱼加两个泡泡，这种“习得”的可得性使他们学会自己编口诀记住这个单韵母：一条金鱼üüü，金鱼吐泡üüü，教师只需在这个过程相机引导学生思考编口诀的缘由，通过自主学习、研究让学生发现教材情境图里的音、形元素，自己学会编口诀来巩固记忆，增强了拼音学习的有效性和趣味性。然而“ü”是特殊的，包括 “üe”和“ün”。当ü与其他声母、韵母组合成整体认读音节yu、yue、yun及复韵母üe、ün后，在教学时则需要更多的情境化来提升学生的认读感知，教材的情境图无法用形象的图片来表示他们的字形，但是我们常常会运用故事＋儿歌的方式组合教学：</w:t>
      </w:r>
      <w:r>
        <w:rPr>
          <w:rFonts w:hint="eastAsia"/>
          <w:i/>
        </w:rPr>
        <w:t>有个故事是这样的：小ü是个非常有礼貌的孩子，它在见到“j、q、x、y”时，就会摘下眼镜笑嘻嘻，“j、q、x、y”就很高兴和它组成音节啦！儿歌帮助识记：小ü小ü有礼貌，见到“j、q、x和y”，摘下眼镜笑嘻嘻。</w:t>
      </w:r>
      <w:r>
        <w:rPr>
          <w:rFonts w:hint="eastAsia"/>
        </w:rPr>
        <w:t>当孩子记住儿歌时，他就能清晰地认识到ü的特殊性在于遇到这几个声母的时候，书写变换了形式，在拼读时仍然读ü。日常教学中，孩子会提出这样的课堂性生成问题让人惊喜：ü在标声调时带着声调帽是因为那两点是它的眼镜，所以碰到声母有礼貌地摘眼镜，但不影响它戴声调帽，i戴声调帽却把自己的一点去掉，因为那一点本身就是它的帽子吗？学生在课堂上有这样的生成性思考，说明他们熟练掌握且认可了ü的情境化教学，并能衍生到其他拼音的学习中去，形成良性循环。此时，再回到教材，用情境图中的图片巩固读音，则更容易激发学生的情景联想能力，如以月亮巩固yue，以云朵巩固yun，学生自己学会组词，教师适时将识字教学与拼音教学相结合，借助情境图来展开一定的语言积累的短句练习，如“海岛上月儿圆”，“天门上云朵飘飘”等。因此，趣味化的教学手段不仅能够准确把握学生的学习特点，在实际教学中，将抽象、 乏味的字母符号转变成学生愿意学习的知识，也能激发孩子的联想与观察想象，使他们熟练掌握一定的学习方法。</w:t>
      </w:r>
    </w:p>
    <w:p>
      <w:pPr>
        <w:spacing w:line="440" w:lineRule="exact"/>
        <w:ind w:firstLine="480" w:firstLineChars="200"/>
      </w:pPr>
      <w:r>
        <w:rPr>
          <w:rFonts w:hint="eastAsia"/>
        </w:rPr>
        <w:t>（二）注重游戏的变式，巩固拼读成效</w:t>
      </w:r>
    </w:p>
    <w:p>
      <w:pPr>
        <w:spacing w:line="440" w:lineRule="exact"/>
        <w:ind w:firstLine="480" w:firstLineChars="200"/>
      </w:pPr>
      <w:r>
        <w:rPr>
          <w:rFonts w:hint="eastAsia"/>
        </w:rPr>
        <w:t>巩固并掌握拼读音节，反复练读是关键，枯燥的学习方式容易使他们逐渐淡化拼读兴趣。在课堂上设计游戏活动，让学生在游戏活动中熟练拼读是非常好的方法。我常用的游戏教学方式有：</w:t>
      </w:r>
    </w:p>
    <w:p>
      <w:pPr>
        <w:spacing w:line="440" w:lineRule="exact"/>
        <w:ind w:firstLine="480" w:firstLineChars="200"/>
      </w:pPr>
      <w:r>
        <w:rPr>
          <w:rFonts w:hint="eastAsia"/>
        </w:rPr>
        <w:t>1</w:t>
      </w:r>
      <w:r>
        <w:t>.</w:t>
      </w:r>
      <w:r>
        <w:rPr>
          <w:rFonts w:hint="eastAsia"/>
        </w:rPr>
        <w:t>利用卡片。用卡片复习音节效果最好，而且还可以反复使用。在卡片复习时，教师在讲台前举起手中卡片的时候，学生的眼神应该都落在卡片上，然后在动作的提醒下，齐读。这样做的作用一举多得：可以集中所有学生的注意力；可以让半生不熟的学生增强信心；可以让处于弱势的孩子跟着读读，再有一次练习的机会。拼音卡片可以在拼音复习课上发挥重要作用，尤其是韵母四大家族的分类：单韵母家族、复韵母家族、前鼻韵母家族、后鼻韵母家族。</w:t>
      </w:r>
    </w:p>
    <w:p>
      <w:pPr>
        <w:spacing w:line="440" w:lineRule="exact"/>
        <w:ind w:firstLine="480" w:firstLineChars="200"/>
      </w:pPr>
      <w:r>
        <w:rPr>
          <w:rFonts w:hint="eastAsia"/>
        </w:rPr>
        <w:t>2</w:t>
      </w:r>
      <w:r>
        <w:t>.</w:t>
      </w:r>
      <w:r>
        <w:rPr>
          <w:rFonts w:hint="eastAsia"/>
        </w:rPr>
        <w:t>设计合作性游戏。如两人同桌学习小组，或自己找小伙伴合作。一位拿声母卡片，另一位拿韵母卡片，相互找朋友，合在一起拼读。例如ü＋e合成üe，这其实也暗合了复韵母的组合形式，用单韵母加一加的方法，巩固了学生的复韵母学习。</w:t>
      </w:r>
    </w:p>
    <w:p>
      <w:pPr>
        <w:spacing w:line="440" w:lineRule="exact"/>
        <w:ind w:firstLine="480" w:firstLineChars="200"/>
      </w:pPr>
      <w:r>
        <w:rPr>
          <w:rFonts w:hint="eastAsia"/>
        </w:rPr>
        <w:t>3</w:t>
      </w:r>
      <w:r>
        <w:t>.</w:t>
      </w:r>
      <w:r>
        <w:rPr>
          <w:rFonts w:hint="eastAsia"/>
        </w:rPr>
        <w:t>设计辨析性游戏。请两位学生上台，一位面对着大家，用手指音节，示意大家要读的是这个音节；另一位学生背对着大家，得到声母后开始猜与其可以组合的韵母或复韵母：是不是</w:t>
      </w:r>
      <w:r>
        <w:t>lüè</w:t>
      </w:r>
      <w:r>
        <w:rPr>
          <w:rFonts w:hint="eastAsia"/>
        </w:rPr>
        <w:t>? “错错错，不是</w:t>
      </w:r>
      <w:r>
        <w:t>lüè</w:t>
      </w:r>
      <w:r>
        <w:rPr>
          <w:rFonts w:hint="eastAsia"/>
        </w:rPr>
        <w:t>。”或 “对对对，就是</w:t>
      </w:r>
      <w:r>
        <w:t>lüè</w:t>
      </w:r>
      <w:r>
        <w:rPr>
          <w:rFonts w:hint="eastAsia"/>
        </w:rPr>
        <w:t>”。学生在反复的组合游戏中，不知不觉熟读音节，学会判断音节组合的正误。</w:t>
      </w:r>
    </w:p>
    <w:p>
      <w:pPr>
        <w:spacing w:line="440" w:lineRule="exact"/>
        <w:ind w:firstLine="480" w:firstLineChars="200"/>
      </w:pPr>
      <w:r>
        <w:rPr>
          <w:rFonts w:hint="eastAsia"/>
        </w:rPr>
        <w:t>游戏的种类还有很多，只要老师们了解孩子心理，一定能设计出既能提高孩子拼读兴趣，又能掌握拼读能力的游戏来。学生的学习兴趣与学习效率相辅相成，许多善于学习的孩子也乐于自己创生、开发游戏，达到复习与掌握的效果。</w:t>
      </w:r>
    </w:p>
    <w:p>
      <w:pPr>
        <w:rPr>
          <w:b/>
        </w:rPr>
      </w:pPr>
    </w:p>
    <w:p>
      <w:pPr>
        <w:rPr>
          <w:b/>
        </w:rPr>
      </w:pPr>
      <w:r>
        <w:rPr>
          <w:rFonts w:hint="eastAsia"/>
          <w:b/>
        </w:rPr>
        <w:t>三、引导学生自主掌握读写规则——学生思维生长点</w:t>
      </w:r>
    </w:p>
    <w:p>
      <w:pPr>
        <w:pStyle w:val="22"/>
        <w:spacing w:line="440" w:lineRule="exact"/>
        <w:ind w:firstLine="480"/>
        <w:rPr>
          <w:sz w:val="24"/>
        </w:rPr>
      </w:pPr>
      <w:r>
        <w:rPr>
          <w:rFonts w:hint="eastAsia"/>
          <w:sz w:val="24"/>
        </w:rPr>
        <w:t>“语文游戏”增添了学习情趣，提高了学生的参与度，提升了学生的成就感， 激发了学生的学习热情。当然在拼音中，是有很多“规则”的，这对刚入学的一年级学生来讲，记住这些规则，是很有难度的。但没有哪个孩子是不爱听故事，尤其在故事情境中串联学习，巧妙地把“规则”融入故事中，能让学生更轻松、更准确地掌握“规则”。</w:t>
      </w:r>
    </w:p>
    <w:p>
      <w:pPr>
        <w:pStyle w:val="22"/>
        <w:numPr>
          <w:ilvl w:val="0"/>
          <w:numId w:val="3"/>
        </w:numPr>
        <w:spacing w:line="440" w:lineRule="exact"/>
        <w:ind w:firstLineChars="0"/>
        <w:rPr>
          <w:sz w:val="24"/>
        </w:rPr>
      </w:pPr>
      <w:r>
        <w:rPr>
          <w:rFonts w:hint="eastAsia"/>
          <w:sz w:val="24"/>
        </w:rPr>
        <w:t>掌握读写规则的有效引导</w:t>
      </w:r>
    </w:p>
    <w:p>
      <w:pPr>
        <w:spacing w:line="440" w:lineRule="exact"/>
        <w:ind w:firstLine="480" w:firstLineChars="200"/>
      </w:pPr>
      <w:r>
        <w:rPr>
          <w:rFonts w:hint="eastAsia"/>
        </w:rPr>
        <w:t>拼音与识字的学习是同步进行的。低年段的学生在阅读时需要借助拼音，在造句、写话时也需要借助拼音表达文字。在具体语境中学会拼音的多个读写规则，也是在为今后的语文学习道路扫清基本的字词拼读障碍。因此，掌握拼音的读写规则，有利于思维呈螺旋式上升的语文学习。拼音的多个规则在游戏情境中逐层分解、逐级消化，学生不容易产生畏难心理，而在学习时掌握了学习方法，融会贯通，在今后的生字学习时仍然运用其中，这就在不知不觉中提高了学生的思维反应力与转换力，引发学生的学习联想与串联学习。为了引发学生将思维的触角引向新的领域，启发学生思考，教师的问题设计关注文本，关注设计的整体性、指向性、挑战性，关注学生的思维生长点：你能自己想一想编一个故事区分iu与ui、ei与ie等易混淆的韵母吗？通过前两个读写规则教学的“收”已然就位，教师帮扶学生在故事情境下学习规则，掌握编系列故事的方法，现在迁移运用则是教学的“收”，经实践检验运用，学生往往能在此时带来自己都意想不到的惊喜：他们选取小蚂蚁、小乌龟、小白鹅等音近的卡通形象，讲述拼读规则，在自主思考中学会区别读音，在这其中还学会自己编儿歌着重强调读音，结合不同的读写方法训练语文思维的概括力和判断力。</w:t>
      </w:r>
    </w:p>
    <w:p>
      <w:pPr>
        <w:spacing w:line="440" w:lineRule="exact"/>
        <w:ind w:firstLine="480" w:firstLineChars="200"/>
      </w:pPr>
    </w:p>
    <w:p>
      <w:pPr>
        <w:spacing w:line="440" w:lineRule="exact"/>
      </w:pPr>
      <w:r>
        <w:rPr>
          <w:rFonts w:hint="eastAsia"/>
        </w:rPr>
        <w:t>（二）掌握读写规则的有效情境</w:t>
      </w:r>
    </w:p>
    <w:p>
      <w:pPr>
        <w:spacing w:line="440" w:lineRule="exact"/>
        <w:ind w:firstLine="482"/>
      </w:pPr>
      <w:r>
        <w:rPr>
          <w:rFonts w:hint="eastAsia"/>
        </w:rPr>
        <w:t>书写规则：正确地书写声母、韵母和整体认读音节。学生通过拼音两单元的整体认知，能够总结出汉语拼音王国有三个大家庭，一是声母家，二是韵母家，三是整体认读音节家。在四线三格中，它们住三层楼。有些字母喜欢住底楼和二楼，有些字母喜欢住二楼和三楼，有些字母喜欢三层楼都住。我在课堂上公布了书写规则的总提示：“有头往上升，有尾向下拖，没头没尾住二楼。”学生根据这条提示去寻找ü的“房子”，即ü的书写规则，从而学会拼读的方法。</w:t>
      </w:r>
    </w:p>
    <w:p>
      <w:pPr>
        <w:spacing w:line="440" w:lineRule="exact"/>
        <w:ind w:firstLine="482"/>
      </w:pPr>
      <w:r>
        <w:rPr>
          <w:rFonts w:hint="eastAsia"/>
        </w:rPr>
        <w:t>朗读标调规则：为了让学生掌握复韵母的调号位置，我制作了头饰，在课上邀请六位同学一起表演：老大a,老二o,老三e，老四和老五i和u，我请了两位排队时偶尔开小差的同学，老六ü最小，排在最后。每个人按顺序介绍自己，一顶声调帽轮流戴上。</w:t>
      </w:r>
    </w:p>
    <w:p>
      <w:pPr>
        <w:spacing w:line="440" w:lineRule="exact"/>
        <w:ind w:firstLine="482"/>
      </w:pPr>
      <w:r>
        <w:rPr>
          <w:rFonts w:hint="eastAsia"/>
        </w:rPr>
        <w:t>老大a先戴，</w:t>
      </w:r>
    </w:p>
    <w:p>
      <w:pPr>
        <w:spacing w:line="440" w:lineRule="exact"/>
        <w:ind w:firstLine="482"/>
      </w:pPr>
      <w:r>
        <w:rPr>
          <w:rFonts w:hint="eastAsia"/>
        </w:rPr>
        <w:t>老大走了o来戴，</w:t>
      </w:r>
    </w:p>
    <w:p>
      <w:pPr>
        <w:spacing w:line="440" w:lineRule="exact"/>
        <w:ind w:firstLine="482"/>
      </w:pPr>
      <w:r>
        <w:rPr>
          <w:rFonts w:hint="eastAsia"/>
        </w:rPr>
        <w:t>老二走了e来戴，</w:t>
      </w:r>
    </w:p>
    <w:p>
      <w:pPr>
        <w:spacing w:line="440" w:lineRule="exact"/>
        <w:ind w:firstLine="482"/>
      </w:pPr>
      <w:r>
        <w:rPr>
          <w:rFonts w:hint="eastAsia"/>
        </w:rPr>
        <w:t>老四和老五排在一起，</w:t>
      </w:r>
    </w:p>
    <w:p>
      <w:pPr>
        <w:spacing w:line="440" w:lineRule="exact"/>
        <w:ind w:firstLine="482"/>
      </w:pPr>
      <w:r>
        <w:rPr>
          <w:rFonts w:hint="eastAsia"/>
        </w:rPr>
        <w:t>谁在后给谁戴，</w:t>
      </w:r>
    </w:p>
    <w:p>
      <w:pPr>
        <w:spacing w:line="440" w:lineRule="exact"/>
        <w:ind w:firstLine="482"/>
      </w:pPr>
      <w:r>
        <w:rPr>
          <w:rFonts w:hint="eastAsia"/>
        </w:rPr>
        <w:t>小ü最谦让，不要戴。</w:t>
      </w:r>
    </w:p>
    <w:p>
      <w:pPr>
        <w:spacing w:line="440" w:lineRule="exact"/>
        <w:ind w:firstLine="482"/>
      </w:pPr>
      <w:r>
        <w:rPr>
          <w:rFonts w:hint="eastAsia"/>
        </w:rPr>
        <w:t>在这样生动的情景剧里，寓教于乐，学生们既明白了标调的规则，又体验了演员的快乐，那两位排队偶尔开小差的同学后来排队时也有进步，看来教学和教育密不可分。最后我们编了首儿歌来帮助学生掌握标调规则：有a就找a，没a找o e，i u 在一起，声调标在后。当学生在写音节的时候，对符号标在谁头上有疑惑的时候，我们就读读儿歌，一下就找到了正确的位置，尤其是那几位帮助大家掌握规则的“小演员”，他们从拼音的快乐学习中找到了乐趣，在日常的拼音复习中也记住这些儿歌，错误率更低。</w:t>
      </w:r>
    </w:p>
    <w:p>
      <w:pPr>
        <w:spacing w:line="440" w:lineRule="exact"/>
        <w:ind w:firstLine="482"/>
      </w:pPr>
    </w:p>
    <w:p>
      <w:pPr>
        <w:spacing w:line="360" w:lineRule="auto"/>
        <w:ind w:firstLine="480" w:firstLineChars="200"/>
      </w:pPr>
      <w:r>
        <w:rPr>
          <w:rFonts w:hint="eastAsia"/>
        </w:rPr>
        <w:t>随着素质教育的不断推进，针对小学低年段学生容易注意力不集中、提前学习拼音等问题，游戏在小学拼音中的应用正在逐渐强化，统编版教材的单元设计与板块设计也体现了拼音教学的情境化与游戏化倾向。学生思维的落脚点、触发点与生长点与此一一对应，教师将如何让游戏情境激发思维火花，游戏学习助推思维生长，在教学中剥离拼音教学与识字教学的方法本质，仍是我们值得思考的。</w:t>
      </w:r>
    </w:p>
    <w:p/>
    <w:p>
      <w:pPr>
        <w:spacing w:line="440" w:lineRule="exact"/>
        <w:rPr>
          <w:rFonts w:hint="eastAsia" w:ascii="宋体" w:hAnsi="宋体" w:eastAsia="宋体" w:cs="宋体"/>
        </w:rPr>
      </w:pPr>
      <w:r>
        <w:rPr>
          <w:rFonts w:hint="eastAsia" w:ascii="宋体" w:hAnsi="宋体" w:eastAsia="宋体" w:cs="宋体"/>
        </w:rPr>
        <w:t>参考文献：</w:t>
      </w:r>
    </w:p>
    <w:p>
      <w:pPr>
        <w:spacing w:line="44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1.普通高中语文课程标准[M]. 人民教育出版社 , 中华人民共和国教育部, 2017</w:t>
      </w:r>
    </w:p>
    <w:p>
      <w:pPr>
        <w:spacing w:line="44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2.义务教育语文课程标准[M]. 人民教育出版社 , 中华人民共和国教育部, 2011</w:t>
      </w:r>
    </w:p>
    <w:p>
      <w:pPr>
        <w:spacing w:line="44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3.郅庭瑾.为思维而教[J].民主,2008(01):15-17.</w:t>
      </w:r>
    </w:p>
    <w:p>
      <w:pPr>
        <w:pStyle w:val="10"/>
        <w:spacing w:line="440" w:lineRule="exact"/>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sz w:val="24"/>
          <w:szCs w:val="24"/>
        </w:rPr>
        <w:t>李娟.在大游戏情境中发现汉语拼音学习的乐趣——统编本教材一年级拼音教学中的大单元设计与思考[J].语文建设,2019(08):22-25.</w:t>
      </w:r>
    </w:p>
    <w:p>
      <w:pPr>
        <w:spacing w:line="440" w:lineRule="exact"/>
        <w:rPr>
          <w:rFonts w:hint="eastAsia" w:ascii="宋体" w:hAnsi="宋体" w:eastAsia="宋体" w:cs="宋体"/>
          <w:color w:val="000000" w:themeColor="text1"/>
          <w14:textFill>
            <w14:solidFill>
              <w14:schemeClr w14:val="tx1"/>
            </w14:solidFill>
          </w14:textFill>
        </w:rPr>
      </w:pPr>
      <w:r>
        <w:rPr>
          <w:rStyle w:val="14"/>
          <w:rFonts w:hint="eastAsia" w:ascii="宋体" w:hAnsi="宋体" w:eastAsia="宋体" w:cs="宋体"/>
          <w:vertAlign w:val="baseline"/>
        </w:rPr>
        <w:t>5</w:t>
      </w:r>
      <w:r>
        <w:rPr>
          <w:rFonts w:hint="eastAsia" w:ascii="宋体" w:hAnsi="宋体" w:eastAsia="宋体" w:cs="宋体"/>
        </w:rPr>
        <w:t>.</w:t>
      </w:r>
      <w:r>
        <w:rPr>
          <w:rFonts w:hint="eastAsia" w:ascii="宋体" w:hAnsi="宋体" w:eastAsia="宋体" w:cs="宋体"/>
          <w:color w:val="000000" w:themeColor="text1"/>
          <w14:textFill>
            <w14:solidFill>
              <w14:schemeClr w14:val="tx1"/>
            </w14:solidFill>
          </w14:textFill>
        </w:rPr>
        <w:t>陈鹤琴.儿童的心理[J].教育观察(中下旬刊),2013,2(02):88-91.</w:t>
      </w:r>
    </w:p>
    <w:p>
      <w:pPr>
        <w:spacing w:line="44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w:t>
      </w:r>
      <w:r>
        <w:rPr>
          <w:rFonts w:hint="eastAsia" w:ascii="宋体" w:hAnsi="宋体" w:eastAsia="宋体" w:cs="宋体"/>
          <w:color w:val="000000" w:themeColor="text1"/>
          <w:shd w:val="clear" w:color="auto" w:fill="FFFFFF"/>
          <w14:textFill>
            <w14:solidFill>
              <w14:schemeClr w14:val="tx1"/>
            </w14:solidFill>
          </w14:textFill>
        </w:rPr>
        <w:t>徐轶.统编教材背景下的拼音教学观念[J].基础教育课程,2020(21):50-56.</w:t>
      </w:r>
    </w:p>
    <w:p>
      <w:pPr>
        <w:spacing w:line="440" w:lineRule="exac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7.黄宝梅.基于统编教材的学生语文思辨能力的培养策略[J].语文天地,2020(09):5-6.</w:t>
      </w:r>
    </w:p>
    <w:p>
      <w:pPr>
        <w:rPr>
          <w:rFonts w:hint="eastAsia" w:ascii="宋体" w:hAnsi="宋体" w:eastAsia="宋体" w:cs="宋体"/>
        </w:rPr>
      </w:pPr>
      <w:r>
        <w:rPr>
          <w:rFonts w:hint="eastAsia" w:ascii="宋体" w:hAnsi="宋体" w:eastAsia="宋体" w:cs="宋体"/>
          <w:color w:val="000000" w:themeColor="text1"/>
          <w14:textFill>
            <w14:solidFill>
              <w14:schemeClr w14:val="tx1"/>
            </w14:solidFill>
          </w14:textFill>
        </w:rPr>
        <w:t>8.</w:t>
      </w:r>
      <w:r>
        <w:rPr>
          <w:rFonts w:hint="eastAsia" w:ascii="宋体" w:hAnsi="宋体" w:eastAsia="宋体" w:cs="宋体"/>
          <w:color w:val="333333"/>
          <w:shd w:val="clear" w:color="auto" w:fill="FFFFFF"/>
        </w:rPr>
        <w:t xml:space="preserve"> 陈艳.部编版和苏教版汉语拼音编排体系的比较研究[J].语文世界(教师之窗),2018(12):13-14.</w:t>
      </w:r>
    </w:p>
    <w:p>
      <w:pPr>
        <w:rPr>
          <w:rFonts w:hint="eastAsia" w:ascii="宋体" w:hAnsi="宋体" w:eastAsia="宋体" w:cs="宋体"/>
          <w:color w:val="000000" w:themeColor="text1"/>
          <w14:textFill>
            <w14:solidFill>
              <w14:schemeClr w14:val="tx1"/>
            </w14:solidFill>
          </w14:textFill>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lang w:eastAsia="zh-CN"/>
        </w:rPr>
      </w:pPr>
      <w:bookmarkStart w:id="2" w:name="_GoBack"/>
      <w:r>
        <w:rPr>
          <w:rFonts w:hint="eastAsia" w:ascii="宋体" w:hAnsi="宋体" w:eastAsia="宋体" w:cs="宋体"/>
          <w:lang w:eastAsia="zh-CN"/>
        </w:rPr>
        <w:drawing>
          <wp:inline distT="0" distB="0" distL="114300" distR="114300">
            <wp:extent cx="5274310" cy="7152005"/>
            <wp:effectExtent l="0" t="0" r="2540" b="10795"/>
            <wp:docPr id="1" name="图片 1" descr="何依洋查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何依洋查重"/>
                    <pic:cNvPicPr>
                      <a:picLocks noChangeAspect="1"/>
                    </pic:cNvPicPr>
                  </pic:nvPicPr>
                  <pic:blipFill>
                    <a:blip r:embed="rId5"/>
                    <a:stretch>
                      <a:fillRect/>
                    </a:stretch>
                  </pic:blipFill>
                  <pic:spPr>
                    <a:xfrm>
                      <a:off x="0" y="0"/>
                      <a:ext cx="5274310" cy="7152005"/>
                    </a:xfrm>
                    <a:prstGeom prst="rect">
                      <a:avLst/>
                    </a:prstGeom>
                  </pic:spPr>
                </pic:pic>
              </a:graphicData>
            </a:graphic>
          </wp:inline>
        </w:drawing>
      </w:r>
      <w:bookmarkEnd w:id="2"/>
    </w:p>
    <w:p>
      <w:pPr>
        <w:rPr>
          <w:rFonts w:hint="eastAsia" w:ascii="宋体" w:hAnsi="宋体" w:eastAsia="宋体" w:cs="宋体"/>
        </w:rPr>
      </w:pPr>
    </w:p>
    <w:p/>
    <w:p>
      <w:r>
        <w:rPr>
          <w:rFonts w:hint="eastAsia"/>
        </w:rPr>
        <w:t xml:space="preserve"> </w:t>
      </w:r>
    </w:p>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0"/>
        <w:rPr>
          <w:rFonts w:hint="eastAsia"/>
        </w:rPr>
      </w:pPr>
      <w:r>
        <w:rPr>
          <w:rStyle w:val="14"/>
        </w:rPr>
        <w:footnoteRef/>
      </w:r>
      <w:r>
        <w:t xml:space="preserve"> 普通高中</w:t>
      </w:r>
      <w:r>
        <w:rPr>
          <w:rFonts w:hint="eastAsia"/>
        </w:rPr>
        <w:t>语文</w:t>
      </w:r>
      <w:r>
        <w:t>课程标准[M]. 人民教育出版社 , 中华人民共和国教育部, 2017</w:t>
      </w:r>
    </w:p>
  </w:footnote>
  <w:footnote w:id="1">
    <w:p>
      <w:pPr>
        <w:pStyle w:val="10"/>
      </w:pPr>
      <w:r>
        <w:rPr>
          <w:rStyle w:val="14"/>
        </w:rPr>
        <w:footnoteRef/>
      </w:r>
      <w:r>
        <w:rPr>
          <w:rFonts w:hint="eastAsia"/>
        </w:rPr>
        <w:t>李娟.在大游戏情境中发现汉语拼音学习的乐趣——统编本教材一年级拼音教学中的大单元设计与思考[J].语文建设,2019(08):22-25.</w:t>
      </w:r>
    </w:p>
  </w:footnote>
  <w:footnote w:id="2">
    <w:p>
      <w:pPr>
        <w:pStyle w:val="10"/>
      </w:pPr>
      <w:r>
        <w:rPr>
          <w:rStyle w:val="14"/>
        </w:rPr>
        <w:footnoteRef/>
      </w:r>
      <w:r>
        <w:rPr>
          <w:rFonts w:hint="eastAsia"/>
        </w:rPr>
        <w:t>陈鹤琴.儿童的心理[J].教育观察(中下旬刊),2013,2(02):88-91.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72DE3"/>
    <w:multiLevelType w:val="multilevel"/>
    <w:tmpl w:val="24272DE3"/>
    <w:lvl w:ilvl="0" w:tentative="0">
      <w:start w:val="1"/>
      <w:numFmt w:val="decimal"/>
      <w:pStyle w:val="2"/>
      <w:suff w:val="space"/>
      <w:lvlText w:val="%1."/>
      <w:lvlJc w:val="left"/>
      <w:pPr>
        <w:ind w:left="567" w:hanging="425"/>
      </w:pPr>
      <w:rPr>
        <w:rFonts w:hint="eastAsia"/>
      </w:rPr>
    </w:lvl>
    <w:lvl w:ilvl="1" w:tentative="0">
      <w:start w:val="1"/>
      <w:numFmt w:val="decimal"/>
      <w:pStyle w:val="3"/>
      <w:suff w:val="space"/>
      <w:lvlText w:val="%1.%2"/>
      <w:lvlJc w:val="left"/>
      <w:pPr>
        <w:ind w:left="1134" w:hanging="992"/>
      </w:pPr>
      <w:rPr>
        <w:rFonts w:hint="eastAsia"/>
      </w:rPr>
    </w:lvl>
    <w:lvl w:ilvl="2" w:tentative="0">
      <w:start w:val="1"/>
      <w:numFmt w:val="decimal"/>
      <w:pStyle w:val="4"/>
      <w:suff w:val="space"/>
      <w:lvlText w:val="%1.%2.%3"/>
      <w:lvlJc w:val="left"/>
      <w:pPr>
        <w:ind w:left="1560" w:hanging="1418"/>
      </w:pPr>
      <w:rPr>
        <w:rFonts w:hint="eastAsia"/>
      </w:rPr>
    </w:lvl>
    <w:lvl w:ilvl="3" w:tentative="0">
      <w:start w:val="1"/>
      <w:numFmt w:val="decimal"/>
      <w:suff w:val="space"/>
      <w:lvlText w:val="%1.%2.%3.%4"/>
      <w:lvlJc w:val="left"/>
      <w:pPr>
        <w:ind w:left="2126" w:hanging="1984"/>
      </w:pPr>
      <w:rPr>
        <w:rFonts w:hint="eastAsia"/>
      </w:rPr>
    </w:lvl>
    <w:lvl w:ilvl="4" w:tentative="0">
      <w:start w:val="1"/>
      <w:numFmt w:val="decimal"/>
      <w:lvlText w:val="%1.%2.%3.%4.%5"/>
      <w:lvlJc w:val="left"/>
      <w:pPr>
        <w:ind w:left="2693" w:hanging="850"/>
      </w:pPr>
      <w:rPr>
        <w:rFonts w:hint="eastAsia"/>
      </w:rPr>
    </w:lvl>
    <w:lvl w:ilvl="5" w:tentative="0">
      <w:start w:val="1"/>
      <w:numFmt w:val="decimal"/>
      <w:lvlText w:val="%1.%2.%3.%4.%5.%6"/>
      <w:lvlJc w:val="left"/>
      <w:pPr>
        <w:ind w:left="3402" w:hanging="1134"/>
      </w:pPr>
      <w:rPr>
        <w:rFonts w:hint="eastAsia"/>
      </w:rPr>
    </w:lvl>
    <w:lvl w:ilvl="6" w:tentative="0">
      <w:start w:val="1"/>
      <w:numFmt w:val="decimal"/>
      <w:lvlText w:val="%1.%2.%3.%4.%5.%6.%7"/>
      <w:lvlJc w:val="left"/>
      <w:pPr>
        <w:ind w:left="3969" w:hanging="1276"/>
      </w:pPr>
      <w:rPr>
        <w:rFonts w:hint="eastAsia"/>
      </w:rPr>
    </w:lvl>
    <w:lvl w:ilvl="7" w:tentative="0">
      <w:start w:val="1"/>
      <w:numFmt w:val="decimal"/>
      <w:lvlText w:val="%1.%2.%3.%4.%5.%6.%7.%8"/>
      <w:lvlJc w:val="left"/>
      <w:pPr>
        <w:ind w:left="4536" w:hanging="1418"/>
      </w:pPr>
      <w:rPr>
        <w:rFonts w:hint="eastAsia"/>
      </w:rPr>
    </w:lvl>
    <w:lvl w:ilvl="8" w:tentative="0">
      <w:start w:val="1"/>
      <w:numFmt w:val="decimal"/>
      <w:lvlText w:val="%1.%2.%3.%4.%5.%6.%7.%8.%9"/>
      <w:lvlJc w:val="left"/>
      <w:pPr>
        <w:ind w:left="5244" w:hanging="1700"/>
      </w:pPr>
      <w:rPr>
        <w:rFonts w:hint="eastAsia"/>
      </w:rPr>
    </w:lvl>
  </w:abstractNum>
  <w:abstractNum w:abstractNumId="1">
    <w:nsid w:val="3CCE7928"/>
    <w:multiLevelType w:val="multilevel"/>
    <w:tmpl w:val="3CCE7928"/>
    <w:lvl w:ilvl="0" w:tentative="0">
      <w:start w:val="2"/>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45847EB"/>
    <w:multiLevelType w:val="multilevel"/>
    <w:tmpl w:val="645847E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F04"/>
    <w:rsid w:val="00006BD5"/>
    <w:rsid w:val="00013B48"/>
    <w:rsid w:val="00027666"/>
    <w:rsid w:val="00032B8D"/>
    <w:rsid w:val="00035396"/>
    <w:rsid w:val="0003743E"/>
    <w:rsid w:val="00037606"/>
    <w:rsid w:val="00037F12"/>
    <w:rsid w:val="00044D7F"/>
    <w:rsid w:val="0005234B"/>
    <w:rsid w:val="00052620"/>
    <w:rsid w:val="00074395"/>
    <w:rsid w:val="000847B7"/>
    <w:rsid w:val="0008522A"/>
    <w:rsid w:val="000943AA"/>
    <w:rsid w:val="000A7495"/>
    <w:rsid w:val="000A7D6F"/>
    <w:rsid w:val="000A7E84"/>
    <w:rsid w:val="000C0F87"/>
    <w:rsid w:val="000D699D"/>
    <w:rsid w:val="000E0C6D"/>
    <w:rsid w:val="000E7849"/>
    <w:rsid w:val="000F139C"/>
    <w:rsid w:val="001603C3"/>
    <w:rsid w:val="00166359"/>
    <w:rsid w:val="00180D95"/>
    <w:rsid w:val="00185382"/>
    <w:rsid w:val="001874EE"/>
    <w:rsid w:val="00190A74"/>
    <w:rsid w:val="00195B9A"/>
    <w:rsid w:val="001A6B4B"/>
    <w:rsid w:val="001A6DC7"/>
    <w:rsid w:val="001A6F9D"/>
    <w:rsid w:val="001D5601"/>
    <w:rsid w:val="001D71E7"/>
    <w:rsid w:val="001F049A"/>
    <w:rsid w:val="001F653E"/>
    <w:rsid w:val="00220A78"/>
    <w:rsid w:val="00242040"/>
    <w:rsid w:val="00251726"/>
    <w:rsid w:val="002738FA"/>
    <w:rsid w:val="00282677"/>
    <w:rsid w:val="002928B4"/>
    <w:rsid w:val="00294A93"/>
    <w:rsid w:val="002B4506"/>
    <w:rsid w:val="002B450E"/>
    <w:rsid w:val="002D0AFA"/>
    <w:rsid w:val="002D1E79"/>
    <w:rsid w:val="002D4C00"/>
    <w:rsid w:val="00304CE5"/>
    <w:rsid w:val="00313372"/>
    <w:rsid w:val="00330AA4"/>
    <w:rsid w:val="00344EDE"/>
    <w:rsid w:val="00345882"/>
    <w:rsid w:val="003526A8"/>
    <w:rsid w:val="0037146F"/>
    <w:rsid w:val="00383ECA"/>
    <w:rsid w:val="00385706"/>
    <w:rsid w:val="00395AED"/>
    <w:rsid w:val="003A0520"/>
    <w:rsid w:val="003A28E0"/>
    <w:rsid w:val="003A48AA"/>
    <w:rsid w:val="003B0BBB"/>
    <w:rsid w:val="003B128C"/>
    <w:rsid w:val="003B140E"/>
    <w:rsid w:val="003B6814"/>
    <w:rsid w:val="003E75EE"/>
    <w:rsid w:val="003F67D8"/>
    <w:rsid w:val="00412CEF"/>
    <w:rsid w:val="00431AAA"/>
    <w:rsid w:val="00432E86"/>
    <w:rsid w:val="004433AD"/>
    <w:rsid w:val="00444D12"/>
    <w:rsid w:val="00465C5E"/>
    <w:rsid w:val="00471C1A"/>
    <w:rsid w:val="00486185"/>
    <w:rsid w:val="004934B6"/>
    <w:rsid w:val="004B4B0A"/>
    <w:rsid w:val="004B4D12"/>
    <w:rsid w:val="004C74D8"/>
    <w:rsid w:val="00503C93"/>
    <w:rsid w:val="005261FC"/>
    <w:rsid w:val="0052734F"/>
    <w:rsid w:val="005278EF"/>
    <w:rsid w:val="00550BA8"/>
    <w:rsid w:val="00554F4B"/>
    <w:rsid w:val="0055623A"/>
    <w:rsid w:val="00557EBD"/>
    <w:rsid w:val="00561FCA"/>
    <w:rsid w:val="00564910"/>
    <w:rsid w:val="00575B0D"/>
    <w:rsid w:val="00594473"/>
    <w:rsid w:val="005A125C"/>
    <w:rsid w:val="005A5953"/>
    <w:rsid w:val="005A5C3F"/>
    <w:rsid w:val="005B1B03"/>
    <w:rsid w:val="005B2C00"/>
    <w:rsid w:val="005C3D9E"/>
    <w:rsid w:val="005C6F67"/>
    <w:rsid w:val="005D4A62"/>
    <w:rsid w:val="005E16F9"/>
    <w:rsid w:val="006011F0"/>
    <w:rsid w:val="006078ED"/>
    <w:rsid w:val="00617D7D"/>
    <w:rsid w:val="00626661"/>
    <w:rsid w:val="00630D71"/>
    <w:rsid w:val="00640684"/>
    <w:rsid w:val="006461C1"/>
    <w:rsid w:val="00660CBB"/>
    <w:rsid w:val="00662F6D"/>
    <w:rsid w:val="00676E3F"/>
    <w:rsid w:val="00681856"/>
    <w:rsid w:val="006914C4"/>
    <w:rsid w:val="006A48E7"/>
    <w:rsid w:val="006B30C3"/>
    <w:rsid w:val="006B65E0"/>
    <w:rsid w:val="006C6E09"/>
    <w:rsid w:val="006C6FDF"/>
    <w:rsid w:val="006E5CC5"/>
    <w:rsid w:val="006F02AC"/>
    <w:rsid w:val="006F3EA8"/>
    <w:rsid w:val="00701522"/>
    <w:rsid w:val="00724D99"/>
    <w:rsid w:val="00730688"/>
    <w:rsid w:val="00734EC1"/>
    <w:rsid w:val="007454F5"/>
    <w:rsid w:val="00747C65"/>
    <w:rsid w:val="00771781"/>
    <w:rsid w:val="00775587"/>
    <w:rsid w:val="00791C41"/>
    <w:rsid w:val="007A04DB"/>
    <w:rsid w:val="007A5699"/>
    <w:rsid w:val="007D6AC9"/>
    <w:rsid w:val="007D797E"/>
    <w:rsid w:val="008140DB"/>
    <w:rsid w:val="008214FE"/>
    <w:rsid w:val="008240A5"/>
    <w:rsid w:val="00825DA9"/>
    <w:rsid w:val="00860352"/>
    <w:rsid w:val="00865A42"/>
    <w:rsid w:val="008973EA"/>
    <w:rsid w:val="008A1941"/>
    <w:rsid w:val="008A395C"/>
    <w:rsid w:val="008A7E0A"/>
    <w:rsid w:val="008B6E66"/>
    <w:rsid w:val="008C4803"/>
    <w:rsid w:val="008C6E41"/>
    <w:rsid w:val="008E059A"/>
    <w:rsid w:val="008E139B"/>
    <w:rsid w:val="008F38C1"/>
    <w:rsid w:val="009013E0"/>
    <w:rsid w:val="00904479"/>
    <w:rsid w:val="009124D6"/>
    <w:rsid w:val="00946CFE"/>
    <w:rsid w:val="00951E1B"/>
    <w:rsid w:val="0098365E"/>
    <w:rsid w:val="009A43C6"/>
    <w:rsid w:val="009A667D"/>
    <w:rsid w:val="009B53A9"/>
    <w:rsid w:val="009B5A6B"/>
    <w:rsid w:val="009C721E"/>
    <w:rsid w:val="009D0048"/>
    <w:rsid w:val="009F3E11"/>
    <w:rsid w:val="00A01B26"/>
    <w:rsid w:val="00A17F11"/>
    <w:rsid w:val="00A20619"/>
    <w:rsid w:val="00A31A2B"/>
    <w:rsid w:val="00A42144"/>
    <w:rsid w:val="00A534CC"/>
    <w:rsid w:val="00A579E9"/>
    <w:rsid w:val="00A669E8"/>
    <w:rsid w:val="00A87BE8"/>
    <w:rsid w:val="00A96B88"/>
    <w:rsid w:val="00AA177E"/>
    <w:rsid w:val="00AA2F3C"/>
    <w:rsid w:val="00AE5CB2"/>
    <w:rsid w:val="00AE6FE1"/>
    <w:rsid w:val="00B02B15"/>
    <w:rsid w:val="00B1416D"/>
    <w:rsid w:val="00B2791E"/>
    <w:rsid w:val="00B27CC8"/>
    <w:rsid w:val="00B33353"/>
    <w:rsid w:val="00B42270"/>
    <w:rsid w:val="00B50420"/>
    <w:rsid w:val="00B64C17"/>
    <w:rsid w:val="00B81294"/>
    <w:rsid w:val="00B836C0"/>
    <w:rsid w:val="00B87604"/>
    <w:rsid w:val="00B95778"/>
    <w:rsid w:val="00BA343C"/>
    <w:rsid w:val="00BC3C7E"/>
    <w:rsid w:val="00BE2B63"/>
    <w:rsid w:val="00BE347B"/>
    <w:rsid w:val="00BF3076"/>
    <w:rsid w:val="00BF5EB4"/>
    <w:rsid w:val="00BF66A1"/>
    <w:rsid w:val="00BF7A05"/>
    <w:rsid w:val="00C149C8"/>
    <w:rsid w:val="00C15F3C"/>
    <w:rsid w:val="00C33DA2"/>
    <w:rsid w:val="00C35113"/>
    <w:rsid w:val="00C4433E"/>
    <w:rsid w:val="00C44FDA"/>
    <w:rsid w:val="00C576D0"/>
    <w:rsid w:val="00C725A2"/>
    <w:rsid w:val="00C82685"/>
    <w:rsid w:val="00C96D75"/>
    <w:rsid w:val="00CA5243"/>
    <w:rsid w:val="00CB284A"/>
    <w:rsid w:val="00CD0EBF"/>
    <w:rsid w:val="00CD1DB9"/>
    <w:rsid w:val="00CE1994"/>
    <w:rsid w:val="00CF2F51"/>
    <w:rsid w:val="00D119B1"/>
    <w:rsid w:val="00D12B54"/>
    <w:rsid w:val="00D4001A"/>
    <w:rsid w:val="00D57292"/>
    <w:rsid w:val="00D7344A"/>
    <w:rsid w:val="00D76413"/>
    <w:rsid w:val="00D82994"/>
    <w:rsid w:val="00D91484"/>
    <w:rsid w:val="00D93D03"/>
    <w:rsid w:val="00DA3B3B"/>
    <w:rsid w:val="00DC07B5"/>
    <w:rsid w:val="00DC1394"/>
    <w:rsid w:val="00DC55DD"/>
    <w:rsid w:val="00DD0848"/>
    <w:rsid w:val="00DE1663"/>
    <w:rsid w:val="00DE2670"/>
    <w:rsid w:val="00DE4313"/>
    <w:rsid w:val="00DE4911"/>
    <w:rsid w:val="00DE6CC2"/>
    <w:rsid w:val="00DF319C"/>
    <w:rsid w:val="00DF5919"/>
    <w:rsid w:val="00E166DC"/>
    <w:rsid w:val="00E17F04"/>
    <w:rsid w:val="00E24934"/>
    <w:rsid w:val="00E31D10"/>
    <w:rsid w:val="00E3280D"/>
    <w:rsid w:val="00E54C1B"/>
    <w:rsid w:val="00E55511"/>
    <w:rsid w:val="00E644D7"/>
    <w:rsid w:val="00E71C04"/>
    <w:rsid w:val="00E76C3D"/>
    <w:rsid w:val="00E91EB1"/>
    <w:rsid w:val="00EC5045"/>
    <w:rsid w:val="00EC5297"/>
    <w:rsid w:val="00ED7DA9"/>
    <w:rsid w:val="00EF4697"/>
    <w:rsid w:val="00F12C8B"/>
    <w:rsid w:val="00F17284"/>
    <w:rsid w:val="00F23B9B"/>
    <w:rsid w:val="00F33DA5"/>
    <w:rsid w:val="00F35871"/>
    <w:rsid w:val="00F47685"/>
    <w:rsid w:val="00F47A21"/>
    <w:rsid w:val="00F626D2"/>
    <w:rsid w:val="00F71949"/>
    <w:rsid w:val="00F73996"/>
    <w:rsid w:val="00F95ADA"/>
    <w:rsid w:val="00F95C4D"/>
    <w:rsid w:val="00FB4C02"/>
    <w:rsid w:val="00FB609B"/>
    <w:rsid w:val="00FD4F74"/>
    <w:rsid w:val="00FD5A82"/>
    <w:rsid w:val="00FE1198"/>
    <w:rsid w:val="00FE23BF"/>
    <w:rsid w:val="06F25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next w:val="1"/>
    <w:link w:val="16"/>
    <w:qFormat/>
    <w:uiPriority w:val="9"/>
    <w:pPr>
      <w:numPr>
        <w:ilvl w:val="0"/>
        <w:numId w:val="1"/>
      </w:numPr>
      <w:spacing w:before="50" w:beforeLines="50" w:after="50" w:afterLines="50"/>
      <w:outlineLvl w:val="0"/>
    </w:pPr>
    <w:rPr>
      <w:rFonts w:ascii="Times New Roman" w:hAnsi="Times New Roman" w:eastAsia="宋体" w:cs="Times New Roman"/>
      <w:b/>
      <w:kern w:val="2"/>
      <w:sz w:val="28"/>
      <w:szCs w:val="24"/>
      <w:lang w:val="en-US" w:eastAsia="zh-CN" w:bidi="ar-SA"/>
    </w:rPr>
  </w:style>
  <w:style w:type="paragraph" w:styleId="3">
    <w:name w:val="heading 2"/>
    <w:next w:val="1"/>
    <w:link w:val="17"/>
    <w:unhideWhenUsed/>
    <w:qFormat/>
    <w:uiPriority w:val="9"/>
    <w:pPr>
      <w:numPr>
        <w:ilvl w:val="1"/>
        <w:numId w:val="1"/>
      </w:numPr>
      <w:spacing w:before="50" w:beforeLines="50" w:after="50" w:afterLines="50"/>
      <w:outlineLvl w:val="1"/>
    </w:pPr>
    <w:rPr>
      <w:rFonts w:ascii="Times New Roman" w:hAnsi="Times New Roman" w:eastAsia="宋体" w:cs="Times New Roman"/>
      <w:b/>
      <w:kern w:val="2"/>
      <w:sz w:val="24"/>
      <w:szCs w:val="24"/>
      <w:lang w:val="en-US" w:eastAsia="zh-CN" w:bidi="ar-SA"/>
    </w:rPr>
  </w:style>
  <w:style w:type="paragraph" w:styleId="4">
    <w:name w:val="heading 3"/>
    <w:next w:val="1"/>
    <w:link w:val="18"/>
    <w:unhideWhenUsed/>
    <w:qFormat/>
    <w:uiPriority w:val="9"/>
    <w:pPr>
      <w:numPr>
        <w:ilvl w:val="2"/>
        <w:numId w:val="1"/>
      </w:numPr>
      <w:autoSpaceDE w:val="0"/>
      <w:autoSpaceDN w:val="0"/>
      <w:adjustRightInd w:val="0"/>
      <w:spacing w:before="50" w:beforeLines="50" w:after="50" w:afterLines="50"/>
      <w:ind w:hanging="675" w:hangingChars="675"/>
      <w:outlineLvl w:val="2"/>
    </w:pPr>
    <w:rPr>
      <w:rFonts w:ascii="宋体" w:hAnsi="宋体" w:eastAsia="宋体" w:cs="Times New Roman"/>
      <w:b/>
      <w:bCs/>
      <w:kern w:val="2"/>
      <w:sz w:val="21"/>
      <w:szCs w:val="21"/>
      <w:lang w:val="en-US" w:eastAsia="zh-CN" w:bidi="ar-SA"/>
    </w:rPr>
  </w:style>
  <w:style w:type="paragraph" w:styleId="5">
    <w:name w:val="heading 4"/>
    <w:next w:val="1"/>
    <w:link w:val="19"/>
    <w:unhideWhenUsed/>
    <w:qFormat/>
    <w:uiPriority w:val="9"/>
    <w:pPr>
      <w:spacing w:before="50" w:beforeLines="50" w:after="50" w:afterLines="50"/>
      <w:ind w:hanging="1985" w:hangingChars="945"/>
      <w:outlineLvl w:val="3"/>
    </w:pPr>
    <w:rPr>
      <w:rFonts w:ascii="Times New Roman" w:hAnsi="Times New Roman" w:eastAsia="宋体" w:cs="Times New Roman"/>
      <w:kern w:val="2"/>
      <w:sz w:val="21"/>
      <w:szCs w:val="24"/>
      <w:lang w:val="en-US" w:eastAsia="zh-CN" w:bidi="ar-SA"/>
    </w:rPr>
  </w:style>
  <w:style w:type="character" w:default="1" w:styleId="12">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endnote text"/>
    <w:basedOn w:val="1"/>
    <w:link w:val="25"/>
    <w:semiHidden/>
    <w:unhideWhenUsed/>
    <w:qFormat/>
    <w:uiPriority w:val="99"/>
    <w:pPr>
      <w:snapToGrid w:val="0"/>
    </w:pPr>
  </w:style>
  <w:style w:type="paragraph" w:styleId="7">
    <w:name w:val="Balloon Text"/>
    <w:basedOn w:val="1"/>
    <w:link w:val="27"/>
    <w:semiHidden/>
    <w:unhideWhenUsed/>
    <w:qFormat/>
    <w:uiPriority w:val="99"/>
    <w:rPr>
      <w:sz w:val="18"/>
      <w:szCs w:val="18"/>
    </w:rPr>
  </w:style>
  <w:style w:type="paragraph" w:styleId="8">
    <w:name w:val="footer"/>
    <w:basedOn w:val="1"/>
    <w:link w:val="24"/>
    <w:unhideWhenUsed/>
    <w:uiPriority w:val="99"/>
    <w:pPr>
      <w:widowControl w:val="0"/>
      <w:tabs>
        <w:tab w:val="center" w:pos="4153"/>
        <w:tab w:val="right" w:pos="8306"/>
      </w:tabs>
      <w:snapToGrid w:val="0"/>
    </w:pPr>
    <w:rPr>
      <w:rFonts w:ascii="Times New Roman" w:hAnsi="Times New Roman" w:cs="Times New Roman"/>
      <w:kern w:val="2"/>
      <w:sz w:val="18"/>
      <w:szCs w:val="18"/>
    </w:rPr>
  </w:style>
  <w:style w:type="paragraph" w:styleId="9">
    <w:name w:val="header"/>
    <w:basedOn w:val="1"/>
    <w:link w:val="23"/>
    <w:unhideWhenUsed/>
    <w:uiPriority w:val="99"/>
    <w:pPr>
      <w:widowControl w:val="0"/>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paragraph" w:styleId="10">
    <w:name w:val="footnote text"/>
    <w:basedOn w:val="1"/>
    <w:link w:val="26"/>
    <w:semiHidden/>
    <w:unhideWhenUsed/>
    <w:uiPriority w:val="99"/>
    <w:pPr>
      <w:widowControl w:val="0"/>
      <w:snapToGrid w:val="0"/>
    </w:pPr>
    <w:rPr>
      <w:rFonts w:ascii="Times New Roman" w:hAnsi="Times New Roman" w:cs="Times New Roman"/>
      <w:kern w:val="2"/>
      <w:sz w:val="18"/>
      <w:szCs w:val="18"/>
    </w:rPr>
  </w:style>
  <w:style w:type="character" w:styleId="13">
    <w:name w:val="endnote reference"/>
    <w:basedOn w:val="12"/>
    <w:semiHidden/>
    <w:unhideWhenUsed/>
    <w:qFormat/>
    <w:uiPriority w:val="99"/>
    <w:rPr>
      <w:vertAlign w:val="superscript"/>
    </w:rPr>
  </w:style>
  <w:style w:type="character" w:styleId="14">
    <w:name w:val="footnote reference"/>
    <w:basedOn w:val="12"/>
    <w:semiHidden/>
    <w:unhideWhenUsed/>
    <w:qFormat/>
    <w:uiPriority w:val="99"/>
    <w:rPr>
      <w:vertAlign w:val="superscript"/>
    </w:rPr>
  </w:style>
  <w:style w:type="paragraph" w:customStyle="1" w:styleId="15">
    <w:name w:val="正文文字"/>
    <w:basedOn w:val="1"/>
    <w:qFormat/>
    <w:uiPriority w:val="0"/>
    <w:pPr>
      <w:widowControl w:val="0"/>
      <w:jc w:val="both"/>
    </w:pPr>
    <w:rPr>
      <w:rFonts w:ascii="Times New Roman" w:hAnsi="Times New Roman" w:cs="Times New Roman"/>
      <w:kern w:val="2"/>
      <w:sz w:val="21"/>
    </w:rPr>
  </w:style>
  <w:style w:type="character" w:customStyle="1" w:styleId="16">
    <w:name w:val="标题 1 字符"/>
    <w:basedOn w:val="12"/>
    <w:link w:val="2"/>
    <w:uiPriority w:val="9"/>
    <w:rPr>
      <w:b/>
      <w:kern w:val="2"/>
      <w:sz w:val="28"/>
      <w:szCs w:val="24"/>
    </w:rPr>
  </w:style>
  <w:style w:type="character" w:customStyle="1" w:styleId="17">
    <w:name w:val="标题 2 字符"/>
    <w:basedOn w:val="12"/>
    <w:link w:val="3"/>
    <w:qFormat/>
    <w:uiPriority w:val="9"/>
    <w:rPr>
      <w:b/>
      <w:kern w:val="2"/>
      <w:sz w:val="24"/>
      <w:szCs w:val="24"/>
    </w:rPr>
  </w:style>
  <w:style w:type="character" w:customStyle="1" w:styleId="18">
    <w:name w:val="标题 3 字符"/>
    <w:basedOn w:val="12"/>
    <w:link w:val="4"/>
    <w:qFormat/>
    <w:uiPriority w:val="9"/>
    <w:rPr>
      <w:rFonts w:ascii="宋体" w:hAnsi="宋体"/>
      <w:b/>
      <w:bCs/>
      <w:kern w:val="2"/>
      <w:sz w:val="21"/>
      <w:szCs w:val="21"/>
    </w:rPr>
  </w:style>
  <w:style w:type="character" w:customStyle="1" w:styleId="19">
    <w:name w:val="标题 4 字符"/>
    <w:basedOn w:val="12"/>
    <w:link w:val="5"/>
    <w:qFormat/>
    <w:uiPriority w:val="9"/>
    <w:rPr>
      <w:kern w:val="2"/>
      <w:sz w:val="21"/>
      <w:szCs w:val="24"/>
    </w:rPr>
  </w:style>
  <w:style w:type="paragraph" w:styleId="20">
    <w:name w:val="No Spacing"/>
    <w:link w:val="21"/>
    <w:qFormat/>
    <w:uiPriority w:val="1"/>
    <w:rPr>
      <w:rFonts w:asciiTheme="minorHAnsi" w:hAnsiTheme="minorHAnsi" w:eastAsiaTheme="minorEastAsia" w:cstheme="minorBidi"/>
      <w:sz w:val="22"/>
      <w:szCs w:val="22"/>
      <w:lang w:val="en-US" w:eastAsia="zh-CN" w:bidi="ar-SA"/>
    </w:rPr>
  </w:style>
  <w:style w:type="character" w:customStyle="1" w:styleId="21">
    <w:name w:val="无间隔 字符"/>
    <w:basedOn w:val="12"/>
    <w:link w:val="20"/>
    <w:qFormat/>
    <w:uiPriority w:val="1"/>
    <w:rPr>
      <w:rFonts w:asciiTheme="minorHAnsi" w:hAnsiTheme="minorHAnsi" w:eastAsiaTheme="minorEastAsia" w:cstheme="minorBidi"/>
      <w:sz w:val="22"/>
      <w:szCs w:val="22"/>
    </w:rPr>
  </w:style>
  <w:style w:type="paragraph" w:styleId="22">
    <w:name w:val="List Paragraph"/>
    <w:basedOn w:val="1"/>
    <w:qFormat/>
    <w:uiPriority w:val="34"/>
    <w:pPr>
      <w:widowControl w:val="0"/>
      <w:ind w:firstLine="420" w:firstLineChars="200"/>
      <w:jc w:val="both"/>
    </w:pPr>
    <w:rPr>
      <w:rFonts w:ascii="Times New Roman" w:hAnsi="Times New Roman" w:cs="Times New Roman"/>
      <w:kern w:val="2"/>
      <w:sz w:val="21"/>
    </w:rPr>
  </w:style>
  <w:style w:type="character" w:customStyle="1" w:styleId="23">
    <w:name w:val="页眉 字符"/>
    <w:basedOn w:val="12"/>
    <w:link w:val="9"/>
    <w:uiPriority w:val="99"/>
    <w:rPr>
      <w:kern w:val="2"/>
      <w:sz w:val="18"/>
      <w:szCs w:val="18"/>
    </w:rPr>
  </w:style>
  <w:style w:type="character" w:customStyle="1" w:styleId="24">
    <w:name w:val="页脚 字符"/>
    <w:basedOn w:val="12"/>
    <w:link w:val="8"/>
    <w:uiPriority w:val="99"/>
    <w:rPr>
      <w:kern w:val="2"/>
      <w:sz w:val="18"/>
      <w:szCs w:val="18"/>
    </w:rPr>
  </w:style>
  <w:style w:type="character" w:customStyle="1" w:styleId="25">
    <w:name w:val="尾注文本 字符"/>
    <w:basedOn w:val="12"/>
    <w:link w:val="6"/>
    <w:semiHidden/>
    <w:qFormat/>
    <w:uiPriority w:val="99"/>
    <w:rPr>
      <w:kern w:val="2"/>
      <w:sz w:val="21"/>
      <w:szCs w:val="24"/>
    </w:rPr>
  </w:style>
  <w:style w:type="character" w:customStyle="1" w:styleId="26">
    <w:name w:val="脚注文本 字符"/>
    <w:basedOn w:val="12"/>
    <w:link w:val="10"/>
    <w:semiHidden/>
    <w:qFormat/>
    <w:uiPriority w:val="99"/>
    <w:rPr>
      <w:kern w:val="2"/>
      <w:sz w:val="18"/>
      <w:szCs w:val="18"/>
    </w:rPr>
  </w:style>
  <w:style w:type="character" w:customStyle="1" w:styleId="27">
    <w:name w:val="批注框文本 字符"/>
    <w:basedOn w:val="12"/>
    <w:link w:val="7"/>
    <w:semiHidden/>
    <w:qFormat/>
    <w:uiPriority w:val="99"/>
    <w:rPr>
      <w:kern w:val="2"/>
      <w:sz w:val="18"/>
      <w:szCs w:val="18"/>
    </w:rPr>
  </w:style>
  <w:style w:type="paragraph" w:customStyle="1" w:styleId="2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650520-81F9-454C-B431-2C70A3250DF5}">
  <ds:schemaRefs/>
</ds:datastoreItem>
</file>

<file path=docProps/app.xml><?xml version="1.0" encoding="utf-8"?>
<Properties xmlns="http://schemas.openxmlformats.org/officeDocument/2006/extended-properties" xmlns:vt="http://schemas.openxmlformats.org/officeDocument/2006/docPropsVTypes">
  <Template>Normal.dotm</Template>
  <Pages>7</Pages>
  <Words>909</Words>
  <Characters>5184</Characters>
  <Lines>43</Lines>
  <Paragraphs>12</Paragraphs>
  <TotalTime>609</TotalTime>
  <ScaleCrop>false</ScaleCrop>
  <LinksUpToDate>false</LinksUpToDate>
  <CharactersWithSpaces>6081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2020-05-05T06:10:00Z</dcterms:created>
  <dc:creator>Windows 用户</dc:creator>
  <cp:lastModifiedBy>半月云边</cp:lastModifiedBy>
  <dcterms:modified xsi:type="dcterms:W3CDTF">2020-11-26T11:48:01Z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