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指向高阶思维训练的阅读教学探索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——以部编语文五年级下册第六单元为例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【摘要】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高阶思维是高水平、高层次的思维，具有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深刻性、敏捷性、灵活性、批判性和独创性等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品质特征。发展高阶思维，对于培养学生语文核心素养的重要性是不言而喻的，然而，当前阅读教学对学生思维的训练还停留在浅层次的低阶思维。以“统筹规划，解构单元内容”，“整体设计，落实思维目标”，“关注交流，实现生长延效”为策略，从而展开指向高阶思维训练的阅读教学探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【关键词】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高阶思维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阅读教学    教学策略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sectPr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Hans"/>
        </w:rPr>
        <w:t>一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Hans"/>
        </w:rPr>
        <w:t>．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高阶思维品质训练的价值与意义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经济全球化和社会的迅猛发展，致使高素质人才的抢夺战愈发激烈。中国作为世界大国，其发展需要更多具备高阶思维的人才。教育无疑是实现高阶思维人才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培育目标的基本路径。同时，在高度信息化的时代里，海量的信息开拓了我们的视野，如何在信息化的洪流中明辨、取舍成为了一大挑战。运用高阶思维提出问题、分析问题、解决问题的能力显然比简单地获取知识更加重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(一）什么是高阶思维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高阶思维，顾名思义就是高水平、高层次的思维。布卢姆将认知过程按照从低到高的顺序划分为六个思维层级：知道、领会、应用、分析、综合、评价，其中分析、综合与评价属于高阶思维过程所运用的技能。洛林·安德森等专家在布卢姆的基础上深入研究，将思维的层级修正为记忆（回忆）、理解、应用、分析、评价、创造，其中分析、评价与创造为高阶思维范畴的技能。我国钟志贤教授则界定高阶思维在教学目标分类中主要表现为分析、综合、评价与创造。他认为高阶思维是高阶能力的核心，主要指向创新能力，问题求解能力、决策力、批判性思维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（二）高阶思维对小学语文阅读教学的价值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我国历来重视教育，对教育的改革也在不断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行。2019年最新修订版《义务教育语文课程标准》指出：”语文课程是一门学习语言文字运用的综合性、实践性课程，其基本特点是工具性与人文性的统一”，“语文素养是学生学好其它课程的基础，也是学生全面发展和终身发展的基础”，“语文学科应……发展思维，初步掌握学习语文的基本方法”。2017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《普通高中语文课程标准》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则更加明确地将语文学科核心素养的具体内容概括为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语言建构与运用、思维发展与提升、审美鉴赏与创造、文化传承与理解四个方面。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由此可见，无论是义务教育还是中等教育，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语文学科核心素养的落实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离不开高阶思维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品质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的培养，语文课程“综合性、实践性”的性质也与高阶思维的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特征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二、高阶思维在小学阅读教学中的落实现状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作为语文学科核心素养之一，“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思维的发展与提升”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是指：“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学生在语文学习过程中,通过语言运用，获得直觉思维、形象思维、逻辑思维、辩证思维和创造思维的发展，促进深刻性、敏捷性、灵活性、批判性和独创性等思维品质的提升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逻辑思维、辩证思维、创造思维都是高阶思维的主要内容,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它们具有深刻性、敏捷性、灵活性、独创性的特点。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毋庸置疑，近年来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语文教学在不断的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中取得了重要成就。但就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语文阅读教学实践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真实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状况来看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，应试教育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然普遍存在，以教师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、教材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为中心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现象也依然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数见不鲜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。具体而言，存在以下几类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:教学内容碎片化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量的积累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掩蔽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质的突破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；同质化的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教学方式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致使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师生倦怠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浅层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问题延宕了探究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深度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，导致思维培养的浅表化……”发展高阶思维，对于培养学生语文核心素养的重要性是不言而喻的，然而，当前阅读教学对学生思维的训练还停留在浅层次的低阶思维。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三、高阶思维训练的阅读教学策略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部编语文五年级上册第六单元的单元导语师“思维的火花跨越时空，照亮昨天、今天和明天”。阅读训练的要素是“了解人物的思维过程，加深对课文内容的理解”，习作训练的要素是“根据情境编故事，把事情发展变化的过程写具体”。落实“思维”要素，指导学生在了解人物思维过程的基础上阅读，不仅能实现与文本的深度对话，还能有效提升理解力、思辨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（一）统筹规划，解构单元内容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部编教材单元语文要素的明晰，让教学目标和教学内容更加清晰。围绕“了解人物的思维过程，加深对课文内容的理解”的语文要素，可以从以下三个层面来建构第六单元的具体内容。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1.关联学习经验，注重顶层结构框架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材将“了解故事的起因、经过、结果，学习把握文章的主要内容”这一阅读训练要素四年级上册第四单元。“通过课文中动作、语言、神态的描写体会人物的内心”，“了解人物的思维过程，加深对课文内容的理解”的阅读要素分别被安排在五年级上册第四、第六单元。表面看来，这是三个相互独立的单元，实则有着内在的逻辑关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了解人物的思维过程，加深对课文内容的理解”务必建立在把握文本内容、人物内心的基础上，这就涉及到了“了解故事的起因、经过、结果，学习把握文章的主要内容”和“通过课文中动作、语言、神态的描写体会人物的内心”这两个阅读训练要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统观训练要素的编排，让学生了解人物思维的过程，加深对文本的理解，并不是无水之源，无本之木。因此，教师在引导学生本单元学习的过程中，当以教材的编排思路为教学导向，衔接教材各阶段，激活学生相应的学习经验，达到了解人物思维过程，加深文本理解要素训练的最优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2.关联学习主体，注重阅读真实体验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部编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教材五年级上册第六单元的人文主题是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“思维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之旅”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选编了《自相矛盾》《田忌赛马》和《跳水》三篇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都以儿童喜闻乐见的故事形式呈现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在啼笑皆非的矛盾买卖中领悟寓言故事的深刻寓意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从赛马中领略孙膑的足智多谋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在历经曲折惊险的跳水后体悟船长的急中生智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Style w:val="6"/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ootnoteReference w:id="0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。思维的火花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寓言故事、历史故事或是短篇小说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载体跨越了时空，指引学生领悟到在生活中应当具体问题具体分析，再选择恰当的方法解决。思维要素的训练，应遵从儿童真实的阅读体验及其生活关联，促使儿童能主动地融入文本，达成读者、作者与编者的共情，提升阅读的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关联文本特征，注重科学阅读策略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《自相矛盾》、《田忌赛马》、《跳水》三篇文章都指向“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了解人物的思维过程，加深对课文内容的理解”这一阅读要素，但三篇文章各有其独特性，在教学中要因材施教，采用科学的阅读策略。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其一，聚焦人物的思维过程。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单元的阅读策略是“了解人物的思维过程，加深对课文内容的理解”。因此，借助语言文字，在角色扮演中、在情景再现中展开联想和想象，推测人物制定策略的思维过程是本单元阅读教学的重点。同时，根据情境编故事，把事情发展变化的过程写具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其二，注重品味语言以及联想、想象能力的培养。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者要根据语言特点采取丰富多样的读书方法对文本加以品读。如教学文言文时要在疏通文意的基础上熟读成诵，增强文言语感;《田忌赛马》中分角色朗读读出人物说话的语气;《跳水》中根据故事的起因、经过、结果讲述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（二）整体设计，落实思维目标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部编教材首次提出“了解人物思维过程”的阅读方法，为了有效促使这语文要素的落实，教者要合理分析单元内容的编排特点及其意图，了解学生的认知规律，创设契合的学习活动，有效大促单元教学目标。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基于认知，凸显思维序列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本单元三篇课文属于故事、小说类，基于文本意识和学生认知特点，直接抛出“课文讲了一件什么事”这样一个笼统的大问题，是不科学的，需要老师遵循认知发展的序列，合理分解，逐步引导。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在学习《田忌赛马》和《跳水》时，可作如下设计：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（1）检查预习，让学生说说故事、小说中出现的主要人物。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（2）自主读文，分别说说人物之间发生了什么事，教师相机板书。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（3）根据板书说一说故事、小说的起因经过结果。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（4）用自己的话说一说课文讲了一件什么事。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概括文章主要内容的过程是一个由易到难，逐步填充、完善的过程。在教学的过程中，问题的呈现要体现循序渐进的层次性，让学生对文本内容形成由点到面的认识。如果没有任何铺垫，就让学生说说故事、小说主要内容，大部分学生是不知从何说起的，即使是学习能力较强的学生在概括时，也难免出现要素缺失、顺序颠倒的现象，长此以往会导致学生认知思维的碎片化。在教学中，我们必须时刻警惕，概括只是阅读的方法和手段，不是阅读的最终目的。我们可以把概括，当做是训练学生思维发展的方法、手段，切勿忽略思维发展的序列特征追求概括的准确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再现情境，渗透形象思维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形象思维是反映和认识事物的重要思维形式，也是学生阅读过程中最重要的思维方式之一。精彩的小说总是给人身临其境之感，与故事的主人公“共情”。为什么小说具有牵引读者思维和情感的魅力呢?这源于作家丰富的想象力、高超的创作技巧。如果在学习的时候，能够通过想象画面，再现故事的情境，会给学生带来切身的思维体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师:究竞猴子怎么逗孩子，你们还没看见。读书一定要读到像你们亲眼看见了一样,才算真正理解了。为帮助你们理解，我放一段录像。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距离咱们常州最近的是东海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,我租了一-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外国轮船，让一个外国小孩当船长的儿子,让外国人当水手，从动物园借了一只大猴子，拍了猴子怎么逗孩子的经过，想看不想看?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师:闭上眼睛,(声情并茂地范读课文第2自然段)睁眼,看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了没有?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生:看见了。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师:看见了什么?我没放录像看见什么了?实际上你们不是在看，而是在干什么?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生:想象。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读书时一定要想象，就像在自己面前表现出来一样,这样读就读懂了,读活了，读理解了。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在学习小说的经过时，老师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通过朗读，启发学生根据课文描绘的情境进行再造想象，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有效地在课堂中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对学生渗透形象思维的训练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联系生活，启发辩证思维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世间万物之间是互相联系，互相影响的，辩证思维以事物之间的客观联系为基础，进行的一种对世界进一步的认识和感知，并在思考的过程中感受人与自然的关系，进而得到某种结论的一种高阶思维。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师：正是因为猴子的不断放肆，挑逗孩子，孩子一步一步去追赶猴子，从而走上了桅杆顶端的横木上，陷入险境。但是，当我们再次聚焦这个故事真正的起因时，发现的却是水手拿猴子取乐。那么水手和孩子的跳水有没有关联，他们是否应该为孩子的跳水负责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生：我认为应。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师：口说无凭。今天老师想请大家当一回评判官，用你们的一双慧眼到文中去找一找证据。谁来读读学习要求：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1.默读课文，用“——”画出文中描写水手们拿猴子取乐的语句。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2.结合具体语句，同桌相互谈谈自己的想法。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上述教学环节中，老师联系生活，创设实践性活动，让学生化身为小小评判官，以小说中的具体语言文字为依据，辩证地思考到底是谁导致了孩子跳水的结果。这样的教学处理，也巧妙地解决了课后习题“说说这几次‘笑’与故事情节发展的联系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又比如，在了解船长的思维过程时，老师再次设计活动，让学生设身处地为营救孩子想办法，再让学生在文中找依据证实自己的假设和船长的方法是否可行。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师：只有跳水这一种方法吗？如果当初你们也在现场，你会想到什么方法来救孩子呢？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生：四人小组交流讨论。上黑板写下方法。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（让孩子从桅杆上爬下来 用垫子接  让水手们爬上去救孩子）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师：通过小组讨论，我们有这么多假设。现在我们就要去验证这些假设。请同学们结合课文内容进行分析判断，你觉得这些方法可行吗？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（学生交流）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师：在那个危急的关头，船长想到的是——跳水，他的方法是否考虑到我们刚刚所说的这些因素呢？依然请你回到课文，结合文中的句子说一说。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通过分析判断，学生体会到了想要做出一个合理的决定并不容易，要结合当时的环境、时机，还要充分考虑孩子当时的心理状态。评价某一种方法可行与否的过程主要体现的是学生“批判性思维”运作的过程。需要注意的是，这里的批判并不是简单地否定，而是指向学生抓住要领，质疑辨析，基于严格推断的、清晰敏捷的思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关注交流，实现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生长延效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从对知识的接受、评价和创新的角度看，我们可以把思维分为接受性思维、批判性思维和创造性思维。接受性思维是一个智力正常人所应该具备的基本接受能力。批判性思维前文已阐释，创造性思维是以感知、记忆、思考、联想、理解等能力为基础的综合性、探索性高级思维活动。语文学习过程，也是基础性思维、批判性思维、创造性思维螺旋式上升发展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部编教材五年级上册第六单元的“交流平台”，对推测故事中人物思维过程的具体路径进行了归纳整合。教学时可以从以下几个方法引导学生思维训练。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第一，运作基础思维。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基础思维是语文学习的基础，通过自主阅读接收文本传递的信息是基础思维运作的体现。“推测人物思维过程”必须在对文本知识记忆、储存的基础上进行。比如要推测孙膑的思维过程，首先要能在自己的思维中存储关于赛马双方的相关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第二，提升批判思维。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学习的过程是自我发现、自我尝试、不断修正的过程。在推测人物思维过程时，必须尊重学生的原始认知，让学生对文本有自己的思考。如果一开始就直接出示“交流平台”中的推测过程，会形成先入为主的印象，不利于学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第三，生成创造思维。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经历了基础思维、批判思维的发展后，同学之间可以相互交流自己的推测，相互补充、完善，丰富对文章的理解。在此基础上，再引导学生联系生活实际，谈谈现实生活中遇到问题该如何分析情况，选择合适的办法解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教学过程中，不能忽视学生的交流和补充，了解人物思维过程是一种阅读的策略，目的在于更好地理解文本。因此在交流自己对人物思维过程的推测时，要提醒学生关注其他同学与自己思考的不同之处，及时补充、改善，提升自己批判思维的完整度，为思维的迁移运用，即创造性思维的生成提供更多可供参考的示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【参考文献】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〔1〕（美）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洛林·W·安德森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.《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  <w:t>布卢姆教育目标分类学》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[M].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北京: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  <w:t>外语教学与研究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出版社,20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09.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〔2〕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倪文锦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群文阅读中的思维策略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[J].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,2020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宋体" w:hAnsi="宋体" w:eastAsia="宋体" w:cs="宋体"/>
          <w:sz w:val="18"/>
          <w:szCs w:val="18"/>
          <w:lang w:eastAsia="zh-CN"/>
        </w:rPr>
      </w:pPr>
      <w:r>
        <w:rPr>
          <w:rFonts w:hint="default" w:ascii="宋体" w:hAnsi="宋体" w:eastAsia="宋体" w:cs="宋体"/>
          <w:sz w:val="18"/>
          <w:szCs w:val="18"/>
          <w:lang w:eastAsia="zh-CN"/>
        </w:rPr>
        <w:drawing>
          <wp:inline distT="0" distB="0" distL="114300" distR="114300">
            <wp:extent cx="5267325" cy="3291840"/>
            <wp:effectExtent l="0" t="0" r="15875" b="10160"/>
            <wp:docPr id="1" name="图片 1" descr="截屏2020-11-27 上午9.27.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0-11-27 上午9.27.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宋体" w:hAnsi="宋体" w:eastAsia="宋体" w:cs="宋体"/>
          <w:sz w:val="18"/>
          <w:szCs w:val="18"/>
          <w:lang w:eastAsia="zh-CN"/>
        </w:rPr>
      </w:pPr>
      <w:r>
        <w:rPr>
          <w:rFonts w:hint="default" w:ascii="宋体" w:hAnsi="宋体" w:eastAsia="宋体" w:cs="宋体"/>
          <w:sz w:val="18"/>
          <w:szCs w:val="18"/>
          <w:lang w:eastAsia="zh-CN"/>
        </w:rPr>
        <w:drawing>
          <wp:inline distT="0" distB="0" distL="114300" distR="114300">
            <wp:extent cx="5267325" cy="3291840"/>
            <wp:effectExtent l="0" t="0" r="15875" b="10160"/>
            <wp:docPr id="2" name="图片 2" descr="截屏2020-11-27 上午9.27.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屏2020-11-27 上午9.27.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宋体" w:hAnsi="宋体" w:eastAsia="宋体" w:cs="宋体"/>
          <w:sz w:val="18"/>
          <w:szCs w:val="1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60" w:firstLineChars="200"/>
        <w:jc w:val="left"/>
        <w:textAlignment w:val="auto"/>
        <w:rPr>
          <w:rFonts w:ascii="宋体" w:hAnsi="宋体" w:eastAsia="宋体" w:cs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单位：常州市武进区湖塘桥实验小学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姓名：朱雯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通讯地址：常州市武进区湖塘镇人民西路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818号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湖塘桥实验小学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邮编：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213000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手机：18351226177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电子邮箱：790215993@qq.com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60" w:firstLineChars="200"/>
        <w:jc w:val="both"/>
        <w:textAlignment w:val="auto"/>
        <w:rPr>
          <w:rFonts w:ascii="宋体" w:hAnsi="宋体" w:eastAsia="宋体" w:cs="宋体"/>
          <w:sz w:val="18"/>
          <w:szCs w:val="18"/>
        </w:rPr>
        <w:sectPr>
          <w:footnotePr>
            <w:numFmt w:val="decimalEnclosedCircleChinese"/>
          </w:footnote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60" w:firstLineChars="200"/>
        <w:jc w:val="both"/>
        <w:textAlignment w:val="auto"/>
        <w:rPr>
          <w:rFonts w:ascii="宋体" w:hAnsi="宋体" w:eastAsia="宋体" w:cs="宋体"/>
          <w:sz w:val="18"/>
          <w:szCs w:val="18"/>
        </w:rPr>
        <w:sectPr>
          <w:footnotePr>
            <w:numFmt w:val="decimalEnclosedCircleChinese"/>
          </w:footnote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  <w:r>
        <w:rPr>
          <w:rFonts w:ascii="宋体" w:hAnsi="宋体" w:eastAsia="宋体" w:cs="宋体"/>
          <w:sz w:val="18"/>
          <w:szCs w:val="18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200" w:firstLine="360" w:firstLineChars="200"/>
        <w:jc w:val="both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200"/>
        <w:jc w:val="both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200"/>
        <w:jc w:val="both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200"/>
        <w:jc w:val="both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60" w:firstLineChars="200"/>
        <w:jc w:val="both"/>
        <w:textAlignment w:val="auto"/>
        <w:rPr>
          <w:rFonts w:hint="default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ascii="宋体" w:hAnsi="宋体" w:eastAsia="宋体" w:cs="宋体"/>
          <w:sz w:val="18"/>
          <w:szCs w:val="18"/>
        </w:rPr>
        <w:t>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/>
        <w:jc w:val="both"/>
        <w:textAlignment w:val="auto"/>
        <w:rPr>
          <w:rFonts w:hint="default" w:asciiTheme="minorEastAsia" w:hAnsiTheme="minorEastAsia" w:cstheme="minorEastAsia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sz w:val="18"/>
          <w:szCs w:val="18"/>
        </w:rPr>
      </w:pPr>
    </w:p>
    <w:sectPr>
      <w:footnotePr>
        <w:numFmt w:val="decimalEnclosedCircleChinese"/>
      </w:footnotePr>
      <w:type w:val="continuous"/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2"/>
      </w:pPr>
      <w:r>
        <w:rPr>
          <w:rStyle w:val="6"/>
        </w:rPr>
        <w:footnoteRef/>
      </w:r>
      <w:r>
        <w:t xml:space="preserve"> </w:t>
      </w:r>
      <w:r>
        <w:rPr>
          <w:rFonts w:hint="eastAsia"/>
          <w:lang w:eastAsia="zh-CN"/>
        </w:rPr>
        <w:t>张庆</w:t>
      </w:r>
      <w:r>
        <w:rPr>
          <w:rFonts w:hint="eastAsia"/>
        </w:rPr>
        <w:t>：《</w:t>
      </w:r>
      <w:r>
        <w:rPr>
          <w:rFonts w:hint="eastAsia"/>
          <w:lang w:eastAsia="zh-CN"/>
        </w:rPr>
        <w:t>小学语文备课手册</w:t>
      </w:r>
      <w:r>
        <w:rPr>
          <w:rFonts w:hint="eastAsia"/>
          <w:lang w:val="en-US" w:eastAsia="zh-CN"/>
        </w:rPr>
        <w:t xml:space="preserve"> 五年级 下册</w:t>
      </w:r>
      <w:r>
        <w:rPr>
          <w:rFonts w:hint="eastAsia"/>
        </w:rPr>
        <w:t>》，</w:t>
      </w:r>
      <w:r>
        <w:rPr>
          <w:rFonts w:hint="eastAsia"/>
          <w:lang w:eastAsia="zh-CN"/>
        </w:rPr>
        <w:t>江苏</w:t>
      </w:r>
      <w:r>
        <w:rPr>
          <w:rFonts w:hint="eastAsia"/>
        </w:rPr>
        <w:t>：</w:t>
      </w:r>
      <w:r>
        <w:rPr>
          <w:rFonts w:hint="eastAsia"/>
          <w:lang w:eastAsia="zh-CN"/>
        </w:rPr>
        <w:t>凤凰教育出版社</w:t>
      </w:r>
      <w:r>
        <w:rPr>
          <w:rFonts w:hint="eastAsia"/>
        </w:rPr>
        <w:t>，</w:t>
      </w:r>
      <w:r>
        <w:rPr>
          <w:rFonts w:hint="eastAsia" w:ascii="宋体" w:hAnsi="宋体"/>
        </w:rPr>
        <w:t>20</w:t>
      </w:r>
      <w:r>
        <w:rPr>
          <w:rFonts w:hint="eastAsia" w:ascii="宋体" w:hAnsi="宋体"/>
          <w:lang w:val="en-US" w:eastAsia="zh-CN"/>
        </w:rPr>
        <w:t>20</w:t>
      </w:r>
      <w:r>
        <w:rPr>
          <w:rFonts w:hint="eastAsia" w:ascii="宋体" w:hAnsi="宋体"/>
        </w:rPr>
        <w:t>，第</w:t>
      </w:r>
      <w:r>
        <w:rPr>
          <w:rFonts w:hint="eastAsia" w:ascii="宋体" w:hAnsi="宋体"/>
          <w:lang w:val="en-US" w:eastAsia="zh-CN"/>
        </w:rPr>
        <w:t>209</w:t>
      </w:r>
      <w:r>
        <w:rPr>
          <w:rFonts w:hint="eastAsia" w:ascii="宋体" w:hAnsi="宋体"/>
        </w:rPr>
        <w:t>页</w:t>
      </w:r>
      <w:r>
        <w:rPr>
          <w:rFonts w:hint="eastAsia"/>
        </w:rPr>
        <w:t>。</w:t>
      </w:r>
    </w:p>
    <w:p>
      <w:pPr>
        <w:pStyle w:val="2"/>
        <w:snapToGrid w:val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E7319"/>
    <w:multiLevelType w:val="singleLevel"/>
    <w:tmpl w:val="4FBE7319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7FCA79C6"/>
    <w:multiLevelType w:val="singleLevel"/>
    <w:tmpl w:val="7FCA79C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E136D"/>
    <w:rsid w:val="07542617"/>
    <w:rsid w:val="08CE3558"/>
    <w:rsid w:val="10E42D89"/>
    <w:rsid w:val="15D20584"/>
    <w:rsid w:val="1D0239FB"/>
    <w:rsid w:val="1DD94337"/>
    <w:rsid w:val="24903AEC"/>
    <w:rsid w:val="264614E3"/>
    <w:rsid w:val="2710285B"/>
    <w:rsid w:val="2C9A4022"/>
    <w:rsid w:val="3ED61CB2"/>
    <w:rsid w:val="41B66F9E"/>
    <w:rsid w:val="435857B6"/>
    <w:rsid w:val="57CFDF49"/>
    <w:rsid w:val="5C9621B6"/>
    <w:rsid w:val="5D8E136D"/>
    <w:rsid w:val="661B2AD3"/>
    <w:rsid w:val="6CE37691"/>
    <w:rsid w:val="711F32BE"/>
    <w:rsid w:val="71957A65"/>
    <w:rsid w:val="79E8131C"/>
    <w:rsid w:val="7DFF160E"/>
    <w:rsid w:val="7FA400B9"/>
    <w:rsid w:val="F6AF7B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5">
    <w:name w:val="Hyperlink"/>
    <w:basedOn w:val="4"/>
    <w:qFormat/>
    <w:uiPriority w:val="99"/>
    <w:rPr>
      <w:color w:val="0000FF"/>
      <w:u w:val="single"/>
    </w:rPr>
  </w:style>
  <w:style w:type="character" w:styleId="6">
    <w:name w:val="footnote reference"/>
    <w:basedOn w:val="4"/>
    <w:qFormat/>
    <w:uiPriority w:val="0"/>
    <w:rPr>
      <w:vertAlign w:val="superscript"/>
    </w:rPr>
  </w:style>
  <w:style w:type="character" w:customStyle="1" w:styleId="7">
    <w:name w:val="a-size-larg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2020-07-01T17:55:00Z</dcterms:created>
  <dc:creator>朱雯</dc:creator>
  <cp:lastModifiedBy>瀚YY呀</cp:lastModifiedBy>
  <dcterms:modified xsi:type="dcterms:W3CDTF">2020-11-29T13:04:03Z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