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课程纲要</w:t>
      </w:r>
    </w:p>
    <w:tbl>
      <w:tblPr>
        <w:tblStyle w:val="4"/>
        <w:tblpPr w:leftFromText="180" w:rightFromText="180" w:vertAnchor="text" w:horzAnchor="page" w:tblpX="1758" w:tblpY="478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9"/>
        <w:gridCol w:w="1524"/>
        <w:gridCol w:w="1176"/>
        <w:gridCol w:w="1620"/>
        <w:gridCol w:w="720"/>
        <w:gridCol w:w="1078"/>
        <w:gridCol w:w="87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妙笔生花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撰写老师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汤婷婷（薛家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小学）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按一定顺序描写场面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表达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自己独特的真实感受。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2、能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用点面结合的方法按一定顺序写清楚游戏的过程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表达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自己独特的真实的感受，做到语句通顺，内容具体。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zh-CN"/>
              </w:rPr>
              <w:t>能按一定的顺序写清景观的奇特之处，表达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zh-CN"/>
              </w:rPr>
              <w:t>自己对景观的喜爱之情。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懂得写作是为了自我表达和与人交流。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学写读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和常见应用文。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养成留心观察周围事物的习惯，有意识地丰富自己的见闻，珍视个人的独特感受，积累习作素材。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能根据各次习作要求写简单的纪实作文和想象作文，内容具体，感情真实。能根据习作内容表达的需要，分段表述。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《体验作文2》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安排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了17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次习作训练，有记实作文、想像作文、有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写和写读后感，还安排了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三课时教会学生习作的审题、立意与选材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让学生能够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养成留心观察周围事物的习惯，有意识地丰富自己的见闻，珍视个人的独特感受，积累习作素材。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最后通过练习能真实的表达自己的感受。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议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widowControl/>
              <w:spacing w:line="240" w:lineRule="auto"/>
              <w:ind w:firstLine="427" w:firstLineChars="178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为了促使学生养成留心观察周围事物的习惯，有意识地丰富自己的见闻，珍视个人的独特感受，积累习作素材。因此，在作文教学中努力做到：</w:t>
            </w:r>
          </w:p>
          <w:p>
            <w:pPr>
              <w:spacing w:line="240" w:lineRule="auto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先观察后作文。只有引导学生感知具体形象的事物，才能激发其积极地思维，进而产生表达愿望。在教学实践中，让学生观察图画和实物，或者指导学生参观，然后按照教师的指导写作文，这样，学生写出的文章才能有具体内容，有真情实感。</w:t>
            </w:r>
          </w:p>
          <w:p>
            <w:pPr>
              <w:spacing w:line="240" w:lineRule="auto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先实践后作文。让学生亲身参加的实践活动，并写出实践活动的经过和感受。这些活动不但能丰富学生的生活，增长见识，提高认识能力，而且写的文章也会很有条理，语言也会比较生动活泼，具有一定的生活气息。</w:t>
            </w:r>
          </w:p>
          <w:p>
            <w:pPr>
              <w:spacing w:line="240" w:lineRule="auto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抓时机写作文。学生写作文的兴趣会因时间、地点、环境的变化而变化，善于抓住有利时机让学生写作文，学生就会感觉不到困难。例如，课间一个精彩的场面，运动场上精彩的表演，课堂上发生一个有趣的“风波”，不失时机地让学生写下来。学生写起来感兴趣，“难”字就会不翼而飞，达到练笔的目的。</w:t>
            </w:r>
          </w:p>
          <w:p>
            <w:pPr>
              <w:tabs>
                <w:tab w:val="left" w:pos="840"/>
              </w:tabs>
              <w:spacing w:line="240" w:lineRule="auto"/>
              <w:ind w:firstLine="480" w:firstLineChars="200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创设情境写作文。创设情境是为调动学生作文积极性，达到作文训练目的而创设的。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式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1、调查、整理材料；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过程定性评价：课堂学习状态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记入期末总评；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改进作文的批改和讲评。讲评中要肯定成绩，抓住带有共性的问题，鼓励学生积极参与。批改可采用多种形式、多种方法，尊重学生的原意，肯定学生的点滴进步，讲求实效。逐步培养学生自己修改习作的能力。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成果汇编。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841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游戏作文（学着写场面）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游戏作文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点面结合写游戏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一处自然景观（按一定的顺序写自然景观）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我喜爱的玩具（按顺序观察）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童话（学习编童话）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丰富多彩的校园生活（尝试着写一个校园活动）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可爱的小动物（写清动物的外形和生活习性）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菊花（写一种植物）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童年趣事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我熟悉的一个人（学习写人物）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写篇读后感（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写读后感）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想象作文（学会想象）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动手实践作文（学会写科技实验活动）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扩写续写作文（学会如何扩写与续写）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审题（学会作文审题）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立意（立意是作文的灵魂）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选材（贴近中心选择材料）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D72614E"/>
    <w:rsid w:val="5D72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2022-11-09T09:13:00Z</dcterms:created>
  <dc:creator>莫舞</dc:creator>
  <cp:lastModifiedBy>莫舞</cp:lastModifiedBy>
  <dcterms:modified xsi:type="dcterms:W3CDTF">2022-11-09T09:14:14Z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30A041AFA5DC4A84B5B3921658EBDFF6</vt:lpwstr>
  </property>
</Properties>
</file>