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Times New Roman" w:hAnsi="Times New Roman" w:eastAsia="宋体" w:cs="Tahoma"/>
          <w:bCs w:val="0"/>
          <w:color w:val="333333"/>
          <w:kern w:val="0"/>
          <w:sz w:val="32"/>
          <w:szCs w:val="24"/>
        </w:rPr>
      </w:pPr>
      <w:r>
        <w:rPr>
          <w:rFonts w:ascii="Times New Roman" w:hAnsi="Times New Roman" w:eastAsia="宋体" w:cs="Tahoma"/>
          <w:b/>
          <w:bCs w:val="0"/>
          <w:color w:val="333333"/>
          <w:kern w:val="0"/>
          <w:sz w:val="32"/>
          <w:szCs w:val="24"/>
        </w:rPr>
        <w:t>20</w:t>
      </w:r>
      <w:r>
        <w:rPr>
          <w:rFonts w:hint="eastAsia" w:ascii="Times New Roman" w:hAnsi="Times New Roman" w:eastAsia="宋体" w:cs="Tahoma"/>
          <w:b/>
          <w:bCs w:val="0"/>
          <w:color w:val="333333"/>
          <w:kern w:val="0"/>
          <w:sz w:val="32"/>
          <w:szCs w:val="24"/>
          <w:lang w:val="en-US" w:eastAsia="zh-CN"/>
        </w:rPr>
        <w:t>2</w:t>
      </w:r>
      <w:r>
        <w:rPr>
          <w:rFonts w:hint="eastAsia" w:cs="Tahoma"/>
          <w:b/>
          <w:bCs w:val="0"/>
          <w:color w:val="333333"/>
          <w:kern w:val="0"/>
          <w:sz w:val="32"/>
          <w:szCs w:val="24"/>
          <w:lang w:val="en-US" w:eastAsia="zh-CN"/>
        </w:rPr>
        <w:t>1</w:t>
      </w:r>
      <w:r>
        <w:rPr>
          <w:rFonts w:ascii="Times New Roman" w:hAnsi="Times New Roman" w:eastAsia="宋体" w:cs="Tahoma"/>
          <w:b/>
          <w:bCs w:val="0"/>
          <w:color w:val="333333"/>
          <w:kern w:val="0"/>
          <w:sz w:val="32"/>
          <w:szCs w:val="24"/>
        </w:rPr>
        <w:t>.</w:t>
      </w:r>
      <w:r>
        <w:rPr>
          <w:rFonts w:hint="eastAsia" w:cs="Tahoma"/>
          <w:b/>
          <w:bCs w:val="0"/>
          <w:color w:val="333333"/>
          <w:kern w:val="0"/>
          <w:sz w:val="32"/>
          <w:szCs w:val="24"/>
          <w:lang w:val="en-US" w:eastAsia="zh-CN"/>
        </w:rPr>
        <w:t>9</w:t>
      </w:r>
      <w:r>
        <w:rPr>
          <w:rFonts w:ascii="Times New Roman" w:hAnsi="Times New Roman" w:eastAsia="宋体" w:cs="Tahoma"/>
          <w:b/>
          <w:bCs w:val="0"/>
          <w:color w:val="333333"/>
          <w:kern w:val="0"/>
          <w:sz w:val="32"/>
          <w:szCs w:val="24"/>
        </w:rPr>
        <w:t>—20</w:t>
      </w:r>
      <w:r>
        <w:rPr>
          <w:rFonts w:hint="eastAsia" w:ascii="Times New Roman" w:hAnsi="Times New Roman" w:eastAsia="宋体" w:cs="Tahoma"/>
          <w:b/>
          <w:bCs w:val="0"/>
          <w:color w:val="333333"/>
          <w:kern w:val="0"/>
          <w:sz w:val="32"/>
          <w:szCs w:val="24"/>
          <w:lang w:val="en-US" w:eastAsia="zh-CN"/>
        </w:rPr>
        <w:t>2</w:t>
      </w:r>
      <w:r>
        <w:rPr>
          <w:rFonts w:hint="eastAsia" w:cs="Tahoma"/>
          <w:b/>
          <w:bCs w:val="0"/>
          <w:color w:val="333333"/>
          <w:kern w:val="0"/>
          <w:sz w:val="32"/>
          <w:szCs w:val="24"/>
          <w:lang w:val="en-US" w:eastAsia="zh-CN"/>
        </w:rPr>
        <w:t>2</w:t>
      </w:r>
      <w:r>
        <w:rPr>
          <w:rFonts w:hint="eastAsia" w:ascii="Times New Roman" w:hAnsi="Times New Roman" w:eastAsia="宋体" w:cs="Tahoma"/>
          <w:b/>
          <w:bCs w:val="0"/>
          <w:color w:val="333333"/>
          <w:kern w:val="0"/>
          <w:sz w:val="32"/>
          <w:szCs w:val="24"/>
          <w:lang w:val="en-US" w:eastAsia="zh-CN"/>
        </w:rPr>
        <w:t>.</w:t>
      </w:r>
      <w:r>
        <w:rPr>
          <w:rFonts w:hint="eastAsia" w:cs="Tahoma"/>
          <w:b/>
          <w:bCs w:val="0"/>
          <w:color w:val="333333"/>
          <w:kern w:val="0"/>
          <w:sz w:val="32"/>
          <w:szCs w:val="24"/>
          <w:lang w:val="en-US" w:eastAsia="zh-CN"/>
        </w:rPr>
        <w:t>1</w:t>
      </w:r>
      <w:r>
        <w:rPr>
          <w:rFonts w:ascii="Times New Roman" w:hAnsi="Times New Roman" w:eastAsia="宋体" w:cs="Tahoma"/>
          <w:b/>
          <w:bCs w:val="0"/>
          <w:color w:val="333333"/>
          <w:kern w:val="0"/>
          <w:sz w:val="32"/>
          <w:szCs w:val="24"/>
        </w:rPr>
        <w:t>课题研究实施计划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ahoma"/>
          <w:b/>
          <w:bCs w:val="0"/>
          <w:color w:val="333333"/>
          <w:kern w:val="0"/>
          <w:sz w:val="24"/>
          <w:szCs w:val="24"/>
          <w:lang w:val="en-US" w:eastAsia="zh-CN"/>
        </w:rPr>
      </w:pPr>
      <w:r>
        <w:rPr>
          <w:rFonts w:ascii="Times New Roman" w:hAnsi="Times New Roman" w:eastAsia="宋体" w:cs="Tahoma"/>
          <w:b/>
          <w:bCs w:val="0"/>
          <w:color w:val="333333"/>
          <w:kern w:val="0"/>
          <w:sz w:val="24"/>
          <w:szCs w:val="24"/>
        </w:rPr>
        <w:t>课题基本情况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eastAsia="宋体" w:cs="Tahoma"/>
          <w:bCs w:val="0"/>
          <w:color w:val="auto"/>
          <w:kern w:val="0"/>
          <w:sz w:val="28"/>
          <w:szCs w:val="24"/>
          <w:lang w:val="en-US" w:eastAsia="zh-CN"/>
        </w:rPr>
      </w:pPr>
      <w:r>
        <w:rPr>
          <w:rFonts w:ascii="Times New Roman" w:hAnsi="Times New Roman" w:eastAsia="宋体" w:cs="Tahoma"/>
          <w:b/>
          <w:bCs w:val="0"/>
          <w:color w:val="auto"/>
          <w:kern w:val="0"/>
          <w:szCs w:val="24"/>
        </w:rPr>
        <w:t>1.课题名称：</w:t>
      </w:r>
      <w:r>
        <w:rPr>
          <w:rFonts w:hint="eastAsia" w:cs="Tahoma"/>
          <w:bCs w:val="0"/>
          <w:color w:val="auto"/>
          <w:kern w:val="0"/>
          <w:szCs w:val="24"/>
          <w:lang w:val="en-US" w:eastAsia="zh-CN"/>
        </w:rPr>
        <w:t>呼应核心素养的小学英语单元学习进阶研究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cs="Tahoma"/>
          <w:bCs w:val="0"/>
          <w:color w:val="auto"/>
          <w:kern w:val="0"/>
          <w:szCs w:val="24"/>
          <w:lang w:val="en-US" w:eastAsia="zh-CN"/>
        </w:rPr>
      </w:pPr>
      <w:r>
        <w:rPr>
          <w:rFonts w:ascii="Times New Roman" w:hAnsi="Times New Roman" w:eastAsia="宋体" w:cs="Tahoma"/>
          <w:b/>
          <w:bCs w:val="0"/>
          <w:color w:val="auto"/>
          <w:kern w:val="0"/>
          <w:szCs w:val="24"/>
        </w:rPr>
        <w:t>2.</w:t>
      </w:r>
      <w:r>
        <w:rPr>
          <w:rFonts w:ascii="Times New Roman" w:hAnsi="Times New Roman" w:eastAsia="宋体" w:cs="Tahoma"/>
          <w:bCs w:val="0"/>
          <w:color w:val="auto"/>
          <w:kern w:val="0"/>
          <w:szCs w:val="24"/>
        </w:rPr>
        <w:t> </w:t>
      </w:r>
      <w:r>
        <w:rPr>
          <w:rFonts w:ascii="Times New Roman" w:hAnsi="Times New Roman" w:eastAsia="宋体" w:cs="Tahoma"/>
          <w:b/>
          <w:bCs w:val="0"/>
          <w:color w:val="auto"/>
          <w:kern w:val="0"/>
          <w:szCs w:val="24"/>
        </w:rPr>
        <w:t>课题</w:t>
      </w:r>
      <w:r>
        <w:rPr>
          <w:rFonts w:hint="eastAsia" w:cs="Tahoma"/>
          <w:b/>
          <w:bCs w:val="0"/>
          <w:color w:val="auto"/>
          <w:kern w:val="0"/>
          <w:szCs w:val="24"/>
          <w:lang w:val="en-US" w:eastAsia="zh-CN"/>
        </w:rPr>
        <w:t>主持</w:t>
      </w:r>
      <w:r>
        <w:rPr>
          <w:rFonts w:ascii="Times New Roman" w:hAnsi="Times New Roman" w:eastAsia="宋体" w:cs="Tahoma"/>
          <w:b/>
          <w:bCs w:val="0"/>
          <w:color w:val="auto"/>
          <w:kern w:val="0"/>
          <w:szCs w:val="24"/>
        </w:rPr>
        <w:t>人：</w:t>
      </w:r>
      <w:r>
        <w:rPr>
          <w:rFonts w:hint="eastAsia" w:cs="Tahoma"/>
          <w:bCs w:val="0"/>
          <w:color w:val="auto"/>
          <w:kern w:val="0"/>
          <w:szCs w:val="24"/>
          <w:lang w:val="en-US" w:eastAsia="zh-CN"/>
        </w:rPr>
        <w:t>许吇、戚云子</w:t>
      </w:r>
    </w:p>
    <w:p>
      <w:pPr>
        <w:keepNext w:val="0"/>
        <w:keepLines w:val="0"/>
        <w:pageBreakBefore w:val="0"/>
        <w:tabs>
          <w:tab w:val="left" w:pos="14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cs="Tahoma"/>
          <w:b w:val="0"/>
          <w:bCs/>
          <w:color w:val="auto"/>
          <w:kern w:val="0"/>
          <w:szCs w:val="24"/>
          <w:lang w:val="en-US" w:eastAsia="zh-CN"/>
        </w:rPr>
      </w:pPr>
      <w:r>
        <w:rPr>
          <w:rFonts w:ascii="Times New Roman" w:hAnsi="Times New Roman" w:eastAsia="宋体" w:cs="Tahoma"/>
          <w:b/>
          <w:bCs w:val="0"/>
          <w:color w:val="auto"/>
          <w:kern w:val="0"/>
          <w:szCs w:val="24"/>
        </w:rPr>
        <w:t>3.</w:t>
      </w:r>
      <w:r>
        <w:rPr>
          <w:rFonts w:ascii="Times New Roman" w:hAnsi="Times New Roman" w:eastAsia="宋体" w:cs="Tahoma"/>
          <w:bCs w:val="0"/>
          <w:color w:val="auto"/>
          <w:kern w:val="0"/>
          <w:szCs w:val="24"/>
        </w:rPr>
        <w:t> </w:t>
      </w:r>
      <w:r>
        <w:rPr>
          <w:rFonts w:ascii="Times New Roman" w:hAnsi="Times New Roman" w:eastAsia="宋体" w:cs="Tahoma"/>
          <w:b/>
          <w:bCs w:val="0"/>
          <w:color w:val="auto"/>
          <w:kern w:val="0"/>
          <w:szCs w:val="24"/>
        </w:rPr>
        <w:t>课题</w:t>
      </w:r>
      <w:r>
        <w:rPr>
          <w:rFonts w:hint="eastAsia" w:ascii="Times New Roman" w:hAnsi="Times New Roman" w:eastAsia="宋体" w:cs="Tahoma"/>
          <w:b/>
          <w:bCs w:val="0"/>
          <w:color w:val="auto"/>
          <w:kern w:val="0"/>
          <w:szCs w:val="24"/>
        </w:rPr>
        <w:t>核心组成员</w:t>
      </w:r>
      <w:r>
        <w:rPr>
          <w:rFonts w:ascii="Times New Roman" w:hAnsi="Times New Roman" w:eastAsia="宋体" w:cs="Tahoma"/>
          <w:b/>
          <w:bCs w:val="0"/>
          <w:color w:val="auto"/>
          <w:kern w:val="0"/>
          <w:szCs w:val="24"/>
        </w:rPr>
        <w:t>：</w:t>
      </w:r>
      <w:r>
        <w:rPr>
          <w:rFonts w:hint="eastAsia" w:cs="Tahoma"/>
          <w:b w:val="0"/>
          <w:bCs/>
          <w:color w:val="auto"/>
          <w:kern w:val="0"/>
          <w:szCs w:val="24"/>
          <w:lang w:val="en-US" w:eastAsia="zh-CN"/>
        </w:rPr>
        <w:t>张晓栋，贺迎，张婷，丁悦，蒋来，黄蓓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cs="宋体"/>
          <w:b/>
          <w:bCs w:val="0"/>
          <w:color w:val="333333"/>
          <w:kern w:val="0"/>
          <w:szCs w:val="24"/>
        </w:rPr>
      </w:pPr>
      <w:r>
        <w:rPr>
          <w:rFonts w:hint="eastAsia"/>
          <w:bCs w:val="0"/>
          <w:szCs w:val="24"/>
          <w:lang w:val="en-US" w:eastAsia="zh-CN"/>
        </w:rPr>
        <w:t>二、</w:t>
      </w:r>
      <w:r>
        <w:rPr>
          <w:rFonts w:hint="eastAsia" w:ascii="宋体" w:hAnsi="宋体" w:cs="宋体"/>
          <w:b/>
          <w:bCs w:val="0"/>
          <w:color w:val="333333"/>
          <w:kern w:val="0"/>
          <w:szCs w:val="24"/>
        </w:rPr>
        <w:t>课题研究总目标：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Cs w:val="0"/>
          <w:szCs w:val="24"/>
          <w:lang w:eastAsia="zh-CN"/>
        </w:rPr>
      </w:pPr>
      <w:r>
        <w:rPr>
          <w:rFonts w:hint="eastAsia"/>
          <w:bCs w:val="0"/>
          <w:szCs w:val="24"/>
          <w:lang w:eastAsia="zh-CN"/>
        </w:rPr>
        <w:t>1. 立足核心素养，充分挖掘阅读资源，借助阅读材料补充提高核心素养，构建基于目标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Cs w:val="0"/>
          <w:szCs w:val="24"/>
          <w:lang w:eastAsia="zh-CN"/>
        </w:rPr>
      </w:pPr>
      <w:r>
        <w:rPr>
          <w:rFonts w:hint="eastAsia"/>
          <w:bCs w:val="0"/>
          <w:szCs w:val="24"/>
          <w:lang w:eastAsia="zh-CN"/>
        </w:rPr>
        <w:t>——评价——任务的单元整体教学框架，形成指向核心素养的学习进阶模式，为教师单元整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Cs w:val="0"/>
          <w:szCs w:val="24"/>
          <w:lang w:eastAsia="zh-CN"/>
        </w:rPr>
      </w:pPr>
      <w:r>
        <w:rPr>
          <w:rFonts w:hint="eastAsia"/>
          <w:bCs w:val="0"/>
          <w:szCs w:val="24"/>
          <w:lang w:eastAsia="zh-CN"/>
        </w:rPr>
        <w:t>体阅读教学设计建模，为小学英语阅读教学中核心素养落地提供参考。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Cs w:val="0"/>
          <w:szCs w:val="24"/>
          <w:lang w:eastAsia="zh-CN"/>
        </w:rPr>
      </w:pPr>
      <w:r>
        <w:rPr>
          <w:rFonts w:hint="eastAsia"/>
          <w:bCs w:val="0"/>
          <w:szCs w:val="24"/>
          <w:lang w:eastAsia="zh-CN"/>
        </w:rPr>
        <w:t>2. 构建语言能力、文化意识、思维品质和学习能力等细目，为制定呼应核心素养单元教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Cs w:val="0"/>
          <w:szCs w:val="24"/>
          <w:lang w:eastAsia="zh-CN"/>
        </w:rPr>
      </w:pPr>
      <w:r>
        <w:rPr>
          <w:rFonts w:hint="eastAsia"/>
          <w:bCs w:val="0"/>
          <w:szCs w:val="24"/>
          <w:lang w:eastAsia="zh-CN"/>
        </w:rPr>
        <w:t>学总目标和分课时目标和学习进阶策略提供参照。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Cs w:val="0"/>
          <w:szCs w:val="24"/>
          <w:lang w:eastAsia="zh-CN"/>
        </w:rPr>
      </w:pPr>
      <w:r>
        <w:rPr>
          <w:rFonts w:hint="eastAsia"/>
          <w:bCs w:val="0"/>
          <w:szCs w:val="24"/>
          <w:lang w:eastAsia="zh-CN"/>
        </w:rPr>
        <w:t>学生在阅读中实现语言能力、思维能力、学习能力以及文化品格的培养与提升。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4"/>
          <w:szCs w:val="32"/>
          <w:lang w:val="en-US" w:eastAsia="zh-CN"/>
        </w:rPr>
        <w:t>三、学期课题研究计划</w:t>
      </w:r>
    </w:p>
    <w:tbl>
      <w:tblPr>
        <w:tblStyle w:val="2"/>
        <w:tblW w:w="9042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68"/>
        <w:gridCol w:w="1264"/>
        <w:gridCol w:w="1385"/>
        <w:gridCol w:w="2109"/>
        <w:gridCol w:w="1286"/>
        <w:gridCol w:w="10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19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eastAsia" w:ascii="宋体" w:hAnsi="宋体" w:eastAsia="宋体" w:cs="宋体"/>
                <w:b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Cs w:val="21"/>
              </w:rPr>
              <w:t>研究</w:t>
            </w:r>
            <w:r>
              <w:rPr>
                <w:rFonts w:hint="eastAsia" w:ascii="宋体" w:hAnsi="宋体" w:cs="宋体"/>
                <w:b/>
                <w:color w:val="333333"/>
                <w:kern w:val="0"/>
                <w:szCs w:val="21"/>
                <w:lang w:val="en-US" w:eastAsia="zh-CN"/>
              </w:rPr>
              <w:t>目标</w:t>
            </w:r>
          </w:p>
        </w:tc>
        <w:tc>
          <w:tcPr>
            <w:tcW w:w="1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line="351" w:lineRule="atLeast"/>
              <w:jc w:val="center"/>
              <w:rPr>
                <w:rFonts w:hint="default" w:ascii="宋体" w:hAnsi="宋体" w:eastAsia="宋体" w:cs="宋体"/>
                <w:b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Cs w:val="21"/>
                <w:lang w:val="en-US" w:eastAsia="zh-CN"/>
              </w:rPr>
              <w:t>研究内容</w:t>
            </w:r>
          </w:p>
        </w:tc>
        <w:tc>
          <w:tcPr>
            <w:tcW w:w="13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default" w:ascii="宋体" w:hAnsi="宋体" w:eastAsia="宋体" w:cs="宋体"/>
                <w:b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Cs w:val="21"/>
                <w:lang w:val="en-US" w:eastAsia="zh-CN"/>
              </w:rPr>
              <w:t>研究时间</w:t>
            </w:r>
          </w:p>
        </w:tc>
        <w:tc>
          <w:tcPr>
            <w:tcW w:w="21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default" w:ascii="宋体" w:hAnsi="宋体" w:eastAsia="宋体" w:cs="宋体"/>
                <w:b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Cs w:val="21"/>
                <w:lang w:val="en-US" w:eastAsia="zh-CN"/>
              </w:rPr>
              <w:t>预计研究成果</w:t>
            </w:r>
          </w:p>
        </w:tc>
        <w:tc>
          <w:tcPr>
            <w:tcW w:w="12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default" w:ascii="宋体" w:hAnsi="宋体" w:eastAsia="宋体" w:cs="宋体"/>
                <w:b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Cs w:val="21"/>
                <w:lang w:val="en-US" w:eastAsia="zh-CN"/>
              </w:rPr>
              <w:t>研究途径</w:t>
            </w:r>
          </w:p>
        </w:tc>
        <w:tc>
          <w:tcPr>
            <w:tcW w:w="10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eastAsia" w:ascii="宋体" w:hAnsi="宋体" w:eastAsia="宋体" w:cs="宋体"/>
                <w:b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Cs w:val="21"/>
                <w:lang w:val="en-US" w:eastAsia="zh-CN"/>
              </w:rPr>
              <w:t>负责人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  <w:jc w:val="center"/>
        </w:trPr>
        <w:tc>
          <w:tcPr>
            <w:tcW w:w="1968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ind w:firstLine="420" w:firstLineChars="200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厘清呼应核心素养的单元整体学习进阶内涵，制定科学的三年课题发展规划</w:t>
            </w:r>
          </w:p>
        </w:tc>
        <w:tc>
          <w:tcPr>
            <w:tcW w:w="1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进行文献综述撰写的学习</w:t>
            </w:r>
          </w:p>
        </w:tc>
        <w:tc>
          <w:tcPr>
            <w:tcW w:w="13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2021.9月下旬</w:t>
            </w:r>
          </w:p>
        </w:tc>
        <w:tc>
          <w:tcPr>
            <w:tcW w:w="21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形成《基于主题意义的单元整体教学实践研究》的文献综述</w:t>
            </w:r>
          </w:p>
        </w:tc>
        <w:tc>
          <w:tcPr>
            <w:tcW w:w="12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文献研究</w:t>
            </w:r>
          </w:p>
        </w:tc>
        <w:tc>
          <w:tcPr>
            <w:tcW w:w="10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  <w:jc w:val="center"/>
        </w:trPr>
        <w:tc>
          <w:tcPr>
            <w:tcW w:w="1968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1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制定课题三年发展规划</w:t>
            </w:r>
          </w:p>
        </w:tc>
        <w:tc>
          <w:tcPr>
            <w:tcW w:w="13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2021.9月下旬</w:t>
            </w:r>
          </w:p>
        </w:tc>
        <w:tc>
          <w:tcPr>
            <w:tcW w:w="21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left"/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形成课题三年发展规划并形成教研组三年发展规划，形成量化</w:t>
            </w:r>
          </w:p>
        </w:tc>
        <w:tc>
          <w:tcPr>
            <w:tcW w:w="12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量化分析</w:t>
            </w:r>
          </w:p>
        </w:tc>
        <w:tc>
          <w:tcPr>
            <w:tcW w:w="10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spacing w:line="351" w:lineRule="atLeast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spacing w:line="351" w:lineRule="atLeast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spacing w:line="351" w:lineRule="atLeast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spacing w:line="351" w:lineRule="atLeast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  <w:jc w:val="center"/>
        </w:trPr>
        <w:tc>
          <w:tcPr>
            <w:tcW w:w="196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ind w:firstLine="420" w:firstLineChars="200"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探索呼应核心素养的单元整体学习进阶内涵，构建核心素养细目，提升教师单元整体意识和教材解读能力</w:t>
            </w:r>
          </w:p>
        </w:tc>
        <w:tc>
          <w:tcPr>
            <w:tcW w:w="1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提炼各年级单元核心素养细目，制定单元整体教学目标</w:t>
            </w:r>
          </w:p>
        </w:tc>
        <w:tc>
          <w:tcPr>
            <w:tcW w:w="13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2021.10月</w:t>
            </w:r>
          </w:p>
        </w:tc>
        <w:tc>
          <w:tcPr>
            <w:tcW w:w="21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明确三、四、五、六年级上学期各单元的核心素养细目及单元目标</w:t>
            </w:r>
          </w:p>
        </w:tc>
        <w:tc>
          <w:tcPr>
            <w:tcW w:w="12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归纳综合</w:t>
            </w:r>
          </w:p>
        </w:tc>
        <w:tc>
          <w:tcPr>
            <w:tcW w:w="10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  <w:jc w:val="center"/>
        </w:trPr>
        <w:tc>
          <w:tcPr>
            <w:tcW w:w="196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left"/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</w:p>
        </w:tc>
        <w:tc>
          <w:tcPr>
            <w:tcW w:w="1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围绕各单元整体目标重组教学内容</w:t>
            </w:r>
          </w:p>
        </w:tc>
        <w:tc>
          <w:tcPr>
            <w:tcW w:w="13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2021.11月</w:t>
            </w:r>
          </w:p>
        </w:tc>
        <w:tc>
          <w:tcPr>
            <w:tcW w:w="21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形成三、四、五、六年级上学期各单元的教学资源库</w:t>
            </w:r>
          </w:p>
        </w:tc>
        <w:tc>
          <w:tcPr>
            <w:tcW w:w="12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搜集整合</w:t>
            </w:r>
          </w:p>
        </w:tc>
        <w:tc>
          <w:tcPr>
            <w:tcW w:w="10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  <w:jc w:val="center"/>
        </w:trPr>
        <w:tc>
          <w:tcPr>
            <w:tcW w:w="1968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left"/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构建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呼应核心素养的单元学习进阶模式研究</w:t>
            </w:r>
          </w:p>
        </w:tc>
        <w:tc>
          <w:tcPr>
            <w:tcW w:w="1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开展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呼应核心素养的单元学习进阶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课例研究</w:t>
            </w:r>
          </w:p>
        </w:tc>
        <w:tc>
          <w:tcPr>
            <w:tcW w:w="13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2021.12</w:t>
            </w:r>
          </w:p>
        </w:tc>
        <w:tc>
          <w:tcPr>
            <w:tcW w:w="21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课题组成员能在市、区进行公开课展示</w:t>
            </w:r>
          </w:p>
        </w:tc>
        <w:tc>
          <w:tcPr>
            <w:tcW w:w="12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课堂观察</w:t>
            </w:r>
          </w:p>
        </w:tc>
        <w:tc>
          <w:tcPr>
            <w:tcW w:w="10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  <w:jc w:val="center"/>
        </w:trPr>
        <w:tc>
          <w:tcPr>
            <w:tcW w:w="1968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20" w:firstLineChars="200"/>
              <w:jc w:val="left"/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</w:p>
        </w:tc>
        <w:tc>
          <w:tcPr>
            <w:tcW w:w="1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提炼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呼应核心素养的单元学习进阶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教学实施策略</w:t>
            </w:r>
          </w:p>
        </w:tc>
        <w:tc>
          <w:tcPr>
            <w:tcW w:w="13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2021.1</w:t>
            </w:r>
          </w:p>
        </w:tc>
        <w:tc>
          <w:tcPr>
            <w:tcW w:w="21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形成《构建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呼应核心素养的单元学习进阶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》系列论文，并在区域内进行公开讲座</w:t>
            </w:r>
          </w:p>
        </w:tc>
        <w:tc>
          <w:tcPr>
            <w:tcW w:w="12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jc w:val="center"/>
              <w:rPr>
                <w:rFonts w:hint="default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归纳综合</w:t>
            </w:r>
          </w:p>
        </w:tc>
        <w:tc>
          <w:tcPr>
            <w:tcW w:w="10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51" w:lineRule="atLeast"/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</w:pPr>
          </w:p>
        </w:tc>
      </w:tr>
    </w:tbl>
    <w:p>
      <w:pPr>
        <w:widowControl/>
        <w:jc w:val="left"/>
        <w:rPr>
          <w:rFonts w:hint="eastAsia" w:cs="宋体" w:asciiTheme="minorEastAsia" w:hAnsiTheme="minorEastAsia"/>
          <w:b/>
          <w:bCs/>
          <w:color w:val="333333"/>
          <w:kern w:val="0"/>
          <w:szCs w:val="21"/>
        </w:rPr>
      </w:pPr>
    </w:p>
    <w:p>
      <w:pPr>
        <w:widowControl/>
        <w:jc w:val="left"/>
        <w:rPr>
          <w:rFonts w:hint="eastAsia" w:cs="宋体" w:asciiTheme="minorEastAsia" w:hAnsiTheme="minorEastAsia"/>
          <w:color w:val="000000"/>
          <w:kern w:val="0"/>
          <w:szCs w:val="21"/>
        </w:rPr>
      </w:pPr>
      <w:r>
        <w:rPr>
          <w:rFonts w:hint="eastAsia" w:cs="宋体" w:asciiTheme="minorEastAsia" w:hAnsiTheme="minorEastAsia"/>
          <w:b/>
          <w:bCs/>
          <w:color w:val="333333"/>
          <w:kern w:val="0"/>
          <w:szCs w:val="21"/>
        </w:rPr>
        <w:t>四</w:t>
      </w:r>
      <w:r>
        <w:rPr>
          <w:rFonts w:cs="Tahoma" w:asciiTheme="minorEastAsia" w:hAnsiTheme="minorEastAsia"/>
          <w:b/>
          <w:bCs/>
          <w:color w:val="333333"/>
          <w:kern w:val="0"/>
          <w:szCs w:val="21"/>
        </w:rPr>
        <w:t>、课题组</w:t>
      </w:r>
      <w:r>
        <w:rPr>
          <w:rFonts w:hint="eastAsia" w:cs="宋体" w:asciiTheme="minorEastAsia" w:hAnsiTheme="minorEastAsia"/>
          <w:b/>
          <w:bCs/>
          <w:color w:val="333333"/>
          <w:kern w:val="0"/>
          <w:szCs w:val="21"/>
        </w:rPr>
        <w:t>论文撰写计划</w:t>
      </w:r>
    </w:p>
    <w:tbl>
      <w:tblPr>
        <w:tblStyle w:val="2"/>
        <w:tblW w:w="854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2"/>
        <w:gridCol w:w="5234"/>
        <w:gridCol w:w="16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17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姓  名</w:t>
            </w:r>
          </w:p>
        </w:tc>
        <w:tc>
          <w:tcPr>
            <w:tcW w:w="52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论文题目</w:t>
            </w:r>
          </w:p>
        </w:tc>
        <w:tc>
          <w:tcPr>
            <w:tcW w:w="16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完成时间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171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hint="eastAsia" w:eastAsia="宋体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许吇</w:t>
            </w:r>
          </w:p>
        </w:tc>
        <w:tc>
          <w:tcPr>
            <w:tcW w:w="52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hint="default" w:eastAsia="宋体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bCs w:val="0"/>
                <w:szCs w:val="24"/>
                <w:lang w:val="en-US" w:eastAsia="zh-CN"/>
              </w:rPr>
              <w:t>呼应核心素养的小学英语单元学习</w:t>
            </w:r>
            <w:r>
              <w:rPr>
                <w:rFonts w:hint="eastAsia" w:ascii="宋体" w:hAnsi="宋体" w:cs="宋体"/>
                <w:color w:val="333333"/>
                <w:kern w:val="0"/>
                <w:szCs w:val="21"/>
                <w:lang w:val="en-US" w:eastAsia="zh-CN"/>
              </w:rPr>
              <w:t>教学模式探究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hint="default" w:eastAsia="宋体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2021.12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71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hint="default" w:eastAsia="宋体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戚云子</w:t>
            </w:r>
          </w:p>
        </w:tc>
        <w:tc>
          <w:tcPr>
            <w:tcW w:w="52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hint="default" w:eastAsia="宋体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呼应核心素养的语法板块教学模式初探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hint="default" w:eastAsia="宋体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2022.1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  <w:jc w:val="center"/>
        </w:trPr>
        <w:tc>
          <w:tcPr>
            <w:tcW w:w="171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hint="default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张晓栋</w:t>
            </w:r>
          </w:p>
        </w:tc>
        <w:tc>
          <w:tcPr>
            <w:tcW w:w="52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hint="default" w:eastAsia="宋体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呼应核心素养的复习板块融合教学探究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hint="default" w:eastAsia="宋体" w:cs="宋体" w:asciiTheme="minorEastAsia" w:hAnsi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  <w:lang w:val="en-US" w:eastAsia="zh-CN"/>
              </w:rPr>
              <w:t>2022.1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/>
          <w:bCs w:val="0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4BE27B"/>
    <w:multiLevelType w:val="singleLevel"/>
    <w:tmpl w:val="254BE27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5328AD3"/>
    <w:multiLevelType w:val="singleLevel"/>
    <w:tmpl w:val="55328AD3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00000000"/>
    <w:rsid w:val="025A34EF"/>
    <w:rsid w:val="036A1510"/>
    <w:rsid w:val="06F07F9C"/>
    <w:rsid w:val="07972AF0"/>
    <w:rsid w:val="09C769CD"/>
    <w:rsid w:val="0EDB1514"/>
    <w:rsid w:val="124318AA"/>
    <w:rsid w:val="12851EC3"/>
    <w:rsid w:val="13C60B6C"/>
    <w:rsid w:val="166C5148"/>
    <w:rsid w:val="17DE3E23"/>
    <w:rsid w:val="18E70425"/>
    <w:rsid w:val="1C200EAE"/>
    <w:rsid w:val="1F686DF4"/>
    <w:rsid w:val="1FCF29CF"/>
    <w:rsid w:val="2E870232"/>
    <w:rsid w:val="33661445"/>
    <w:rsid w:val="33EF4E4D"/>
    <w:rsid w:val="3BA7084C"/>
    <w:rsid w:val="3BE85836"/>
    <w:rsid w:val="4290203A"/>
    <w:rsid w:val="43B94602"/>
    <w:rsid w:val="43C5148D"/>
    <w:rsid w:val="448E1A6B"/>
    <w:rsid w:val="45C1250B"/>
    <w:rsid w:val="47BF76A5"/>
    <w:rsid w:val="49261002"/>
    <w:rsid w:val="4CE03BBE"/>
    <w:rsid w:val="54692742"/>
    <w:rsid w:val="54A51975"/>
    <w:rsid w:val="553962AA"/>
    <w:rsid w:val="5D292560"/>
    <w:rsid w:val="616B7B39"/>
    <w:rsid w:val="62F010BE"/>
    <w:rsid w:val="6612673F"/>
    <w:rsid w:val="6A3C1FDC"/>
    <w:rsid w:val="6F6618A9"/>
    <w:rsid w:val="75E874BC"/>
    <w:rsid w:val="76E557A9"/>
    <w:rsid w:val="7CF91FAF"/>
    <w:rsid w:val="7EDC56E4"/>
    <w:rsid w:val="7FD9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FakeIcon</cp:lastModifiedBy>
  <dcterms:modified xsi:type="dcterms:W3CDTF">2022-10-17T07:25:37Z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183501488C8542F99C2B7E29860D492D</vt:lpwstr>
  </property>
</Properties>
</file>