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sz w:val="28"/>
          <w:szCs w:val="28"/>
          <w:lang w:eastAsia="zh-CN"/>
        </w:rPr>
        <w:t>市</w:t>
      </w:r>
      <w:r>
        <w:rPr>
          <w:rFonts w:hint="eastAsia" w:ascii="黑体" w:hAnsi="黑体" w:eastAsia="黑体"/>
          <w:sz w:val="28"/>
          <w:szCs w:val="28"/>
        </w:rPr>
        <w:t>级课题《</w:t>
      </w:r>
      <w:r>
        <w:rPr>
          <w:rFonts w:hint="eastAsia" w:ascii="宋体" w:hAnsi="宋体"/>
          <w:bCs/>
          <w:sz w:val="28"/>
          <w:szCs w:val="28"/>
          <w:u w:val="none"/>
        </w:rPr>
        <w:t>基于生命课堂开展小学语文大单元教学的实践与研究</w:t>
      </w:r>
      <w:r>
        <w:rPr>
          <w:rFonts w:hint="eastAsia" w:ascii="黑体" w:hAnsi="黑体" w:eastAsia="黑体"/>
          <w:sz w:val="28"/>
          <w:szCs w:val="28"/>
        </w:rPr>
        <w:t>》</w:t>
      </w:r>
    </w:p>
    <w:tbl>
      <w:tblPr>
        <w:tblStyle w:val="5"/>
        <w:tblpPr w:leftFromText="180" w:rightFromText="180" w:vertAnchor="text" w:horzAnchor="page" w:tblpX="1789" w:tblpY="644"/>
        <w:tblOverlap w:val="never"/>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1620"/>
        <w:gridCol w:w="2285"/>
        <w:gridCol w:w="128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eastAsia="zh-CN" w:bidi="ar-SA"/>
              </w:rPr>
            </w:pPr>
            <w:r>
              <w:rPr>
                <w:rFonts w:hint="eastAsia" w:ascii="Times New Roman" w:hAnsi="Times New Roman"/>
                <w:lang w:val="en-US" w:eastAsia="zh-CN" w:bidi="ar-SA"/>
              </w:rPr>
              <w:t>学习人</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hint="eastAsia" w:eastAsia="宋体"/>
                <w:lang w:val="en-US" w:eastAsia="zh-CN" w:bidi="ar-SA"/>
              </w:rPr>
            </w:pPr>
            <w:r>
              <w:rPr>
                <w:rFonts w:hint="eastAsia"/>
                <w:lang w:val="en-US" w:eastAsia="zh-CN" w:bidi="ar-SA"/>
              </w:rPr>
              <w:t>樊迎香</w:t>
            </w:r>
          </w:p>
        </w:tc>
        <w:tc>
          <w:tcPr>
            <w:tcW w:w="1620" w:type="dxa"/>
            <w:tcBorders>
              <w:top w:val="single" w:color="auto" w:sz="4" w:space="0"/>
              <w:left w:val="nil"/>
              <w:bottom w:val="single" w:color="auto" w:sz="4" w:space="0"/>
              <w:right w:val="single" w:color="auto" w:sz="4" w:space="0"/>
            </w:tcBorders>
            <w:noWrap w:val="0"/>
            <w:vAlign w:val="center"/>
          </w:tcPr>
          <w:p>
            <w:pPr>
              <w:jc w:val="center"/>
              <w:rPr>
                <w:lang w:val="en-US" w:eastAsia="zh-CN" w:bidi="ar-SA"/>
              </w:rPr>
            </w:pPr>
            <w:r>
              <w:rPr>
                <w:rFonts w:hint="eastAsia" w:ascii="Times New Roman" w:hAnsi="Times New Roman"/>
                <w:lang w:val="en-US" w:eastAsia="zh-CN" w:bidi="ar-SA"/>
              </w:rPr>
              <w:t>摘录来源</w:t>
            </w:r>
          </w:p>
        </w:tc>
        <w:tc>
          <w:tcPr>
            <w:tcW w:w="2285" w:type="dxa"/>
            <w:tcBorders>
              <w:top w:val="single" w:color="auto" w:sz="4" w:space="0"/>
              <w:left w:val="nil"/>
              <w:bottom w:val="single" w:color="auto" w:sz="4" w:space="0"/>
              <w:right w:val="single" w:color="auto" w:sz="4" w:space="0"/>
            </w:tcBorders>
            <w:noWrap w:val="0"/>
            <w:vAlign w:val="center"/>
          </w:tcPr>
          <w:p>
            <w:pPr>
              <w:jc w:val="center"/>
              <w:rPr>
                <w:lang w:val="en-US" w:eastAsia="zh-CN" w:bidi="ar-SA"/>
              </w:rPr>
            </w:pPr>
            <w:r>
              <w:rPr>
                <w:rFonts w:hint="eastAsia"/>
                <w:lang w:val="en-US" w:eastAsia="zh-CN" w:bidi="ar-SA"/>
              </w:rPr>
              <w:t>知网期刊</w:t>
            </w:r>
          </w:p>
        </w:tc>
        <w:tc>
          <w:tcPr>
            <w:tcW w:w="1280" w:type="dxa"/>
            <w:tcBorders>
              <w:top w:val="single" w:color="auto" w:sz="4" w:space="0"/>
              <w:left w:val="nil"/>
              <w:bottom w:val="single" w:color="auto" w:sz="4" w:space="0"/>
              <w:right w:val="single" w:color="auto" w:sz="4" w:space="0"/>
            </w:tcBorders>
            <w:noWrap w:val="0"/>
            <w:vAlign w:val="center"/>
          </w:tcPr>
          <w:p>
            <w:pPr>
              <w:jc w:val="center"/>
              <w:rPr>
                <w:lang w:val="en-US" w:eastAsia="zh-CN" w:bidi="ar-SA"/>
              </w:rPr>
            </w:pPr>
            <w:r>
              <w:rPr>
                <w:rFonts w:hint="eastAsia" w:ascii="Times New Roman" w:hAnsi="Times New Roman"/>
                <w:lang w:val="en-US" w:eastAsia="zh-CN" w:bidi="ar-SA"/>
              </w:rPr>
              <w:t>学习时间</w:t>
            </w:r>
          </w:p>
        </w:tc>
        <w:tc>
          <w:tcPr>
            <w:tcW w:w="1740" w:type="dxa"/>
            <w:tcBorders>
              <w:top w:val="single" w:color="auto" w:sz="4" w:space="0"/>
              <w:left w:val="nil"/>
              <w:bottom w:val="single" w:color="auto" w:sz="4" w:space="0"/>
              <w:right w:val="single" w:color="auto" w:sz="4" w:space="0"/>
            </w:tcBorders>
            <w:noWrap w:val="0"/>
            <w:vAlign w:val="center"/>
          </w:tcPr>
          <w:p>
            <w:pPr>
              <w:jc w:val="center"/>
              <w:rPr>
                <w:rFonts w:hint="default" w:eastAsia="宋体"/>
                <w:lang w:val="en-US" w:eastAsia="zh-CN" w:bidi="ar-SA"/>
              </w:rPr>
            </w:pPr>
            <w:r>
              <w:rPr>
                <w:rFonts w:hint="eastAsia"/>
                <w:lang w:val="en-US" w:bidi="ar-SA"/>
              </w:rPr>
              <w:t>2</w:t>
            </w:r>
            <w:r>
              <w:rPr>
                <w:lang w:val="en-US" w:bidi="ar-SA"/>
              </w:rPr>
              <w:t>02</w:t>
            </w:r>
            <w:r>
              <w:rPr>
                <w:rFonts w:hint="eastAsia"/>
                <w:lang w:val="en-US" w:eastAsia="zh-CN" w:bidi="ar-SA"/>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4" w:hRule="atLeast"/>
        </w:trPr>
        <w:tc>
          <w:tcPr>
            <w:tcW w:w="97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学科核心素养是指学生学完某学科之后 逐步形成的关键能力、必备品格与价值观念</w:t>
            </w:r>
            <w:r>
              <w:rPr>
                <w:rFonts w:hint="eastAsia" w:ascii="宋体" w:hAnsi="宋体" w:cs="宋体"/>
                <w:color w:val="231F20"/>
                <w:kern w:val="0"/>
                <w:sz w:val="24"/>
                <w:szCs w:val="24"/>
                <w:lang w:val="en-US" w:eastAsia="zh-CN" w:bidi="ar"/>
              </w:rPr>
              <w:t>,</w:t>
            </w:r>
            <w:r>
              <w:rPr>
                <w:rFonts w:hint="eastAsia" w:ascii="宋体" w:hAnsi="宋体" w:eastAsia="宋体" w:cs="宋体"/>
                <w:color w:val="231F20"/>
                <w:kern w:val="0"/>
                <w:sz w:val="24"/>
                <w:szCs w:val="24"/>
                <w:lang w:val="en-US" w:eastAsia="zh-CN" w:bidi="ar"/>
              </w:rPr>
              <w:t xml:space="preserve">因此，对学科核心素养的评价必须超越以前惯用的双向细目表，不局限于知识点的识记、理解、简单应用，而应该从“在何种情境下能运用什么知识完成什么任务”来评价学生学科核心素养的达成程度。也就是说，学生学科核心素养的表现程度需要通过在真实情境中运用所学的知识并能完成某种任务来衡量，指向素养的评价必须要有恰当的情境，离开真实情境或任务是无法很好地评价核心素养的。这样，指向学科核心素养的评价就会倒逼教学，使得教学也需要介入真实的情境与任务，当然，真实的情境与任务首先必须体现在大单元的教学设计中。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为何强调“真实”？大体上，强调“真实”有三层意思。第一，把真实情境与任务背后的“真实世界”直接当作课程的组成部分，以实现学生的“真学习”。课程作为专业实践，不排斥学科世界、符号世界，但反对虚假、虚构，甚至过多的虚拟，这样，培养出来的新人才能更好地认识世界、改造世界，并努力造福世界。第二，要衡量关键能力、必备品格与价值观念，最好的做法是让学生“做事”。因为做事可以考查学生所学的知识、展示出来的技能、表现出来的情感与态度、推论行为背后的价值观念等。做事需要学生在真实的情境中完成某项任务。因此，“真实”是教学与评价时所使用的情境与任务必须具有的属性。</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231F2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9733" w:type="dxa"/>
            <w:gridSpan w:val="6"/>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numPr>
                <w:ilvl w:val="0"/>
                <w:numId w:val="0"/>
              </w:numPr>
              <w:shd w:val="clear" w:color="auto" w:fill="auto"/>
              <w:tabs>
                <w:tab w:val="left" w:pos="754"/>
              </w:tabs>
              <w:kinsoku/>
              <w:wordWrap/>
              <w:overflowPunct/>
              <w:topLinePunct w:val="0"/>
              <w:autoSpaceDE/>
              <w:autoSpaceDN/>
              <w:bidi w:val="0"/>
              <w:adjustRightInd/>
              <w:snapToGrid/>
              <w:spacing w:before="0" w:after="0" w:line="360" w:lineRule="auto"/>
              <w:ind w:leftChars="100" w:right="0" w:rightChars="0"/>
              <w:jc w:val="both"/>
              <w:textAlignment w:val="auto"/>
              <w:rPr>
                <w:rFonts w:hint="eastAsia" w:ascii="Calibri" w:hAnsi="Calibri" w:eastAsia="宋体" w:cs="Times New Roman"/>
                <w:color w:val="000000"/>
                <w:spacing w:val="0"/>
                <w:w w:val="100"/>
                <w:kern w:val="2"/>
                <w:position w:val="0"/>
                <w:sz w:val="21"/>
                <w:szCs w:val="21"/>
                <w:u w:val="none"/>
                <w:shd w:val="clear" w:color="auto" w:fill="auto"/>
                <w:lang w:val="en-US" w:eastAsia="zh-CN" w:bidi="ar-SA"/>
              </w:rPr>
            </w:pPr>
            <w:r>
              <w:rPr>
                <w:rFonts w:hint="eastAsia" w:ascii="宋体" w:hAnsi="宋体" w:eastAsia="宋体" w:cs="宋体"/>
                <w:b/>
                <w:bCs/>
                <w:sz w:val="28"/>
                <w:szCs w:val="28"/>
                <w:lang w:val="en-US" w:eastAsia="zh-CN" w:bidi="ar-SA"/>
              </w:rPr>
              <w:t>学习心得：</w:t>
            </w:r>
            <w:r>
              <w:rPr>
                <w:rFonts w:ascii="宋体" w:hAnsi="宋体" w:eastAsia="宋体" w:cs="宋体"/>
                <w:sz w:val="24"/>
                <w:szCs w:val="24"/>
              </w:rPr>
              <w:t>核心素养落地不是依靠一个愿景、一套理念就可以实现的，更需要教师课程思维方式与操作技术的重大改变。“单元站位”意味着核心素养时代教师课程思维的重要转型，需要我们站在“核心素养落地途径”“课程学习最小单位”等方面思考教学设计、教学实践、教学评价，尤其在课堂设计上要走向备单元、上单元、评单元。</w:t>
            </w:r>
            <w:bookmarkStart w:id="0" w:name="_GoBack"/>
            <w:bookmarkEnd w:id="0"/>
          </w:p>
        </w:tc>
      </w:tr>
    </w:tbl>
    <w:p>
      <w:pPr>
        <w:pageBreakBefore w:val="0"/>
        <w:kinsoku/>
        <w:wordWrap/>
        <w:overflowPunct/>
        <w:topLinePunct w:val="0"/>
        <w:autoSpaceDE/>
        <w:autoSpaceDN/>
        <w:bidi w:val="0"/>
        <w:adjustRightInd/>
        <w:snapToGrid/>
        <w:spacing w:line="360" w:lineRule="auto"/>
        <w:textAlignment w:val="auto"/>
        <w:rPr>
          <w:rFonts w:hint="eastAsia"/>
          <w:b/>
          <w:bCs/>
          <w:sz w:val="28"/>
          <w:szCs w:val="28"/>
        </w:rPr>
      </w:pPr>
      <w:r>
        <w:rPr>
          <w:rFonts w:hint="eastAsia"/>
          <w:b/>
          <w:bCs/>
          <w:sz w:val="28"/>
          <w:szCs w:val="28"/>
        </w:rPr>
        <w:t xml:space="preserve"> </w:t>
      </w:r>
    </w:p>
    <w:p>
      <w:pPr>
        <w:pageBreakBefore w:val="0"/>
        <w:kinsoku/>
        <w:wordWrap/>
        <w:overflowPunct/>
        <w:topLinePunct w:val="0"/>
        <w:autoSpaceDE/>
        <w:autoSpaceDN/>
        <w:bidi w:val="0"/>
        <w:adjustRightInd/>
        <w:snapToGrid/>
        <w:spacing w:line="360" w:lineRule="auto"/>
        <w:textAlignment w:val="auto"/>
        <w:rPr>
          <w:rFonts w:hint="eastAsia"/>
          <w:b/>
          <w:bCs/>
          <w:sz w:val="28"/>
          <w:szCs w:val="28"/>
        </w:rPr>
      </w:pPr>
    </w:p>
    <w:sectPr>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汉仪细等线简">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DJiN2JhOGFjYzcxMjkwNWI4NzdlNTY5YzQ3NDgifQ=="/>
  </w:docVars>
  <w:rsids>
    <w:rsidRoot w:val="00391945"/>
    <w:rsid w:val="00011EDD"/>
    <w:rsid w:val="002E5621"/>
    <w:rsid w:val="002F4190"/>
    <w:rsid w:val="00391945"/>
    <w:rsid w:val="003D162C"/>
    <w:rsid w:val="00812522"/>
    <w:rsid w:val="00A237BA"/>
    <w:rsid w:val="06494121"/>
    <w:rsid w:val="14935CBE"/>
    <w:rsid w:val="16DA7AAC"/>
    <w:rsid w:val="19C408E2"/>
    <w:rsid w:val="1A705FB9"/>
    <w:rsid w:val="1E214AC3"/>
    <w:rsid w:val="30063EE1"/>
    <w:rsid w:val="352009DC"/>
    <w:rsid w:val="39391A52"/>
    <w:rsid w:val="42E92E66"/>
    <w:rsid w:val="499E56A8"/>
    <w:rsid w:val="4B0E424E"/>
    <w:rsid w:val="5E356442"/>
    <w:rsid w:val="5F63099F"/>
    <w:rsid w:val="66B11EF5"/>
    <w:rsid w:val="737C05E0"/>
    <w:rsid w:val="757C29A6"/>
    <w:rsid w:val="762A6DDD"/>
    <w:rsid w:val="794B4C7B"/>
    <w:rsid w:val="7F1B4AAA"/>
    <w:rsid w:val="FC67BD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正文文本1"/>
    <w:basedOn w:val="1"/>
    <w:qFormat/>
    <w:uiPriority w:val="0"/>
    <w:pPr>
      <w:widowControl w:val="0"/>
      <w:shd w:val="clear" w:color="auto" w:fill="FFFFFF"/>
      <w:spacing w:line="338" w:lineRule="auto"/>
      <w:ind w:firstLine="400"/>
    </w:pPr>
    <w:rPr>
      <w:rFonts w:ascii="MingLiU" w:hAnsi="MingLiU" w:eastAsia="MingLiU" w:cs="MingLiU"/>
      <w:sz w:val="20"/>
      <w:szCs w:val="20"/>
      <w:u w:val="none"/>
      <w:lang w:val="zh-CN" w:eastAsia="zh-CN" w:bidi="zh-CN"/>
    </w:rPr>
  </w:style>
  <w:style w:type="paragraph" w:customStyle="1" w:styleId="8">
    <w:name w:val="标题 #1"/>
    <w:basedOn w:val="1"/>
    <w:uiPriority w:val="0"/>
    <w:pPr>
      <w:widowControl w:val="0"/>
      <w:shd w:val="clear" w:color="auto" w:fill="FFFFFF"/>
      <w:spacing w:after="110"/>
      <w:jc w:val="center"/>
      <w:outlineLvl w:val="0"/>
    </w:pPr>
    <w:rPr>
      <w:rFonts w:ascii="MingLiU" w:hAnsi="MingLiU" w:eastAsia="MingLiU" w:cs="MingLiU"/>
      <w:sz w:val="42"/>
      <w:szCs w:val="42"/>
      <w:u w:val="none"/>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752</Words>
  <Characters>758</Characters>
  <Lines>7</Lines>
  <Paragraphs>2</Paragraphs>
  <TotalTime>33</TotalTime>
  <ScaleCrop>false</ScaleCrop>
  <LinksUpToDate>false</LinksUpToDate>
  <CharactersWithSpaces>761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2020-08-30T11:17:00Z</dcterms:created>
  <dc:creator>Microsoft Office User</dc:creator>
  <cp:lastModifiedBy>樊</cp:lastModifiedBy>
  <dcterms:modified xsi:type="dcterms:W3CDTF">2022-10-06T03:20:04Z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57238BFB28FE448FBDE1B1E108EA3988</vt:lpwstr>
  </property>
</Properties>
</file>