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幼儿生态运动游戏和健康活动文本目标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社会性要素分析报告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通过对幼儿园园本课程内的所有生态运动游戏和健康活动的文本目标进行梳理，我们得出以下数据：</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文本要素提炼：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小班生态运动游戏（17节）社会性要素提炼：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534" w:type="dxa"/>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r>
    </w:tbl>
    <w:p>
      <w:pP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小班健康活动（30节）社会性要素提炼：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中班生态运动游戏（19节）社会性要素提炼：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中班健康活动（30节）社会性要素提炼：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534"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大班生态运动游戏（20节）社会性要素提炼：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534"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17</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r>
    </w:tbl>
    <w:p>
      <w:pP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大班健康活动（38节）社会性要素提炼：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534"/>
        <w:gridCol w:w="1534"/>
        <w:gridCol w:w="1534"/>
        <w:gridCol w:w="1534"/>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6"/>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亲社会行为出现种类及频次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种类</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534" w:type="dxa"/>
            <w:vAlign w:val="top"/>
          </w:tcPr>
          <w:p>
            <w:pPr>
              <w:jc w:val="center"/>
            </w:pPr>
            <w:r>
              <w:rPr>
                <w:rFonts w:hint="eastAsia" w:ascii="宋体" w:hAnsi="宋体" w:eastAsia="宋体" w:cs="宋体"/>
                <w:b w:val="0"/>
                <w:bCs w:val="0"/>
                <w:sz w:val="21"/>
                <w:szCs w:val="21"/>
                <w:vertAlign w:val="baseline"/>
                <w:lang w:val="en-US" w:eastAsia="zh-CN"/>
              </w:rPr>
              <w:t>公德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频次</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534" w:type="dxa"/>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15</w:t>
            </w:r>
          </w:p>
        </w:tc>
        <w:tc>
          <w:tcPr>
            <w:tcW w:w="1534"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1534" w:type="dxa"/>
            <w:vAlign w:val="top"/>
          </w:tcPr>
          <w:p>
            <w:pPr>
              <w:jc w:val="center"/>
              <w:rPr>
                <w:rFonts w:hint="default"/>
                <w:lang w:val="en-US"/>
              </w:rPr>
            </w:pPr>
            <w:r>
              <w:rPr>
                <w:rFonts w:hint="eastAsia" w:ascii="宋体" w:hAnsi="宋体" w:eastAsia="宋体" w:cs="宋体"/>
                <w:b w:val="0"/>
                <w:bCs w:val="0"/>
                <w:sz w:val="21"/>
                <w:szCs w:val="21"/>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共计</w:t>
            </w:r>
          </w:p>
        </w:tc>
        <w:tc>
          <w:tcPr>
            <w:tcW w:w="7670" w:type="dxa"/>
            <w:gridSpan w:val="5"/>
            <w:vAlign w:val="top"/>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黑体" w:hAnsi="黑体" w:eastAsia="黑体" w:cs="黑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宋体" w:hAnsi="宋体" w:eastAsia="宋体" w:cs="宋体"/>
          <w:sz w:val="21"/>
          <w:szCs w:val="21"/>
        </w:rPr>
      </w:pPr>
      <w:r>
        <w:rPr>
          <w:rFonts w:hint="eastAsia" w:ascii="黑体" w:hAnsi="黑体" w:eastAsia="黑体" w:cs="黑体"/>
          <w:sz w:val="30"/>
          <w:szCs w:val="30"/>
          <w:lang w:val="en-US" w:eastAsia="zh-CN"/>
        </w:rPr>
        <w:t>文本要素分析：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不同年龄段亲社会行为出现种类及频次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表1.不同年龄段幼儿生态运动游戏亲社会行为出现种类及频次</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987"/>
        <w:gridCol w:w="1313"/>
        <w:gridCol w:w="1350"/>
        <w:gridCol w:w="1337"/>
        <w:gridCol w:w="1338"/>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tcPr>
          <w:p>
            <w:pPr>
              <w:rPr>
                <w:rFonts w:hint="eastAsia" w:ascii="宋体" w:hAnsi="宋体" w:eastAsia="宋体" w:cs="宋体"/>
                <w:b w:val="0"/>
                <w:bCs w:val="0"/>
                <w:sz w:val="21"/>
                <w:szCs w:val="21"/>
                <w:vertAlign w:val="baseline"/>
                <w:lang w:val="en-US" w:eastAsia="zh-CN"/>
              </w:rPr>
            </w:pPr>
          </w:p>
        </w:tc>
        <w:tc>
          <w:tcPr>
            <w:tcW w:w="987"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安慰</w:t>
            </w:r>
          </w:p>
        </w:tc>
        <w:tc>
          <w:tcPr>
            <w:tcW w:w="1313"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助人</w:t>
            </w:r>
          </w:p>
        </w:tc>
        <w:tc>
          <w:tcPr>
            <w:tcW w:w="1350"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合作</w:t>
            </w:r>
          </w:p>
        </w:tc>
        <w:tc>
          <w:tcPr>
            <w:tcW w:w="1337"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分享</w:t>
            </w:r>
          </w:p>
        </w:tc>
        <w:tc>
          <w:tcPr>
            <w:tcW w:w="1338" w:type="dxa"/>
            <w:vAlign w:val="top"/>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公德</w:t>
            </w:r>
          </w:p>
        </w:tc>
        <w:tc>
          <w:tcPr>
            <w:tcW w:w="936" w:type="dxa"/>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小班（17）</w:t>
            </w:r>
          </w:p>
        </w:tc>
        <w:tc>
          <w:tcPr>
            <w:tcW w:w="98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13"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1（5.9%）</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3（17.6%）</w:t>
            </w:r>
          </w:p>
        </w:tc>
        <w:tc>
          <w:tcPr>
            <w:tcW w:w="13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2（11.8%）</w:t>
            </w:r>
          </w:p>
        </w:tc>
        <w:tc>
          <w:tcPr>
            <w:tcW w:w="133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2（11.8%）</w:t>
            </w:r>
          </w:p>
        </w:tc>
        <w:tc>
          <w:tcPr>
            <w:tcW w:w="936"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中班（19）</w:t>
            </w:r>
          </w:p>
        </w:tc>
        <w:tc>
          <w:tcPr>
            <w:tcW w:w="98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13"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15（78.9%）</w:t>
            </w:r>
          </w:p>
        </w:tc>
        <w:tc>
          <w:tcPr>
            <w:tcW w:w="13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w:t>
            </w:r>
          </w:p>
        </w:tc>
        <w:tc>
          <w:tcPr>
            <w:tcW w:w="133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2（10.5%）</w:t>
            </w:r>
          </w:p>
        </w:tc>
        <w:tc>
          <w:tcPr>
            <w:tcW w:w="93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1"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大班（20）</w:t>
            </w:r>
          </w:p>
        </w:tc>
        <w:tc>
          <w:tcPr>
            <w:tcW w:w="98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13"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17（85%）</w:t>
            </w:r>
          </w:p>
        </w:tc>
        <w:tc>
          <w:tcPr>
            <w:tcW w:w="13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3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2（10%）</w:t>
            </w:r>
          </w:p>
        </w:tc>
        <w:tc>
          <w:tcPr>
            <w:tcW w:w="936"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drawing>
          <wp:inline distT="0" distB="0" distL="114300" distR="114300">
            <wp:extent cx="4572000" cy="2746375"/>
            <wp:effectExtent l="4445" t="4445" r="8255" b="508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数据分析：有图表可知，现有生态运动案例文本中，多数生态运动游戏的目标都聚焦于亲社会行为中的合作行为，整体出现的频次较高；安慰行为在生态运动游戏的目标中没有出现，可能是因为安慰行为在教育教学目标中很难体现。就年龄段而言，中大班生态运动游戏目标中亲社会行为出现的频次明显高于小班，尤其是在合作行为方面，随着年龄增长，合作行为出现的频次不断增加。但从图表中发现，在分享行为方面，小班出现的频次高于中班，大班没有涉及。</w:t>
      </w:r>
    </w:p>
    <w:p>
      <w:pPr>
        <w:spacing w:line="360" w:lineRule="auto"/>
        <w:ind w:firstLine="480" w:firstLineChars="200"/>
        <w:rPr>
          <w:rFonts w:hint="eastAsia" w:ascii="宋体" w:hAnsi="宋体" w:eastAsia="宋体" w:cs="宋体"/>
          <w:sz w:val="24"/>
          <w:szCs w:val="24"/>
          <w:lang w:val="en-US" w:eastAsia="zh-CN"/>
        </w:rPr>
      </w:pP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问题：对照《指南》健康领域和社会领域目标后可知，在现有的生态运动案例文本中，对于小班来说，出现合作的目标行为是不合适的，而公德行为中的遵守规则是更为切合小班年龄段特点的重要教育目标，可以适当增加出现的频次；中大班要关注幼儿的分享行为，适当增加分享行为的目标描述和游戏设计。</w:t>
      </w:r>
    </w:p>
    <w:p>
      <w:pPr>
        <w:spacing w:line="360" w:lineRule="auto"/>
        <w:ind w:firstLine="480" w:firstLineChars="200"/>
        <w:rPr>
          <w:rFonts w:hint="eastAsia" w:ascii="宋体" w:hAnsi="宋体" w:eastAsia="宋体" w:cs="宋体"/>
          <w:sz w:val="24"/>
          <w:szCs w:val="24"/>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表2.不同年龄段幼儿健康活动亲社会行为出现种类及频次</w:t>
      </w:r>
    </w:p>
    <w:tbl>
      <w:tblPr>
        <w:tblStyle w:val="3"/>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44"/>
        <w:gridCol w:w="1463"/>
        <w:gridCol w:w="1450"/>
        <w:gridCol w:w="1312"/>
        <w:gridCol w:w="1313"/>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tcPr>
          <w:p>
            <w:pPr>
              <w:keepNext w:val="0"/>
              <w:keepLines w:val="0"/>
              <w:pageBreakBefore w:val="0"/>
              <w:kinsoku/>
              <w:wordWrap/>
              <w:overflowPunct/>
              <w:topLinePunct w:val="0"/>
              <w:autoSpaceDE/>
              <w:autoSpaceDN/>
              <w:bidi w:val="0"/>
              <w:adjustRightInd/>
              <w:snapToGrid/>
              <w:spacing w:line="360" w:lineRule="auto"/>
              <w:rPr>
                <w:rFonts w:hint="eastAsia" w:eastAsiaTheme="minorEastAsia"/>
                <w:sz w:val="24"/>
                <w:szCs w:val="24"/>
                <w:vertAlign w:val="baseline"/>
                <w:lang w:val="en-US" w:eastAsia="zh-CN"/>
              </w:rPr>
            </w:pPr>
          </w:p>
        </w:tc>
        <w:tc>
          <w:tcPr>
            <w:tcW w:w="1244"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安慰行为</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助人行为</w:t>
            </w:r>
          </w:p>
        </w:tc>
        <w:tc>
          <w:tcPr>
            <w:tcW w:w="1450"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合作行为</w:t>
            </w:r>
          </w:p>
        </w:tc>
        <w:tc>
          <w:tcPr>
            <w:tcW w:w="1312" w:type="dxa"/>
          </w:tcPr>
          <w:p>
            <w:pPr>
              <w:keepNext w:val="0"/>
              <w:keepLines w:val="0"/>
              <w:pageBreakBefore w:val="0"/>
              <w:kinsoku/>
              <w:wordWrap/>
              <w:overflowPunct/>
              <w:topLinePunct w:val="0"/>
              <w:autoSpaceDE/>
              <w:autoSpaceDN/>
              <w:bidi w:val="0"/>
              <w:adjustRightInd/>
              <w:snapToGrid/>
              <w:spacing w:line="360" w:lineRule="auto"/>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分享行为</w:t>
            </w:r>
          </w:p>
        </w:tc>
        <w:tc>
          <w:tcPr>
            <w:tcW w:w="131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公德行为</w:t>
            </w:r>
          </w:p>
        </w:tc>
        <w:tc>
          <w:tcPr>
            <w:tcW w:w="1050" w:type="dxa"/>
          </w:tcPr>
          <w:p>
            <w:pPr>
              <w:keepNext w:val="0"/>
              <w:keepLines w:val="0"/>
              <w:pageBreakBefore w:val="0"/>
              <w:kinsoku/>
              <w:wordWrap/>
              <w:overflowPunct/>
              <w:topLinePunct w:val="0"/>
              <w:autoSpaceDE/>
              <w:autoSpaceDN/>
              <w:bidi w:val="0"/>
              <w:adjustRightInd/>
              <w:snapToGrid/>
              <w:spacing w:line="360" w:lineRule="auto"/>
              <w:jc w:val="center"/>
              <w:rPr>
                <w:rFonts w:hint="default"/>
                <w:b/>
                <w:bCs/>
                <w:sz w:val="24"/>
                <w:szCs w:val="24"/>
                <w:vertAlign w:val="baseline"/>
                <w:lang w:val="en-US" w:eastAsia="zh-CN"/>
              </w:rPr>
            </w:pPr>
            <w:r>
              <w:rPr>
                <w:rFonts w:hint="eastAsia"/>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小班（30）</w:t>
            </w:r>
          </w:p>
        </w:tc>
        <w:tc>
          <w:tcPr>
            <w:tcW w:w="1244"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0（0%）</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2（6.7%）</w:t>
            </w:r>
          </w:p>
        </w:tc>
        <w:tc>
          <w:tcPr>
            <w:tcW w:w="1450"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5（16.7%）</w:t>
            </w:r>
          </w:p>
        </w:tc>
        <w:tc>
          <w:tcPr>
            <w:tcW w:w="1312"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2（6.7%）</w:t>
            </w:r>
          </w:p>
        </w:tc>
        <w:tc>
          <w:tcPr>
            <w:tcW w:w="131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15（50%）</w:t>
            </w:r>
          </w:p>
        </w:tc>
        <w:tc>
          <w:tcPr>
            <w:tcW w:w="1050" w:type="dxa"/>
          </w:tcPr>
          <w:p>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vertAlign w:val="baseline"/>
                <w:lang w:val="en-US" w:eastAsia="zh-CN"/>
              </w:rPr>
            </w:pPr>
            <w:r>
              <w:rPr>
                <w:rFonts w:hint="eastAsia"/>
                <w:sz w:val="24"/>
                <w:szCs w:val="24"/>
                <w:vertAlign w:val="baseli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中班（30）</w:t>
            </w:r>
          </w:p>
        </w:tc>
        <w:tc>
          <w:tcPr>
            <w:tcW w:w="1244"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0（0%）</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2（6.7%）</w:t>
            </w:r>
          </w:p>
        </w:tc>
        <w:tc>
          <w:tcPr>
            <w:tcW w:w="1450" w:type="dxa"/>
          </w:tcPr>
          <w:p>
            <w:pPr>
              <w:keepNext w:val="0"/>
              <w:keepLines w:val="0"/>
              <w:pageBreakBefore w:val="0"/>
              <w:kinsoku/>
              <w:wordWrap/>
              <w:overflowPunct/>
              <w:topLinePunct w:val="0"/>
              <w:autoSpaceDE/>
              <w:autoSpaceDN/>
              <w:bidi w:val="0"/>
              <w:adjustRightInd/>
              <w:snapToGrid/>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10（33.3%）</w:t>
            </w:r>
          </w:p>
        </w:tc>
        <w:tc>
          <w:tcPr>
            <w:tcW w:w="1312"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6（20%）</w:t>
            </w:r>
          </w:p>
        </w:tc>
        <w:tc>
          <w:tcPr>
            <w:tcW w:w="131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10（33.3%）</w:t>
            </w:r>
          </w:p>
        </w:tc>
        <w:tc>
          <w:tcPr>
            <w:tcW w:w="1050" w:type="dxa"/>
          </w:tcPr>
          <w:p>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vertAlign w:val="baseline"/>
                <w:lang w:val="en-US" w:eastAsia="zh-CN"/>
              </w:rPr>
            </w:pPr>
            <w:r>
              <w:rPr>
                <w:rFonts w:hint="eastAsia"/>
                <w:sz w:val="24"/>
                <w:szCs w:val="24"/>
                <w:vertAlign w:val="baseline"/>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大班（38）</w:t>
            </w:r>
          </w:p>
        </w:tc>
        <w:tc>
          <w:tcPr>
            <w:tcW w:w="1244"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0（0%）</w:t>
            </w:r>
          </w:p>
        </w:tc>
        <w:tc>
          <w:tcPr>
            <w:tcW w:w="146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0（0%）</w:t>
            </w:r>
          </w:p>
        </w:tc>
        <w:tc>
          <w:tcPr>
            <w:tcW w:w="1450" w:type="dxa"/>
          </w:tcPr>
          <w:p>
            <w:pPr>
              <w:keepNext w:val="0"/>
              <w:keepLines w:val="0"/>
              <w:pageBreakBefore w:val="0"/>
              <w:kinsoku/>
              <w:wordWrap/>
              <w:overflowPunct/>
              <w:topLinePunct w:val="0"/>
              <w:autoSpaceDE/>
              <w:autoSpaceDN/>
              <w:bidi w:val="0"/>
              <w:adjustRightInd/>
              <w:snapToGrid/>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15（39.5%）</w:t>
            </w:r>
          </w:p>
        </w:tc>
        <w:tc>
          <w:tcPr>
            <w:tcW w:w="1312"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6（15.8%）</w:t>
            </w:r>
          </w:p>
        </w:tc>
        <w:tc>
          <w:tcPr>
            <w:tcW w:w="1313" w:type="dxa"/>
          </w:tcPr>
          <w:p>
            <w:pPr>
              <w:keepNext w:val="0"/>
              <w:keepLines w:val="0"/>
              <w:pageBreakBefore w:val="0"/>
              <w:kinsoku/>
              <w:wordWrap/>
              <w:overflowPunct/>
              <w:topLinePunct w:val="0"/>
              <w:autoSpaceDE/>
              <w:autoSpaceDN/>
              <w:bidi w:val="0"/>
              <w:adjustRightInd/>
              <w:snapToGrid/>
              <w:spacing w:line="360" w:lineRule="auto"/>
              <w:jc w:val="center"/>
              <w:rPr>
                <w:rFonts w:hint="eastAsia" w:eastAsiaTheme="minorEastAsia"/>
                <w:sz w:val="24"/>
                <w:szCs w:val="24"/>
                <w:vertAlign w:val="baseline"/>
                <w:lang w:val="en-US" w:eastAsia="zh-CN"/>
              </w:rPr>
            </w:pPr>
            <w:r>
              <w:rPr>
                <w:rFonts w:hint="eastAsia"/>
                <w:sz w:val="24"/>
                <w:szCs w:val="24"/>
                <w:vertAlign w:val="baseline"/>
                <w:lang w:val="en-US" w:eastAsia="zh-CN"/>
              </w:rPr>
              <w:t>8（21.1%）</w:t>
            </w:r>
          </w:p>
        </w:tc>
        <w:tc>
          <w:tcPr>
            <w:tcW w:w="1050" w:type="dxa"/>
          </w:tcPr>
          <w:p>
            <w:pPr>
              <w:keepNext w:val="0"/>
              <w:keepLines w:val="0"/>
              <w:pageBreakBefore w:val="0"/>
              <w:kinsoku/>
              <w:wordWrap/>
              <w:overflowPunct/>
              <w:topLinePunct w:val="0"/>
              <w:autoSpaceDE/>
              <w:autoSpaceDN/>
              <w:bidi w:val="0"/>
              <w:adjustRightInd/>
              <w:snapToGrid/>
              <w:spacing w:line="360" w:lineRule="auto"/>
              <w:jc w:val="center"/>
              <w:rPr>
                <w:rFonts w:hint="default"/>
                <w:sz w:val="24"/>
                <w:szCs w:val="24"/>
                <w:vertAlign w:val="baseline"/>
                <w:lang w:val="en-US" w:eastAsia="zh-CN"/>
              </w:rPr>
            </w:pPr>
            <w:r>
              <w:rPr>
                <w:rFonts w:hint="eastAsia"/>
                <w:sz w:val="24"/>
                <w:szCs w:val="24"/>
                <w:vertAlign w:val="baseline"/>
                <w:lang w:val="en-US" w:eastAsia="zh-CN"/>
              </w:rPr>
              <w:t>29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drawing>
          <wp:inline distT="0" distB="0" distL="114300" distR="114300">
            <wp:extent cx="4572000" cy="2752725"/>
            <wp:effectExtent l="4445" t="4445" r="8255" b="1143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数据分析：现有健康活动案例文本中，小中大班幼儿亲社会行为出现种类相同，除安慰行为外，其余4种亲社会行为都有涉及；合作行为频次随年龄增长呈上升态势，公德行为随年龄增长呈下降态势；小中班出现了助人行为，大班未出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存在问题：对照《指南》后可知，在现有的健康活动案例文本中，亲社会行为频次呈上升态势相对是比较科学的；公德行为中遵守规则行为出现的频次最高，对于“小班在成人提醒下遵守规则，中班理解基本规则，大班能自己制定规则”来说，遵守规则在目标中出现的频次呈下降态势也是符合幼儿年龄发展规律的；对于小班年龄段出现合作行为的描述，是不符合小班社会性发展特点的；大班的助人行为在文本表述中可以增加，助人行为的频次与幼儿年龄的增长应该也是成正比的。</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不同活动亲社会行为出现种类及频次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表3.小班生态运动游戏和健康活动中亲社会行为要素提炼</w:t>
      </w:r>
    </w:p>
    <w:tbl>
      <w:tblPr>
        <w:tblStyle w:val="3"/>
        <w:tblW w:w="891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88"/>
        <w:gridCol w:w="1237"/>
        <w:gridCol w:w="1250"/>
        <w:gridCol w:w="1288"/>
        <w:gridCol w:w="13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jc w:val="center"/>
              <w:rPr>
                <w:rFonts w:hint="eastAsia" w:ascii="宋体" w:hAnsi="宋体" w:eastAsia="宋体" w:cs="宋体"/>
                <w:b w:val="0"/>
                <w:bCs w:val="0"/>
                <w:sz w:val="21"/>
                <w:szCs w:val="21"/>
                <w:vertAlign w:val="baseline"/>
                <w:lang w:val="en-US" w:eastAsia="zh-CN"/>
              </w:rPr>
            </w:pP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安慰行为</w:t>
            </w:r>
          </w:p>
        </w:tc>
        <w:tc>
          <w:tcPr>
            <w:tcW w:w="1237"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助人行为</w:t>
            </w:r>
          </w:p>
        </w:tc>
        <w:tc>
          <w:tcPr>
            <w:tcW w:w="12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合作行为</w:t>
            </w:r>
          </w:p>
        </w:tc>
        <w:tc>
          <w:tcPr>
            <w:tcW w:w="12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分享行为</w:t>
            </w:r>
          </w:p>
        </w:tc>
        <w:tc>
          <w:tcPr>
            <w:tcW w:w="130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公德行为</w:t>
            </w:r>
          </w:p>
        </w:tc>
        <w:tc>
          <w:tcPr>
            <w:tcW w:w="925"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生态运动游戏</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1（5.9%）</w:t>
            </w:r>
          </w:p>
        </w:tc>
        <w:tc>
          <w:tcPr>
            <w:tcW w:w="12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3（17.6%）</w:t>
            </w:r>
          </w:p>
        </w:tc>
        <w:tc>
          <w:tcPr>
            <w:tcW w:w="12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2（11.8%）</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2（11.8%）</w:t>
            </w:r>
          </w:p>
        </w:tc>
        <w:tc>
          <w:tcPr>
            <w:tcW w:w="925" w:type="dxa"/>
            <w:vAlign w:val="center"/>
          </w:tcPr>
          <w:p>
            <w:p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健康活动</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2（6.7%）</w:t>
            </w:r>
          </w:p>
        </w:tc>
        <w:tc>
          <w:tcPr>
            <w:tcW w:w="12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5（16.7%）</w:t>
            </w:r>
          </w:p>
        </w:tc>
        <w:tc>
          <w:tcPr>
            <w:tcW w:w="12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2（6.7%）</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15（50%）</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4"/>
          <w:szCs w:val="24"/>
          <w:lang w:val="en-US" w:eastAsia="zh-CN"/>
        </w:rPr>
      </w:pPr>
      <w:r>
        <w:drawing>
          <wp:inline distT="0" distB="0" distL="114300" distR="114300">
            <wp:extent cx="4572000" cy="274955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1"/>
          <w:szCs w:val="21"/>
          <w:lang w:val="en-US" w:eastAsia="zh-CN"/>
        </w:rPr>
      </w:pPr>
      <w:r>
        <w:rPr>
          <w:rFonts w:hint="eastAsia" w:ascii="宋体" w:hAnsi="宋体" w:eastAsia="宋体" w:cs="宋体"/>
          <w:sz w:val="24"/>
          <w:szCs w:val="24"/>
          <w:lang w:val="en-US" w:eastAsia="zh-CN"/>
        </w:rPr>
        <w:t>数据分析：小班生态运动游戏与健康活动中均出现了4种亲社会行为，安慰行为没有涉及。其中，生态运动游戏中出现的亲社会行为总频次明显低于健康活动；健康活动中出现公德行为最多，其中出现最多的是遵守规则行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表4.小班生态运动游戏和健康活动中亲社会行为要素提炼</w:t>
      </w:r>
    </w:p>
    <w:tbl>
      <w:tblPr>
        <w:tblStyle w:val="3"/>
        <w:tblW w:w="891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88"/>
        <w:gridCol w:w="1237"/>
        <w:gridCol w:w="1350"/>
        <w:gridCol w:w="1188"/>
        <w:gridCol w:w="13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jc w:val="center"/>
              <w:rPr>
                <w:rFonts w:hint="eastAsia" w:ascii="宋体" w:hAnsi="宋体" w:eastAsia="宋体" w:cs="宋体"/>
                <w:b w:val="0"/>
                <w:bCs w:val="0"/>
                <w:sz w:val="21"/>
                <w:szCs w:val="21"/>
                <w:vertAlign w:val="baseline"/>
                <w:lang w:val="en-US" w:eastAsia="zh-CN"/>
              </w:rPr>
            </w:pP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安慰行为</w:t>
            </w:r>
          </w:p>
        </w:tc>
        <w:tc>
          <w:tcPr>
            <w:tcW w:w="1237"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助人行为</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合作行为</w:t>
            </w: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分享行为</w:t>
            </w:r>
          </w:p>
        </w:tc>
        <w:tc>
          <w:tcPr>
            <w:tcW w:w="130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公德行为</w:t>
            </w:r>
          </w:p>
        </w:tc>
        <w:tc>
          <w:tcPr>
            <w:tcW w:w="925"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生态运动游戏</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15（78.9%）</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2（10.5%）</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健康活动</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2（6.7%）</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10（33.3%）</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6（20%）</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10（33.3%）</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28</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pPr>
      <w:r>
        <w:drawing>
          <wp:inline distT="0" distB="0" distL="114300" distR="114300">
            <wp:extent cx="4572000" cy="2755900"/>
            <wp:effectExtent l="5080" t="4445" r="7620" b="825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数据分析：中班生态运动游戏和健康活动中均出现了4种亲社会行为，健康活动中出现的亲社会行为总量多于生态运动游戏。除合作行为以外，其余行为都是在健康活动中出现的较多。健康活动中遵守规则与公德行为出现频次相同，均为10次；生态运动游戏中合作行为出现的频次最高，达到15次之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eastAsia" w:ascii="宋体" w:hAnsi="宋体" w:eastAsia="宋体" w:cs="宋体"/>
          <w:sz w:val="24"/>
          <w:szCs w:val="24"/>
          <w:lang w:val="en-US" w:eastAsia="zh-CN"/>
        </w:rPr>
      </w:pPr>
      <w:r>
        <w:rPr>
          <w:rFonts w:hint="eastAsia" w:ascii="楷体" w:hAnsi="楷体" w:eastAsia="楷体" w:cs="楷体"/>
          <w:sz w:val="24"/>
          <w:szCs w:val="24"/>
          <w:lang w:val="en-US" w:eastAsia="zh-CN"/>
        </w:rPr>
        <w:t>表5.小班生态运动游戏和健康活动中亲社会行为要素提炼</w:t>
      </w:r>
    </w:p>
    <w:tbl>
      <w:tblPr>
        <w:tblStyle w:val="3"/>
        <w:tblW w:w="8913"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88"/>
        <w:gridCol w:w="1237"/>
        <w:gridCol w:w="1350"/>
        <w:gridCol w:w="1188"/>
        <w:gridCol w:w="13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jc w:val="center"/>
              <w:rPr>
                <w:rFonts w:hint="eastAsia" w:ascii="宋体" w:hAnsi="宋体" w:eastAsia="宋体" w:cs="宋体"/>
                <w:b w:val="0"/>
                <w:bCs w:val="0"/>
                <w:sz w:val="21"/>
                <w:szCs w:val="21"/>
                <w:vertAlign w:val="baseline"/>
                <w:lang w:val="en-US" w:eastAsia="zh-CN"/>
              </w:rPr>
            </w:pP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安慰行为</w:t>
            </w:r>
          </w:p>
        </w:tc>
        <w:tc>
          <w:tcPr>
            <w:tcW w:w="1237"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助人行为</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合作行为</w:t>
            </w: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分享行为</w:t>
            </w:r>
          </w:p>
        </w:tc>
        <w:tc>
          <w:tcPr>
            <w:tcW w:w="130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公德行为</w:t>
            </w:r>
          </w:p>
        </w:tc>
        <w:tc>
          <w:tcPr>
            <w:tcW w:w="925"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生态运动游戏</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17（85%）</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2（10%）</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健康活动</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0（0%）</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15（39.5%）</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6（15.8%）</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sz w:val="24"/>
                <w:szCs w:val="24"/>
                <w:vertAlign w:val="baseline"/>
                <w:lang w:val="en-US" w:eastAsia="zh-CN"/>
              </w:rPr>
              <w:t>8（21.1%）</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29</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drawing>
          <wp:inline distT="0" distB="0" distL="114300" distR="114300">
            <wp:extent cx="4572000" cy="2755900"/>
            <wp:effectExtent l="5080" t="4445" r="7620" b="825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分析：大班健康活动中出现合作、分享和公德行为，大班生态运动游戏中出现了助人、合作和公德行为，生态运动游戏和健康活动中均未出现安慰行为。健康运动中未出现助人行为，生态运动游戏中未出现分享行为。合作行为在生态运动游戏和健康活动中出现的频次都是最高的。健康活动中公德行为的频次明显高于生态运动游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表6.生态运动游戏和健康活动中亲社会行为要素对比</w:t>
      </w:r>
    </w:p>
    <w:tbl>
      <w:tblPr>
        <w:tblStyle w:val="3"/>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188"/>
        <w:gridCol w:w="1237"/>
        <w:gridCol w:w="1350"/>
        <w:gridCol w:w="1188"/>
        <w:gridCol w:w="1300"/>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5" w:type="dxa"/>
            <w:vAlign w:val="center"/>
          </w:tcPr>
          <w:p>
            <w:pPr>
              <w:jc w:val="center"/>
              <w:rPr>
                <w:rFonts w:hint="eastAsia" w:ascii="宋体" w:hAnsi="宋体" w:eastAsia="宋体" w:cs="宋体"/>
                <w:b w:val="0"/>
                <w:bCs w:val="0"/>
                <w:sz w:val="21"/>
                <w:szCs w:val="21"/>
                <w:vertAlign w:val="baseline"/>
                <w:lang w:val="en-US" w:eastAsia="zh-CN"/>
              </w:rPr>
            </w:pP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安慰行为</w:t>
            </w:r>
          </w:p>
        </w:tc>
        <w:tc>
          <w:tcPr>
            <w:tcW w:w="1237"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助人行为</w:t>
            </w:r>
          </w:p>
        </w:tc>
        <w:tc>
          <w:tcPr>
            <w:tcW w:w="135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合作行为</w:t>
            </w:r>
          </w:p>
        </w:tc>
        <w:tc>
          <w:tcPr>
            <w:tcW w:w="1188"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分享行为</w:t>
            </w:r>
          </w:p>
        </w:tc>
        <w:tc>
          <w:tcPr>
            <w:tcW w:w="1300" w:type="dxa"/>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val="0"/>
                <w:bCs w:val="0"/>
                <w:sz w:val="21"/>
                <w:szCs w:val="21"/>
                <w:vertAlign w:val="baseline"/>
                <w:lang w:val="en-US" w:eastAsia="zh-CN"/>
              </w:rPr>
            </w:pPr>
            <w:r>
              <w:rPr>
                <w:rFonts w:hint="eastAsia"/>
                <w:b/>
                <w:bCs/>
                <w:sz w:val="24"/>
                <w:szCs w:val="24"/>
                <w:vertAlign w:val="baseline"/>
                <w:lang w:val="en-US" w:eastAsia="zh-CN"/>
              </w:rPr>
              <w:t>公德行为</w:t>
            </w:r>
          </w:p>
        </w:tc>
        <w:tc>
          <w:tcPr>
            <w:tcW w:w="925" w:type="dxa"/>
            <w:vAlign w:val="center"/>
          </w:tcPr>
          <w:p>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4"/>
                <w:szCs w:val="24"/>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生态运动游戏</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35</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25" w:type="dxa"/>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健康活动</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0</w:t>
            </w:r>
          </w:p>
        </w:tc>
        <w:tc>
          <w:tcPr>
            <w:tcW w:w="1237"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135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30</w:t>
            </w:r>
          </w:p>
        </w:tc>
        <w:tc>
          <w:tcPr>
            <w:tcW w:w="1188"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14</w:t>
            </w:r>
          </w:p>
        </w:tc>
        <w:tc>
          <w:tcPr>
            <w:tcW w:w="1300" w:type="dxa"/>
            <w:vAlign w:val="top"/>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33</w:t>
            </w:r>
          </w:p>
        </w:tc>
        <w:tc>
          <w:tcPr>
            <w:tcW w:w="925" w:type="dxa"/>
            <w:vAlign w:val="center"/>
          </w:tcPr>
          <w:p>
            <w:p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81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上所述：中低结构的游戏（生态运动游戏）和中高结构的游戏（健康活动）相比，中高结构的游戏目标更注重对幼儿社会性发展的培养；中高结构的游戏中目标更关注公德行为，其中更加注重幼儿对规则的遵守，无论哪个年龄段，都是健康活动中遵守规则行为比生态运动游戏中更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在活动中，教师更关注对幼儿合作能力的培养（除了小班健康，其他都是合作行为所占比例最大）；与中低结构的游戏相比，中高结构的健康活动还关注到了幼儿之间的分享行为。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当然，中低结构的生态运动游戏在活动过程中给予幼儿更多自由空间，因此在目标预设上相对较为宽泛，幼儿在游戏情境中会生发各种社会性交往问题，如果教师能够加以关注并适时指导，也能促进幼儿社会性发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所以，两者在对于社会性的关注上还是有所差异的，教师可以结合本班幼儿的实际情况，调节游戏的比例，以促进幼儿亲社会行为的均衡发展。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ECDA0"/>
    <w:multiLevelType w:val="singleLevel"/>
    <w:tmpl w:val="E63ECDA0"/>
    <w:lvl w:ilvl="0" w:tentative="0">
      <w:start w:val="1"/>
      <w:numFmt w:val="chineseCounting"/>
      <w:suff w:val="nothing"/>
      <w:lvlText w:val="%1、"/>
      <w:lvlJc w:val="left"/>
      <w:rPr>
        <w:rFonts w:hint="eastAsia"/>
      </w:rPr>
    </w:lvl>
  </w:abstractNum>
  <w:abstractNum w:abstractNumId="1">
    <w:nsid w:val="2E05319E"/>
    <w:multiLevelType w:val="singleLevel"/>
    <w:tmpl w:val="2E05319E"/>
    <w:lvl w:ilvl="0" w:tentative="0">
      <w:start w:val="3"/>
      <w:numFmt w:val="chineseCounting"/>
      <w:suff w:val="nothing"/>
      <w:lvlText w:val="（%1）"/>
      <w:lvlJc w:val="left"/>
      <w:pPr>
        <w:ind w:left="420"/>
      </w:pPr>
      <w:rPr>
        <w:rFonts w:hint="eastAsia"/>
      </w:rPr>
    </w:lvl>
  </w:abstractNum>
  <w:abstractNum w:abstractNumId="2">
    <w:nsid w:val="488C4318"/>
    <w:multiLevelType w:val="singleLevel"/>
    <w:tmpl w:val="488C4318"/>
    <w:lvl w:ilvl="0" w:tentative="0">
      <w:start w:val="1"/>
      <w:numFmt w:val="chineseCounting"/>
      <w:suff w:val="nothing"/>
      <w:lvlText w:val="（%1）"/>
      <w:lvlJc w:val="left"/>
      <w:pPr>
        <w:ind w:left="420" w:leftChars="0" w:firstLine="0" w:firstLineChars="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ZmNjczZDdjMWJkYjVlY2YyZDJiZmM5ZDhkY2MifQ=="/>
  </w:docVars>
  <w:rsids>
    <w:rsidRoot w:val="74673F27"/>
    <w:rsid w:val="011438D2"/>
    <w:rsid w:val="01296A4A"/>
    <w:rsid w:val="037549D0"/>
    <w:rsid w:val="04524DC9"/>
    <w:rsid w:val="1123365B"/>
    <w:rsid w:val="14161856"/>
    <w:rsid w:val="14C92990"/>
    <w:rsid w:val="27D9007C"/>
    <w:rsid w:val="286478BF"/>
    <w:rsid w:val="28A76D6D"/>
    <w:rsid w:val="31F37C12"/>
    <w:rsid w:val="3D302FF8"/>
    <w:rsid w:val="524A3A2D"/>
    <w:rsid w:val="55EF6F73"/>
    <w:rsid w:val="593A66C9"/>
    <w:rsid w:val="601A1CB5"/>
    <w:rsid w:val="66355131"/>
    <w:rsid w:val="74673F27"/>
    <w:rsid w:val="7C9041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t>不同年龄段幼儿生态运动游戏亲社会行为出现种类及频次</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小班（17）</c:v>
                </c:pt>
              </c:strCache>
            </c:strRef>
          </c:tx>
          <c:spPr>
            <a:solidFill>
              <a:schemeClr val="accent1"/>
            </a:solidFill>
            <a:ln>
              <a:noFill/>
            </a:ln>
            <a:effectLst/>
          </c:spPr>
          <c:invertIfNegative val="0"/>
          <c:dLbls>
            <c:delete val="1"/>
          </c:dLbls>
          <c:cat>
            <c:strRef>
              <c:f>[工作簿1]Sheet1!$B$1:$F$1</c:f>
              <c:strCache>
                <c:ptCount val="5"/>
                <c:pt idx="0">
                  <c:v>安慰</c:v>
                </c:pt>
                <c:pt idx="1">
                  <c:v>助人</c:v>
                </c:pt>
                <c:pt idx="2">
                  <c:v>合作</c:v>
                </c:pt>
                <c:pt idx="3">
                  <c:v>分享</c:v>
                </c:pt>
                <c:pt idx="4">
                  <c:v>公德</c:v>
                </c:pt>
              </c:strCache>
            </c:strRef>
          </c:cat>
          <c:val>
            <c:numRef>
              <c:f>[工作簿1]Sheet1!$B$2:$F$2</c:f>
              <c:numCache>
                <c:formatCode>General</c:formatCode>
                <c:ptCount val="5"/>
                <c:pt idx="0">
                  <c:v>0</c:v>
                </c:pt>
                <c:pt idx="1">
                  <c:v>1</c:v>
                </c:pt>
                <c:pt idx="2">
                  <c:v>3</c:v>
                </c:pt>
                <c:pt idx="3">
                  <c:v>2</c:v>
                </c:pt>
                <c:pt idx="4">
                  <c:v>2</c:v>
                </c:pt>
              </c:numCache>
            </c:numRef>
          </c:val>
        </c:ser>
        <c:ser>
          <c:idx val="1"/>
          <c:order val="1"/>
          <c:tx>
            <c:strRef>
              <c:f>[工作簿1]Sheet1!$A$3</c:f>
              <c:strCache>
                <c:ptCount val="1"/>
                <c:pt idx="0">
                  <c:v>中班（19）</c:v>
                </c:pt>
              </c:strCache>
            </c:strRef>
          </c:tx>
          <c:spPr>
            <a:solidFill>
              <a:schemeClr val="accent2"/>
            </a:solidFill>
            <a:ln>
              <a:noFill/>
            </a:ln>
            <a:effectLst/>
          </c:spPr>
          <c:invertIfNegative val="0"/>
          <c:dLbls>
            <c:delete val="1"/>
          </c:dLbls>
          <c:cat>
            <c:strRef>
              <c:f>[工作簿1]Sheet1!$B$1:$F$1</c:f>
              <c:strCache>
                <c:ptCount val="5"/>
                <c:pt idx="0">
                  <c:v>安慰</c:v>
                </c:pt>
                <c:pt idx="1">
                  <c:v>助人</c:v>
                </c:pt>
                <c:pt idx="2">
                  <c:v>合作</c:v>
                </c:pt>
                <c:pt idx="3">
                  <c:v>分享</c:v>
                </c:pt>
                <c:pt idx="4">
                  <c:v>公德</c:v>
                </c:pt>
              </c:strCache>
            </c:strRef>
          </c:cat>
          <c:val>
            <c:numRef>
              <c:f>[工作簿1]Sheet1!$B$3:$F$3</c:f>
              <c:numCache>
                <c:formatCode>General</c:formatCode>
                <c:ptCount val="5"/>
                <c:pt idx="0">
                  <c:v>0</c:v>
                </c:pt>
                <c:pt idx="1">
                  <c:v>1</c:v>
                </c:pt>
                <c:pt idx="2">
                  <c:v>15</c:v>
                </c:pt>
                <c:pt idx="3">
                  <c:v>1</c:v>
                </c:pt>
                <c:pt idx="4">
                  <c:v>2</c:v>
                </c:pt>
              </c:numCache>
            </c:numRef>
          </c:val>
        </c:ser>
        <c:ser>
          <c:idx val="2"/>
          <c:order val="2"/>
          <c:tx>
            <c:strRef>
              <c:f>[工作簿1]Sheet1!$A$4</c:f>
              <c:strCache>
                <c:ptCount val="1"/>
                <c:pt idx="0">
                  <c:v>大班（20）</c:v>
                </c:pt>
              </c:strCache>
            </c:strRef>
          </c:tx>
          <c:spPr>
            <a:solidFill>
              <a:schemeClr val="accent3"/>
            </a:solidFill>
            <a:ln>
              <a:noFill/>
            </a:ln>
            <a:effectLst/>
          </c:spPr>
          <c:invertIfNegative val="0"/>
          <c:dLbls>
            <c:delete val="1"/>
          </c:dLbls>
          <c:cat>
            <c:strRef>
              <c:f>[工作簿1]Sheet1!$B$1:$F$1</c:f>
              <c:strCache>
                <c:ptCount val="5"/>
                <c:pt idx="0">
                  <c:v>安慰</c:v>
                </c:pt>
                <c:pt idx="1">
                  <c:v>助人</c:v>
                </c:pt>
                <c:pt idx="2">
                  <c:v>合作</c:v>
                </c:pt>
                <c:pt idx="3">
                  <c:v>分享</c:v>
                </c:pt>
                <c:pt idx="4">
                  <c:v>公德</c:v>
                </c:pt>
              </c:strCache>
            </c:strRef>
          </c:cat>
          <c:val>
            <c:numRef>
              <c:f>[工作簿1]Sheet1!$B$4:$F$4</c:f>
              <c:numCache>
                <c:formatCode>General</c:formatCode>
                <c:ptCount val="5"/>
                <c:pt idx="0">
                  <c:v>0</c:v>
                </c:pt>
                <c:pt idx="1">
                  <c:v>1</c:v>
                </c:pt>
                <c:pt idx="2">
                  <c:v>17</c:v>
                </c:pt>
                <c:pt idx="3">
                  <c:v>0</c:v>
                </c:pt>
                <c:pt idx="4">
                  <c:v>2</c:v>
                </c:pt>
              </c:numCache>
            </c:numRef>
          </c:val>
        </c:ser>
        <c:dLbls>
          <c:showLegendKey val="0"/>
          <c:showVal val="0"/>
          <c:showCatName val="0"/>
          <c:showSerName val="0"/>
          <c:showPercent val="0"/>
          <c:showBubbleSize val="0"/>
        </c:dLbls>
        <c:gapWidth val="219"/>
        <c:overlap val="-27"/>
        <c:axId val="960670489"/>
        <c:axId val="785226367"/>
      </c:barChart>
      <c:catAx>
        <c:axId val="9606704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226367"/>
        <c:crosses val="autoZero"/>
        <c:auto val="1"/>
        <c:lblAlgn val="ctr"/>
        <c:lblOffset val="100"/>
        <c:noMultiLvlLbl val="0"/>
      </c:catAx>
      <c:valAx>
        <c:axId val="785226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067048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图2.不同年龄段幼儿健康活动亲社会行为出现种类及频次</a:t>
            </a:r>
          </a:p>
        </c:rich>
      </c:tx>
      <c:layout/>
      <c:overlay val="0"/>
      <c:spPr>
        <a:noFill/>
        <a:ln>
          <a:noFill/>
        </a:ln>
        <a:effectLst/>
      </c:spPr>
    </c:title>
    <c:autoTitleDeleted val="0"/>
    <c:plotArea>
      <c:layout/>
      <c:barChart>
        <c:barDir val="col"/>
        <c:grouping val="clustered"/>
        <c:varyColors val="0"/>
        <c:ser>
          <c:idx val="0"/>
          <c:order val="0"/>
          <c:tx>
            <c:strRef>
              <c:f>[工作簿1]Sheet1!$A$8</c:f>
              <c:strCache>
                <c:ptCount val="1"/>
                <c:pt idx="0">
                  <c:v>小班（30）</c:v>
                </c:pt>
              </c:strCache>
            </c:strRef>
          </c:tx>
          <c:spPr>
            <a:solidFill>
              <a:schemeClr val="accent1"/>
            </a:solidFill>
            <a:ln>
              <a:noFill/>
            </a:ln>
            <a:effectLst/>
          </c:spPr>
          <c:invertIfNegative val="0"/>
          <c:dLbls>
            <c:delete val="1"/>
          </c:dLbls>
          <c:cat>
            <c:strRef>
              <c:f>[工作簿1]Sheet1!$B$7:$F$7</c:f>
              <c:strCache>
                <c:ptCount val="5"/>
                <c:pt idx="0">
                  <c:v>安慰行为</c:v>
                </c:pt>
                <c:pt idx="1">
                  <c:v>助人行为</c:v>
                </c:pt>
                <c:pt idx="2">
                  <c:v>合作行为</c:v>
                </c:pt>
                <c:pt idx="3">
                  <c:v>分享行为</c:v>
                </c:pt>
                <c:pt idx="4">
                  <c:v>公德行为</c:v>
                </c:pt>
              </c:strCache>
            </c:strRef>
          </c:cat>
          <c:val>
            <c:numRef>
              <c:f>[工作簿1]Sheet1!$B$8:$F$8</c:f>
              <c:numCache>
                <c:formatCode>General</c:formatCode>
                <c:ptCount val="5"/>
                <c:pt idx="0">
                  <c:v>0</c:v>
                </c:pt>
                <c:pt idx="1">
                  <c:v>2</c:v>
                </c:pt>
                <c:pt idx="2">
                  <c:v>5</c:v>
                </c:pt>
                <c:pt idx="3">
                  <c:v>2</c:v>
                </c:pt>
                <c:pt idx="4">
                  <c:v>15</c:v>
                </c:pt>
              </c:numCache>
            </c:numRef>
          </c:val>
        </c:ser>
        <c:ser>
          <c:idx val="1"/>
          <c:order val="1"/>
          <c:tx>
            <c:strRef>
              <c:f>[工作簿1]Sheet1!$A$9</c:f>
              <c:strCache>
                <c:ptCount val="1"/>
                <c:pt idx="0">
                  <c:v>中班（30）</c:v>
                </c:pt>
              </c:strCache>
            </c:strRef>
          </c:tx>
          <c:spPr>
            <a:solidFill>
              <a:schemeClr val="accent2"/>
            </a:solidFill>
            <a:ln>
              <a:noFill/>
            </a:ln>
            <a:effectLst/>
          </c:spPr>
          <c:invertIfNegative val="0"/>
          <c:dLbls>
            <c:delete val="1"/>
          </c:dLbls>
          <c:cat>
            <c:strRef>
              <c:f>[工作簿1]Sheet1!$B$7:$F$7</c:f>
              <c:strCache>
                <c:ptCount val="5"/>
                <c:pt idx="0">
                  <c:v>安慰行为</c:v>
                </c:pt>
                <c:pt idx="1">
                  <c:v>助人行为</c:v>
                </c:pt>
                <c:pt idx="2">
                  <c:v>合作行为</c:v>
                </c:pt>
                <c:pt idx="3">
                  <c:v>分享行为</c:v>
                </c:pt>
                <c:pt idx="4">
                  <c:v>公德行为</c:v>
                </c:pt>
              </c:strCache>
            </c:strRef>
          </c:cat>
          <c:val>
            <c:numRef>
              <c:f>[工作簿1]Sheet1!$B$9:$F$9</c:f>
              <c:numCache>
                <c:formatCode>General</c:formatCode>
                <c:ptCount val="5"/>
                <c:pt idx="0">
                  <c:v>0</c:v>
                </c:pt>
                <c:pt idx="1">
                  <c:v>2</c:v>
                </c:pt>
                <c:pt idx="2">
                  <c:v>10</c:v>
                </c:pt>
                <c:pt idx="3">
                  <c:v>6</c:v>
                </c:pt>
                <c:pt idx="4">
                  <c:v>10</c:v>
                </c:pt>
              </c:numCache>
            </c:numRef>
          </c:val>
        </c:ser>
        <c:ser>
          <c:idx val="2"/>
          <c:order val="2"/>
          <c:tx>
            <c:strRef>
              <c:f>[工作簿1]Sheet1!$A$10</c:f>
              <c:strCache>
                <c:ptCount val="1"/>
                <c:pt idx="0">
                  <c:v>大班（38）</c:v>
                </c:pt>
              </c:strCache>
            </c:strRef>
          </c:tx>
          <c:spPr>
            <a:solidFill>
              <a:schemeClr val="accent3"/>
            </a:solidFill>
            <a:ln>
              <a:noFill/>
            </a:ln>
            <a:effectLst/>
          </c:spPr>
          <c:invertIfNegative val="0"/>
          <c:dLbls>
            <c:delete val="1"/>
          </c:dLbls>
          <c:cat>
            <c:strRef>
              <c:f>[工作簿1]Sheet1!$B$7:$F$7</c:f>
              <c:strCache>
                <c:ptCount val="5"/>
                <c:pt idx="0">
                  <c:v>安慰行为</c:v>
                </c:pt>
                <c:pt idx="1">
                  <c:v>助人行为</c:v>
                </c:pt>
                <c:pt idx="2">
                  <c:v>合作行为</c:v>
                </c:pt>
                <c:pt idx="3">
                  <c:v>分享行为</c:v>
                </c:pt>
                <c:pt idx="4">
                  <c:v>公德行为</c:v>
                </c:pt>
              </c:strCache>
            </c:strRef>
          </c:cat>
          <c:val>
            <c:numRef>
              <c:f>[工作簿1]Sheet1!$B$10:$F$10</c:f>
              <c:numCache>
                <c:formatCode>General</c:formatCode>
                <c:ptCount val="5"/>
                <c:pt idx="0">
                  <c:v>0</c:v>
                </c:pt>
                <c:pt idx="1">
                  <c:v>0</c:v>
                </c:pt>
                <c:pt idx="2">
                  <c:v>15</c:v>
                </c:pt>
                <c:pt idx="3">
                  <c:v>6</c:v>
                </c:pt>
                <c:pt idx="4">
                  <c:v>8</c:v>
                </c:pt>
              </c:numCache>
            </c:numRef>
          </c:val>
        </c:ser>
        <c:dLbls>
          <c:showLegendKey val="0"/>
          <c:showVal val="0"/>
          <c:showCatName val="0"/>
          <c:showSerName val="0"/>
          <c:showPercent val="0"/>
          <c:showBubbleSize val="0"/>
        </c:dLbls>
        <c:gapWidth val="219"/>
        <c:overlap val="-27"/>
        <c:axId val="730866225"/>
        <c:axId val="385120996"/>
      </c:barChart>
      <c:catAx>
        <c:axId val="7308662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120996"/>
        <c:crosses val="autoZero"/>
        <c:auto val="1"/>
        <c:lblAlgn val="ctr"/>
        <c:lblOffset val="100"/>
        <c:noMultiLvlLbl val="0"/>
      </c:catAx>
      <c:valAx>
        <c:axId val="3851209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086622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t>小班生态运动游戏和健康活动中</a:t>
            </a:r>
          </a:p>
          <a:p>
            <a:pPr defTabSz="914400">
              <a:defRPr lang="zh-CN" sz="1400" b="0" i="0" u="none" strike="noStrike" kern="1200" spc="0" baseline="0">
                <a:solidFill>
                  <a:schemeClr val="tx1">
                    <a:lumMod val="65000"/>
                    <a:lumOff val="35000"/>
                  </a:schemeClr>
                </a:solidFill>
                <a:latin typeface="+mn-lt"/>
                <a:ea typeface="+mn-ea"/>
                <a:cs typeface="+mn-cs"/>
              </a:defRPr>
            </a:pPr>
            <a:r>
              <a:t>亲社会行为要素提炼</a:t>
            </a:r>
          </a:p>
        </c:rich>
      </c:tx>
      <c:layout/>
      <c:overlay val="0"/>
      <c:spPr>
        <a:noFill/>
        <a:ln>
          <a:noFill/>
        </a:ln>
        <a:effectLst/>
      </c:spPr>
    </c:title>
    <c:autoTitleDeleted val="0"/>
    <c:plotArea>
      <c:layout/>
      <c:barChart>
        <c:barDir val="col"/>
        <c:grouping val="clustered"/>
        <c:varyColors val="0"/>
        <c:ser>
          <c:idx val="0"/>
          <c:order val="0"/>
          <c:tx>
            <c:strRef>
              <c:f>[工作簿1]Sheet1!$A$14</c:f>
              <c:strCache>
                <c:ptCount val="1"/>
                <c:pt idx="0">
                  <c:v>生态运动游戏</c:v>
                </c:pt>
              </c:strCache>
            </c:strRef>
          </c:tx>
          <c:spPr>
            <a:solidFill>
              <a:schemeClr val="accent1"/>
            </a:solidFill>
            <a:ln>
              <a:noFill/>
            </a:ln>
            <a:effectLst/>
          </c:spPr>
          <c:invertIfNegative val="0"/>
          <c:dLbls>
            <c:delete val="1"/>
          </c:dLbls>
          <c:cat>
            <c:strRef>
              <c:f>[工作簿1]Sheet1!$B$13:$F$13</c:f>
              <c:strCache>
                <c:ptCount val="5"/>
                <c:pt idx="0">
                  <c:v>安慰行为</c:v>
                </c:pt>
                <c:pt idx="1">
                  <c:v>助人行为</c:v>
                </c:pt>
                <c:pt idx="2">
                  <c:v>合作行为</c:v>
                </c:pt>
                <c:pt idx="3">
                  <c:v>分享行为</c:v>
                </c:pt>
                <c:pt idx="4">
                  <c:v>公德行为</c:v>
                </c:pt>
              </c:strCache>
            </c:strRef>
          </c:cat>
          <c:val>
            <c:numRef>
              <c:f>[工作簿1]Sheet1!$B$14:$F$14</c:f>
              <c:numCache>
                <c:formatCode>General</c:formatCode>
                <c:ptCount val="5"/>
                <c:pt idx="0">
                  <c:v>0</c:v>
                </c:pt>
                <c:pt idx="1">
                  <c:v>1</c:v>
                </c:pt>
                <c:pt idx="2">
                  <c:v>3</c:v>
                </c:pt>
                <c:pt idx="3">
                  <c:v>2</c:v>
                </c:pt>
                <c:pt idx="4">
                  <c:v>2</c:v>
                </c:pt>
              </c:numCache>
            </c:numRef>
          </c:val>
        </c:ser>
        <c:ser>
          <c:idx val="1"/>
          <c:order val="1"/>
          <c:tx>
            <c:strRef>
              <c:f>[工作簿1]Sheet1!$A$15</c:f>
              <c:strCache>
                <c:ptCount val="1"/>
                <c:pt idx="0">
                  <c:v>健康活动</c:v>
                </c:pt>
              </c:strCache>
            </c:strRef>
          </c:tx>
          <c:spPr>
            <a:solidFill>
              <a:schemeClr val="accent2"/>
            </a:solidFill>
            <a:ln>
              <a:noFill/>
            </a:ln>
            <a:effectLst/>
          </c:spPr>
          <c:invertIfNegative val="0"/>
          <c:dLbls>
            <c:delete val="1"/>
          </c:dLbls>
          <c:cat>
            <c:strRef>
              <c:f>[工作簿1]Sheet1!$B$13:$F$13</c:f>
              <c:strCache>
                <c:ptCount val="5"/>
                <c:pt idx="0">
                  <c:v>安慰行为</c:v>
                </c:pt>
                <c:pt idx="1">
                  <c:v>助人行为</c:v>
                </c:pt>
                <c:pt idx="2">
                  <c:v>合作行为</c:v>
                </c:pt>
                <c:pt idx="3">
                  <c:v>分享行为</c:v>
                </c:pt>
                <c:pt idx="4">
                  <c:v>公德行为</c:v>
                </c:pt>
              </c:strCache>
            </c:strRef>
          </c:cat>
          <c:val>
            <c:numRef>
              <c:f>[工作簿1]Sheet1!$B$15:$F$15</c:f>
              <c:numCache>
                <c:formatCode>General</c:formatCode>
                <c:ptCount val="5"/>
                <c:pt idx="0">
                  <c:v>0</c:v>
                </c:pt>
                <c:pt idx="1">
                  <c:v>2</c:v>
                </c:pt>
                <c:pt idx="2">
                  <c:v>5</c:v>
                </c:pt>
                <c:pt idx="3">
                  <c:v>2</c:v>
                </c:pt>
                <c:pt idx="4">
                  <c:v>15</c:v>
                </c:pt>
              </c:numCache>
            </c:numRef>
          </c:val>
        </c:ser>
        <c:dLbls>
          <c:showLegendKey val="0"/>
          <c:showVal val="0"/>
          <c:showCatName val="0"/>
          <c:showSerName val="0"/>
          <c:showPercent val="0"/>
          <c:showBubbleSize val="0"/>
        </c:dLbls>
        <c:gapWidth val="219"/>
        <c:overlap val="-27"/>
        <c:axId val="300345691"/>
        <c:axId val="912226041"/>
      </c:barChart>
      <c:catAx>
        <c:axId val="3003456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2226041"/>
        <c:crosses val="autoZero"/>
        <c:auto val="1"/>
        <c:lblAlgn val="ctr"/>
        <c:lblOffset val="100"/>
        <c:noMultiLvlLbl val="0"/>
      </c:catAx>
      <c:valAx>
        <c:axId val="91222604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03456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t>中班生态运动游戏和健康活动中</a:t>
            </a:r>
          </a:p>
          <a:p>
            <a:pPr defTabSz="914400">
              <a:defRPr lang="zh-CN" sz="1400" b="0" i="0" u="none" strike="noStrike" kern="1200" spc="0" baseline="0">
                <a:solidFill>
                  <a:schemeClr val="tx1">
                    <a:lumMod val="65000"/>
                    <a:lumOff val="35000"/>
                  </a:schemeClr>
                </a:solidFill>
                <a:latin typeface="+mn-lt"/>
                <a:ea typeface="+mn-ea"/>
                <a:cs typeface="+mn-cs"/>
              </a:defRPr>
            </a:pPr>
            <a:r>
              <a:t>亲社会行为要素提炼</a:t>
            </a:r>
          </a:p>
        </c:rich>
      </c:tx>
      <c:layout>
        <c:manualLayout>
          <c:xMode val="edge"/>
          <c:yMode val="edge"/>
          <c:x val="0.243888888888889"/>
          <c:y val="0.0278801843317972"/>
        </c:manualLayout>
      </c:layout>
      <c:overlay val="0"/>
      <c:spPr>
        <a:noFill/>
        <a:ln>
          <a:noFill/>
        </a:ln>
        <a:effectLst/>
      </c:spPr>
    </c:title>
    <c:autoTitleDeleted val="0"/>
    <c:plotArea>
      <c:layout/>
      <c:barChart>
        <c:barDir val="col"/>
        <c:grouping val="clustered"/>
        <c:varyColors val="0"/>
        <c:ser>
          <c:idx val="0"/>
          <c:order val="0"/>
          <c:tx>
            <c:strRef>
              <c:f>[工作簿1]Sheet1!$A$18</c:f>
              <c:strCache>
                <c:ptCount val="1"/>
                <c:pt idx="0">
                  <c:v>生态运动游戏</c:v>
                </c:pt>
              </c:strCache>
            </c:strRef>
          </c:tx>
          <c:spPr>
            <a:solidFill>
              <a:schemeClr val="accent1"/>
            </a:solidFill>
            <a:ln>
              <a:noFill/>
            </a:ln>
            <a:effectLst/>
          </c:spPr>
          <c:invertIfNegative val="0"/>
          <c:dLbls>
            <c:delete val="1"/>
          </c:dLbls>
          <c:cat>
            <c:strRef>
              <c:f>[工作簿1]Sheet1!$B$17:$F$17</c:f>
              <c:strCache>
                <c:ptCount val="5"/>
                <c:pt idx="0">
                  <c:v>安慰行为</c:v>
                </c:pt>
                <c:pt idx="1">
                  <c:v>助人行为</c:v>
                </c:pt>
                <c:pt idx="2">
                  <c:v>合作行为</c:v>
                </c:pt>
                <c:pt idx="3">
                  <c:v>分享行为</c:v>
                </c:pt>
                <c:pt idx="4">
                  <c:v>公德行为</c:v>
                </c:pt>
              </c:strCache>
            </c:strRef>
          </c:cat>
          <c:val>
            <c:numRef>
              <c:f>[工作簿1]Sheet1!$B$18:$F$18</c:f>
              <c:numCache>
                <c:formatCode>General</c:formatCode>
                <c:ptCount val="5"/>
                <c:pt idx="0">
                  <c:v>0</c:v>
                </c:pt>
                <c:pt idx="1">
                  <c:v>1</c:v>
                </c:pt>
                <c:pt idx="2">
                  <c:v>15</c:v>
                </c:pt>
                <c:pt idx="3">
                  <c:v>1</c:v>
                </c:pt>
                <c:pt idx="4">
                  <c:v>2</c:v>
                </c:pt>
              </c:numCache>
            </c:numRef>
          </c:val>
        </c:ser>
        <c:ser>
          <c:idx val="1"/>
          <c:order val="1"/>
          <c:tx>
            <c:strRef>
              <c:f>[工作簿1]Sheet1!$A$19</c:f>
              <c:strCache>
                <c:ptCount val="1"/>
                <c:pt idx="0">
                  <c:v>健康活动</c:v>
                </c:pt>
              </c:strCache>
            </c:strRef>
          </c:tx>
          <c:spPr>
            <a:solidFill>
              <a:schemeClr val="accent2"/>
            </a:solidFill>
            <a:ln>
              <a:noFill/>
            </a:ln>
            <a:effectLst/>
          </c:spPr>
          <c:invertIfNegative val="0"/>
          <c:dLbls>
            <c:delete val="1"/>
          </c:dLbls>
          <c:cat>
            <c:strRef>
              <c:f>[工作簿1]Sheet1!$B$17:$F$17</c:f>
              <c:strCache>
                <c:ptCount val="5"/>
                <c:pt idx="0">
                  <c:v>安慰行为</c:v>
                </c:pt>
                <c:pt idx="1">
                  <c:v>助人行为</c:v>
                </c:pt>
                <c:pt idx="2">
                  <c:v>合作行为</c:v>
                </c:pt>
                <c:pt idx="3">
                  <c:v>分享行为</c:v>
                </c:pt>
                <c:pt idx="4">
                  <c:v>公德行为</c:v>
                </c:pt>
              </c:strCache>
            </c:strRef>
          </c:cat>
          <c:val>
            <c:numRef>
              <c:f>[工作簿1]Sheet1!$B$19:$F$19</c:f>
              <c:numCache>
                <c:formatCode>General</c:formatCode>
                <c:ptCount val="5"/>
                <c:pt idx="0">
                  <c:v>0</c:v>
                </c:pt>
                <c:pt idx="1">
                  <c:v>2</c:v>
                </c:pt>
                <c:pt idx="2">
                  <c:v>10</c:v>
                </c:pt>
                <c:pt idx="3">
                  <c:v>6</c:v>
                </c:pt>
                <c:pt idx="4">
                  <c:v>10</c:v>
                </c:pt>
              </c:numCache>
            </c:numRef>
          </c:val>
        </c:ser>
        <c:dLbls>
          <c:showLegendKey val="0"/>
          <c:showVal val="0"/>
          <c:showCatName val="0"/>
          <c:showSerName val="0"/>
          <c:showPercent val="0"/>
          <c:showBubbleSize val="0"/>
        </c:dLbls>
        <c:gapWidth val="219"/>
        <c:overlap val="-27"/>
        <c:axId val="609469259"/>
        <c:axId val="727442905"/>
      </c:barChart>
      <c:catAx>
        <c:axId val="6094692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7442905"/>
        <c:crosses val="autoZero"/>
        <c:auto val="1"/>
        <c:lblAlgn val="ctr"/>
        <c:lblOffset val="100"/>
        <c:noMultiLvlLbl val="0"/>
      </c:catAx>
      <c:valAx>
        <c:axId val="72744290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946925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大班生态运动游戏和健康活动中</a:t>
            </a:r>
          </a:p>
          <a:p>
            <a:pPr defTabSz="914400">
              <a:defRPr lang="zh-CN" sz="1400" b="0" i="0" u="none" strike="noStrike" kern="1200" spc="0" baseline="0">
                <a:solidFill>
                  <a:schemeClr val="tx1">
                    <a:lumMod val="65000"/>
                    <a:lumOff val="35000"/>
                  </a:schemeClr>
                </a:solidFill>
                <a:latin typeface="+mn-lt"/>
                <a:ea typeface="+mn-ea"/>
                <a:cs typeface="+mn-cs"/>
              </a:defRPr>
            </a:pPr>
            <a:r>
              <a:t>亲社会行为要素提炼</a:t>
            </a:r>
          </a:p>
        </c:rich>
      </c:tx>
      <c:layout/>
      <c:overlay val="0"/>
      <c:spPr>
        <a:noFill/>
        <a:ln>
          <a:noFill/>
        </a:ln>
        <a:effectLst/>
      </c:spPr>
    </c:title>
    <c:autoTitleDeleted val="0"/>
    <c:plotArea>
      <c:layout/>
      <c:barChart>
        <c:barDir val="col"/>
        <c:grouping val="clustered"/>
        <c:varyColors val="0"/>
        <c:ser>
          <c:idx val="0"/>
          <c:order val="0"/>
          <c:tx>
            <c:strRef>
              <c:f>[工作簿1]Sheet1!$A$22</c:f>
              <c:strCache>
                <c:ptCount val="1"/>
                <c:pt idx="0">
                  <c:v>生态运动游戏</c:v>
                </c:pt>
              </c:strCache>
            </c:strRef>
          </c:tx>
          <c:spPr>
            <a:solidFill>
              <a:schemeClr val="accent1"/>
            </a:solidFill>
            <a:ln>
              <a:noFill/>
            </a:ln>
            <a:effectLst/>
          </c:spPr>
          <c:invertIfNegative val="0"/>
          <c:dLbls>
            <c:delete val="1"/>
          </c:dLbls>
          <c:cat>
            <c:strRef>
              <c:f>[工作簿1]Sheet1!$B$21:$F$21</c:f>
              <c:strCache>
                <c:ptCount val="5"/>
                <c:pt idx="0">
                  <c:v>安慰行为</c:v>
                </c:pt>
                <c:pt idx="1">
                  <c:v>助人行为</c:v>
                </c:pt>
                <c:pt idx="2">
                  <c:v>合作行为</c:v>
                </c:pt>
                <c:pt idx="3">
                  <c:v>分享行为</c:v>
                </c:pt>
                <c:pt idx="4">
                  <c:v>公德行为</c:v>
                </c:pt>
              </c:strCache>
            </c:strRef>
          </c:cat>
          <c:val>
            <c:numRef>
              <c:f>[工作簿1]Sheet1!$B$22:$F$22</c:f>
              <c:numCache>
                <c:formatCode>General</c:formatCode>
                <c:ptCount val="5"/>
                <c:pt idx="0">
                  <c:v>0</c:v>
                </c:pt>
                <c:pt idx="1">
                  <c:v>1</c:v>
                </c:pt>
                <c:pt idx="2">
                  <c:v>17</c:v>
                </c:pt>
                <c:pt idx="3">
                  <c:v>0</c:v>
                </c:pt>
                <c:pt idx="4">
                  <c:v>2</c:v>
                </c:pt>
              </c:numCache>
            </c:numRef>
          </c:val>
        </c:ser>
        <c:ser>
          <c:idx val="1"/>
          <c:order val="1"/>
          <c:tx>
            <c:strRef>
              <c:f>[工作簿1]Sheet1!$A$23</c:f>
              <c:strCache>
                <c:ptCount val="1"/>
                <c:pt idx="0">
                  <c:v>健康活动</c:v>
                </c:pt>
              </c:strCache>
            </c:strRef>
          </c:tx>
          <c:spPr>
            <a:solidFill>
              <a:schemeClr val="accent2"/>
            </a:solidFill>
            <a:ln>
              <a:noFill/>
            </a:ln>
            <a:effectLst/>
          </c:spPr>
          <c:invertIfNegative val="0"/>
          <c:dLbls>
            <c:delete val="1"/>
          </c:dLbls>
          <c:cat>
            <c:strRef>
              <c:f>[工作簿1]Sheet1!$B$21:$F$21</c:f>
              <c:strCache>
                <c:ptCount val="5"/>
                <c:pt idx="0">
                  <c:v>安慰行为</c:v>
                </c:pt>
                <c:pt idx="1">
                  <c:v>助人行为</c:v>
                </c:pt>
                <c:pt idx="2">
                  <c:v>合作行为</c:v>
                </c:pt>
                <c:pt idx="3">
                  <c:v>分享行为</c:v>
                </c:pt>
                <c:pt idx="4">
                  <c:v>公德行为</c:v>
                </c:pt>
              </c:strCache>
            </c:strRef>
          </c:cat>
          <c:val>
            <c:numRef>
              <c:f>[工作簿1]Sheet1!$B$23:$F$23</c:f>
              <c:numCache>
                <c:formatCode>General</c:formatCode>
                <c:ptCount val="5"/>
                <c:pt idx="0">
                  <c:v>0</c:v>
                </c:pt>
                <c:pt idx="1">
                  <c:v>0</c:v>
                </c:pt>
                <c:pt idx="2">
                  <c:v>15</c:v>
                </c:pt>
                <c:pt idx="3">
                  <c:v>6</c:v>
                </c:pt>
                <c:pt idx="4">
                  <c:v>8</c:v>
                </c:pt>
              </c:numCache>
            </c:numRef>
          </c:val>
        </c:ser>
        <c:dLbls>
          <c:showLegendKey val="0"/>
          <c:showVal val="0"/>
          <c:showCatName val="0"/>
          <c:showSerName val="0"/>
          <c:showPercent val="0"/>
          <c:showBubbleSize val="0"/>
        </c:dLbls>
        <c:gapWidth val="219"/>
        <c:overlap val="-27"/>
        <c:axId val="714164447"/>
        <c:axId val="355855399"/>
      </c:barChart>
      <c:catAx>
        <c:axId val="7141644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855399"/>
        <c:crosses val="autoZero"/>
        <c:auto val="1"/>
        <c:lblAlgn val="ctr"/>
        <c:lblOffset val="100"/>
        <c:noMultiLvlLbl val="0"/>
      </c:catAx>
      <c:valAx>
        <c:axId val="355855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416444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2451</Words>
  <Characters>2668</Characters>
  <Lines>0</Lines>
  <Paragraphs>0</Paragraphs>
  <TotalTime>14</TotalTime>
  <ScaleCrop>false</ScaleCrop>
  <LinksUpToDate>false</LinksUpToDate>
  <CharactersWithSpaces>2668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2020-12-25T09:28:00Z</dcterms:created>
  <dc:creator>小小小丸子</dc:creator>
  <cp:lastModifiedBy>安安</cp:lastModifiedBy>
  <dcterms:modified xsi:type="dcterms:W3CDTF">2022-10-17T06:45:22Z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8394D00FF6284FA6946C73AB895875F9</vt:lpwstr>
  </property>
</Properties>
</file>