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1590"/>
        <w:gridCol w:w="1200"/>
        <w:gridCol w:w="3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635" w:type="dxa"/>
            <w:vAlign w:val="center"/>
          </w:tcPr>
          <w:p>
            <w:pPr>
              <w:ind w:left="420" w:hanging="420" w:hangingChars="200"/>
              <w:jc w:val="center"/>
              <w:rPr>
                <w:rFonts w:ascii="宋体" w:hAnsi="宋体" w:eastAsia="宋体" w:cs="宋体"/>
              </w:rPr>
            </w:pPr>
            <w:r>
              <w:rPr>
                <w:rFonts w:hint="eastAsia" w:ascii="宋体" w:hAnsi="宋体" w:eastAsia="宋体" w:cs="宋体"/>
              </w:rPr>
              <w:t>课题名称</w:t>
            </w:r>
          </w:p>
        </w:tc>
        <w:tc>
          <w:tcPr>
            <w:tcW w:w="6465" w:type="dxa"/>
            <w:gridSpan w:val="3"/>
            <w:vAlign w:val="center"/>
          </w:tcPr>
          <w:p>
            <w:pPr>
              <w:jc w:val="center"/>
              <w:rPr>
                <w:rFonts w:ascii="宋体" w:hAnsi="宋体" w:eastAsia="宋体" w:cs="宋体"/>
              </w:rPr>
            </w:pPr>
            <w:r>
              <w:rPr>
                <w:rFonts w:hint="eastAsia" w:ascii="宋体" w:hAnsi="宋体" w:eastAsia="宋体" w:cs="宋体"/>
              </w:rPr>
              <w:t>指向学习进阶的小学科学过程性评价实践研究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635" w:type="dxa"/>
            <w:vAlign w:val="center"/>
          </w:tcPr>
          <w:p>
            <w:pPr>
              <w:jc w:val="center"/>
              <w:rPr>
                <w:rFonts w:ascii="宋体" w:hAnsi="宋体" w:eastAsia="宋体" w:cs="宋体"/>
              </w:rPr>
            </w:pPr>
            <w:r>
              <w:rPr>
                <w:rFonts w:hint="eastAsia" w:ascii="宋体" w:hAnsi="宋体" w:eastAsia="宋体" w:cs="宋体"/>
              </w:rPr>
              <w:t>记   录   人</w:t>
            </w:r>
          </w:p>
        </w:tc>
        <w:tc>
          <w:tcPr>
            <w:tcW w:w="1590" w:type="dxa"/>
            <w:vAlign w:val="center"/>
          </w:tcPr>
          <w:p>
            <w:pPr>
              <w:jc w:val="center"/>
            </w:pPr>
            <w:r>
              <w:rPr>
                <w:rFonts w:hint="eastAsia"/>
              </w:rPr>
              <w:t>李波</w:t>
            </w:r>
          </w:p>
        </w:tc>
        <w:tc>
          <w:tcPr>
            <w:tcW w:w="1200" w:type="dxa"/>
            <w:vAlign w:val="center"/>
          </w:tcPr>
          <w:p>
            <w:pPr>
              <w:jc w:val="center"/>
              <w:rPr>
                <w:rFonts w:ascii="宋体" w:hAnsi="宋体" w:eastAsia="宋体" w:cs="宋体"/>
              </w:rPr>
            </w:pPr>
            <w:r>
              <w:rPr>
                <w:rFonts w:hint="eastAsia" w:ascii="宋体" w:hAnsi="宋体" w:eastAsia="宋体" w:cs="宋体"/>
              </w:rPr>
              <w:t>文章题目</w:t>
            </w:r>
          </w:p>
        </w:tc>
        <w:tc>
          <w:tcPr>
            <w:tcW w:w="3675" w:type="dxa"/>
            <w:vAlign w:val="center"/>
          </w:tcPr>
          <w:p>
            <w:pPr>
              <w:jc w:val="center"/>
              <w:rPr>
                <w:rFonts w:hint="eastAsia"/>
              </w:rPr>
            </w:pPr>
            <w:r>
              <w:rPr>
                <w:rFonts w:hint="eastAsia"/>
              </w:rPr>
              <w:t>学习进阶理论下测评工具的开发策略</w:t>
            </w:r>
          </w:p>
          <w:p>
            <w:pPr>
              <w:jc w:val="center"/>
            </w:pPr>
            <w:r>
              <w:rPr>
                <w:rFonts w:hint="eastAsia"/>
              </w:rPr>
              <w:t>— —以小学科学生命科学领域为例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635" w:type="dxa"/>
            <w:vAlign w:val="center"/>
          </w:tcPr>
          <w:p>
            <w:pPr>
              <w:jc w:val="center"/>
              <w:rPr>
                <w:rFonts w:ascii="宋体" w:hAnsi="宋体" w:eastAsia="宋体" w:cs="宋体"/>
              </w:rPr>
            </w:pPr>
            <w:r>
              <w:rPr>
                <w:rFonts w:hint="eastAsia" w:ascii="宋体" w:hAnsi="宋体" w:eastAsia="宋体" w:cs="宋体"/>
              </w:rPr>
              <w:t>关键词</w:t>
            </w:r>
          </w:p>
        </w:tc>
        <w:tc>
          <w:tcPr>
            <w:tcW w:w="6465" w:type="dxa"/>
            <w:gridSpan w:val="3"/>
            <w:vAlign w:val="center"/>
          </w:tcPr>
          <w:p>
            <w:pPr>
              <w:jc w:val="center"/>
            </w:pPr>
            <w:r>
              <w:rPr>
                <w:rFonts w:hint="eastAsia"/>
              </w:rPr>
              <w:t>学习进阶；认知发展；测评工具；生命科学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635" w:type="dxa"/>
            <w:vAlign w:val="center"/>
          </w:tcPr>
          <w:p>
            <w:pPr>
              <w:jc w:val="center"/>
              <w:rPr>
                <w:rFonts w:ascii="宋体" w:hAnsi="宋体" w:eastAsia="宋体" w:cs="宋体"/>
              </w:rPr>
            </w:pPr>
            <w:r>
              <w:rPr>
                <w:rFonts w:hint="eastAsia" w:ascii="宋体" w:hAnsi="宋体" w:eastAsia="宋体" w:cs="宋体"/>
              </w:rPr>
              <w:t>作        者</w:t>
            </w:r>
          </w:p>
        </w:tc>
        <w:tc>
          <w:tcPr>
            <w:tcW w:w="1590" w:type="dxa"/>
            <w:vAlign w:val="center"/>
          </w:tcPr>
          <w:p>
            <w:pPr>
              <w:jc w:val="center"/>
            </w:pPr>
            <w:r>
              <w:rPr>
                <w:rFonts w:hint="eastAsia"/>
              </w:rPr>
              <w:t>王伟兰</w:t>
            </w:r>
          </w:p>
        </w:tc>
        <w:tc>
          <w:tcPr>
            <w:tcW w:w="1200" w:type="dxa"/>
            <w:vAlign w:val="center"/>
          </w:tcPr>
          <w:p>
            <w:pPr>
              <w:jc w:val="center"/>
              <w:rPr>
                <w:rFonts w:ascii="宋体" w:hAnsi="宋体" w:eastAsia="宋体" w:cs="宋体"/>
              </w:rPr>
            </w:pPr>
            <w:r>
              <w:rPr>
                <w:rFonts w:hint="eastAsia" w:ascii="宋体" w:hAnsi="宋体" w:eastAsia="宋体" w:cs="宋体"/>
              </w:rPr>
              <w:t>关联度</w:t>
            </w:r>
          </w:p>
        </w:tc>
        <w:tc>
          <w:tcPr>
            <w:tcW w:w="3675" w:type="dxa"/>
            <w:vAlign w:val="center"/>
          </w:tcPr>
          <w:p>
            <w:pPr>
              <w:jc w:val="center"/>
            </w:pPr>
            <w:r>
              <w:rPr>
                <w:rFonts w:hint="eastAsia"/>
              </w:rPr>
              <w:t>高关联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635" w:type="dxa"/>
            <w:vAlign w:val="center"/>
          </w:tcPr>
          <w:p>
            <w:pPr>
              <w:jc w:val="center"/>
              <w:rPr>
                <w:rFonts w:ascii="宋体" w:hAnsi="宋体" w:eastAsia="宋体" w:cs="宋体"/>
              </w:rPr>
            </w:pPr>
            <w:r>
              <w:rPr>
                <w:rFonts w:hint="eastAsia" w:ascii="宋体" w:hAnsi="宋体" w:eastAsia="宋体" w:cs="宋体"/>
              </w:rPr>
              <w:t>公开发表时间</w:t>
            </w:r>
          </w:p>
        </w:tc>
        <w:tc>
          <w:tcPr>
            <w:tcW w:w="1590" w:type="dxa"/>
            <w:vAlign w:val="center"/>
          </w:tcPr>
          <w:p>
            <w:pPr>
              <w:jc w:val="center"/>
              <w:rPr>
                <w:rFonts w:hint="default" w:eastAsiaTheme="minorEastAsia"/>
                <w:lang w:val="en-US" w:eastAsia="zh-CN"/>
              </w:rPr>
            </w:pPr>
            <w:r>
              <w:rPr>
                <w:rFonts w:hint="eastAsia"/>
                <w:lang w:val="en-US" w:eastAsia="zh-CN"/>
              </w:rPr>
              <w:t>2020</w:t>
            </w:r>
          </w:p>
        </w:tc>
        <w:tc>
          <w:tcPr>
            <w:tcW w:w="1200" w:type="dxa"/>
            <w:vAlign w:val="center"/>
          </w:tcPr>
          <w:p>
            <w:pPr>
              <w:jc w:val="center"/>
              <w:rPr>
                <w:rFonts w:ascii="宋体" w:hAnsi="宋体" w:eastAsia="宋体" w:cs="宋体"/>
              </w:rPr>
            </w:pPr>
            <w:r>
              <w:rPr>
                <w:rFonts w:hint="eastAsia" w:ascii="宋体" w:hAnsi="宋体" w:eastAsia="宋体" w:cs="宋体"/>
              </w:rPr>
              <w:t>出    处</w:t>
            </w:r>
          </w:p>
        </w:tc>
        <w:tc>
          <w:tcPr>
            <w:tcW w:w="3675" w:type="dxa"/>
            <w:vAlign w:val="center"/>
          </w:tcPr>
          <w:p>
            <w:pPr>
              <w:jc w:val="center"/>
            </w:pPr>
            <w:r>
              <w:rPr>
                <w:rFonts w:hint="eastAsia"/>
              </w:rPr>
              <w:t>《</w:t>
            </w:r>
            <w:r>
              <w:rPr>
                <w:rFonts w:hint="eastAsia"/>
                <w:lang w:val="en-US" w:eastAsia="zh-CN"/>
              </w:rPr>
              <w:t>小学科学</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4" w:hRule="atLeast"/>
          <w:jc w:val="center"/>
        </w:trPr>
        <w:tc>
          <w:tcPr>
            <w:tcW w:w="8100" w:type="dxa"/>
            <w:gridSpan w:val="4"/>
          </w:tcPr>
          <w:p>
            <w:pPr>
              <w:autoSpaceDE w:val="0"/>
              <w:spacing w:line="360" w:lineRule="auto"/>
              <w:rPr>
                <w:rFonts w:ascii="宋体" w:hAnsi="宋体" w:eastAsia="宋体" w:cs="宋体"/>
                <w:szCs w:val="21"/>
              </w:rPr>
            </w:pPr>
            <w:r>
              <w:rPr>
                <w:rFonts w:hint="eastAsia" w:ascii="宋体" w:hAnsi="宋体" w:eastAsia="宋体" w:cs="宋体"/>
                <w:szCs w:val="21"/>
              </w:rPr>
              <w:t>主要观点摘录：</w:t>
            </w:r>
          </w:p>
          <w:p>
            <w:pPr>
              <w:pStyle w:val="11"/>
              <w:numPr>
                <w:ilvl w:val="0"/>
                <w:numId w:val="1"/>
              </w:numPr>
              <w:autoSpaceDE w:val="0"/>
              <w:spacing w:line="360" w:lineRule="auto"/>
              <w:ind w:firstLineChars="0"/>
            </w:pPr>
            <w:r>
              <w:rPr>
                <w:rFonts w:hint="eastAsia"/>
              </w:rPr>
              <w:t>基于经验，划分认知水平</w:t>
            </w:r>
            <w:r>
              <w:rPr>
                <w:rFonts w:hint="eastAsia"/>
                <w:lang w:eastAsia="zh-CN"/>
              </w:rPr>
              <w:t>：</w:t>
            </w:r>
            <w:r>
              <w:rPr>
                <w:rFonts w:hint="eastAsia"/>
              </w:rPr>
              <w:t>学生的认知水平是不均等的、多层次的。在实际备课中，教师需要了解到学生对大概念的认识集中于哪一层次，并根据学生的实际情况合理制定教学目标，以促进学生思维进阶不断提升。教师需要认识到，学生在学习过程中是逐渐从低水平向高水平进阶，则对相应核心概念的理解必然越来越深刻。因此，在实际教学中教师需要了解到学生的认知水平情况，即教师需要从教学经验出发，划分学生认知水平，以便更好地服务于教学。</w:t>
            </w:r>
          </w:p>
          <w:p>
            <w:pPr>
              <w:pStyle w:val="11"/>
              <w:numPr>
                <w:ilvl w:val="0"/>
                <w:numId w:val="1"/>
              </w:numPr>
              <w:autoSpaceDE w:val="0"/>
              <w:spacing w:line="360" w:lineRule="auto"/>
              <w:ind w:firstLineChars="0"/>
            </w:pPr>
            <w:r>
              <w:rPr>
                <w:rFonts w:hint="eastAsia"/>
              </w:rPr>
              <w:t>充分调查，确定真实进阶</w:t>
            </w:r>
            <w:r>
              <w:rPr>
                <w:rFonts w:hint="eastAsia"/>
                <w:lang w:eastAsia="zh-CN"/>
              </w:rPr>
              <w:t>：在认知水平的确定过程中，除了采用一线教师的经验进行判断之外，还需要全面展开调查。</w:t>
            </w:r>
          </w:p>
          <w:p>
            <w:pPr>
              <w:pStyle w:val="11"/>
              <w:numPr>
                <w:ilvl w:val="0"/>
                <w:numId w:val="1"/>
              </w:numPr>
              <w:autoSpaceDE w:val="0"/>
              <w:spacing w:line="360" w:lineRule="auto"/>
              <w:ind w:firstLineChars="0"/>
            </w:pPr>
            <w:r>
              <w:rPr>
                <w:rFonts w:hint="eastAsia"/>
              </w:rPr>
              <w:t>进阶建构，开发评价工具</w:t>
            </w:r>
            <w:r>
              <w:rPr>
                <w:rFonts w:hint="eastAsia"/>
                <w:lang w:eastAsia="zh-CN"/>
              </w:rPr>
              <w:t>：评价工具中的每一个分内容分两题设计，每道题由4个选项构成，分别对应每个进阶变量下的水平1至水平4，只要学生选择其中一项选项，就可以判断出该学生所处的成就水平。</w:t>
            </w:r>
          </w:p>
          <w:p>
            <w:pPr>
              <w:pStyle w:val="11"/>
              <w:numPr>
                <w:ilvl w:val="0"/>
                <w:numId w:val="1"/>
              </w:numPr>
              <w:autoSpaceDE w:val="0"/>
              <w:spacing w:line="360" w:lineRule="auto"/>
              <w:ind w:firstLineChars="0"/>
            </w:pPr>
            <w:r>
              <w:rPr>
                <w:rFonts w:hint="eastAsia"/>
              </w:rPr>
              <w:t>课例实践，服务科学课堂</w:t>
            </w:r>
            <w:r>
              <w:rPr>
                <w:rFonts w:hint="eastAsia"/>
                <w:lang w:eastAsia="zh-CN"/>
              </w:rPr>
              <w:t>：教师在教学过程中要充分关注学生概念的发展，掌握学生的认知水平，根据学习进阶测评工具已测得的相应学生学业表现可以清晰地反映学生知识建构的特点，教师就能较准确地预测学生认知水平的发展方向，判断学生目前处于哪一“阶”，以便为学生学习的认知架构提供切实可行的行动指南。学习进阶中不同的水平层次，也能反映出学生在知识概念理解上的问题，该问题往往也是课堂中的学习难点，这时教师可以设计合理的教学过程，选择合适的教学策略，帮助学生完成从低“阶”到高“阶”的认知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2" w:hRule="atLeast"/>
          <w:jc w:val="center"/>
        </w:trPr>
        <w:tc>
          <w:tcPr>
            <w:tcW w:w="8100" w:type="dxa"/>
            <w:gridSpan w:val="4"/>
          </w:tcPr>
          <w:p>
            <w:pPr>
              <w:spacing w:line="360" w:lineRule="auto"/>
              <w:rPr>
                <w:rFonts w:ascii="Calibri" w:hAnsi="Calibri" w:eastAsia="宋体" w:cs="Times New Roman"/>
                <w:szCs w:val="21"/>
              </w:rPr>
            </w:pPr>
            <w:r>
              <w:rPr>
                <w:rFonts w:hint="eastAsia" w:ascii="Calibri" w:hAnsi="Calibri" w:eastAsia="宋体" w:cs="Times New Roman"/>
                <w:szCs w:val="21"/>
              </w:rPr>
              <w:t>对我的启发：</w:t>
            </w:r>
          </w:p>
          <w:p>
            <w:pPr>
              <w:spacing w:line="360" w:lineRule="auto"/>
              <w:rPr>
                <w:rFonts w:hint="eastAsia" w:ascii="Calibri" w:hAnsi="Calibri" w:eastAsia="宋体" w:cs="Times New Roman"/>
                <w:szCs w:val="21"/>
                <w:lang w:eastAsia="zh-CN"/>
              </w:rPr>
            </w:pPr>
            <w:r>
              <w:rPr>
                <w:rFonts w:hint="eastAsia" w:ascii="Calibri" w:hAnsi="Calibri" w:eastAsia="宋体" w:cs="Times New Roman"/>
                <w:szCs w:val="21"/>
              </w:rPr>
              <w:t xml:space="preserve">   学生的认知发展过程是复杂、连续的过程，学生的知识概念往往需要一学期、一学段甚至更多时间来建构，因此，需要建构从概念起点到概念终点的主线，而学习进阶则把教学过程中碎片化的演变过程转变为统一主线的设计，从更长远的学习过程这一大视角上关注学生对大概念的认知建构，同时教师设计的每一堂课都是从大概念出发，每一个进阶既是学生学习的起点，也是学习的阶段目标</w:t>
            </w:r>
            <w:r>
              <w:rPr>
                <w:rFonts w:hint="eastAsia" w:ascii="Calibri" w:hAnsi="Calibri" w:eastAsia="宋体" w:cs="Times New Roman"/>
                <w:szCs w:val="21"/>
                <w:lang w:eastAsia="zh-CN"/>
              </w:rPr>
              <w:t>。</w:t>
            </w:r>
            <w:bookmarkStart w:id="0" w:name="_GoBack"/>
            <w:bookmarkEnd w:id="0"/>
          </w:p>
          <w:p>
            <w:pPr>
              <w:spacing w:line="360" w:lineRule="auto"/>
              <w:rPr>
                <w:rFonts w:ascii="Calibri" w:hAnsi="Calibri" w:eastAsia="宋体" w:cs="Times New Roman"/>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30380"/>
    <w:multiLevelType w:val="multilevel"/>
    <w:tmpl w:val="13630380"/>
    <w:lvl w:ilvl="0" w:tentative="0">
      <w:start w:val="1"/>
      <w:numFmt w:val="decimal"/>
      <w:lvlText w:val="%1、"/>
      <w:lvlJc w:val="left"/>
      <w:pPr>
        <w:ind w:left="360" w:hanging="36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A2ZGMyMDlhYWRiZmRlODQwYTBkNGM0MDM1Zjk3MjQifQ=="/>
  </w:docVars>
  <w:rsids>
    <w:rsidRoot w:val="14590DEF"/>
    <w:rsid w:val="000578F0"/>
    <w:rsid w:val="00057DDA"/>
    <w:rsid w:val="005558A1"/>
    <w:rsid w:val="006375A9"/>
    <w:rsid w:val="00694ECB"/>
    <w:rsid w:val="006E2736"/>
    <w:rsid w:val="00707068"/>
    <w:rsid w:val="0085281E"/>
    <w:rsid w:val="00875629"/>
    <w:rsid w:val="00BB40EB"/>
    <w:rsid w:val="00C55DAE"/>
    <w:rsid w:val="01135424"/>
    <w:rsid w:val="04690075"/>
    <w:rsid w:val="056F307A"/>
    <w:rsid w:val="0B3F59EA"/>
    <w:rsid w:val="0B4465C5"/>
    <w:rsid w:val="0DAB7023"/>
    <w:rsid w:val="0E420762"/>
    <w:rsid w:val="129357E8"/>
    <w:rsid w:val="14590DEF"/>
    <w:rsid w:val="14803F61"/>
    <w:rsid w:val="1A4E637C"/>
    <w:rsid w:val="1D5800BD"/>
    <w:rsid w:val="1FAE1314"/>
    <w:rsid w:val="24130EAE"/>
    <w:rsid w:val="26E475B6"/>
    <w:rsid w:val="2BCA2FED"/>
    <w:rsid w:val="2E2F7AAD"/>
    <w:rsid w:val="2E54482D"/>
    <w:rsid w:val="2FF63918"/>
    <w:rsid w:val="3D3A4CC0"/>
    <w:rsid w:val="3FFA6FFA"/>
    <w:rsid w:val="40314747"/>
    <w:rsid w:val="46C54241"/>
    <w:rsid w:val="47655843"/>
    <w:rsid w:val="4A73045F"/>
    <w:rsid w:val="4D585971"/>
    <w:rsid w:val="56B33CA7"/>
    <w:rsid w:val="56F36C24"/>
    <w:rsid w:val="579955B7"/>
    <w:rsid w:val="5A0A3088"/>
    <w:rsid w:val="5FA71B09"/>
    <w:rsid w:val="60A21126"/>
    <w:rsid w:val="71312F42"/>
    <w:rsid w:val="75FB10AB"/>
    <w:rsid w:val="77527773"/>
    <w:rsid w:val="7B745CD7"/>
    <w:rsid w:val="7E7171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 w:type="character" w:customStyle="1" w:styleId="9">
    <w:name w:val="页眉 Char"/>
    <w:basedOn w:val="7"/>
    <w:link w:val="4"/>
    <w:uiPriority w:val="0"/>
    <w:rPr>
      <w:rFonts w:asciiTheme="minorHAnsi" w:hAnsiTheme="minorHAnsi" w:eastAsiaTheme="minorEastAsia" w:cstheme="minorBidi"/>
      <w:kern w:val="2"/>
      <w:sz w:val="18"/>
      <w:szCs w:val="18"/>
    </w:rPr>
  </w:style>
  <w:style w:type="character" w:customStyle="1" w:styleId="10">
    <w:name w:val="页脚 Char"/>
    <w:basedOn w:val="7"/>
    <w:link w:val="3"/>
    <w:uiPriority w:val="0"/>
    <w:rPr>
      <w:rFonts w:asciiTheme="minorHAnsi" w:hAnsiTheme="minorHAnsi" w:eastAsiaTheme="minorEastAsia" w:cstheme="minorBidi"/>
      <w:kern w:val="2"/>
      <w:sz w:val="18"/>
      <w:szCs w:val="18"/>
    </w:rPr>
  </w:style>
  <w:style w:type="paragraph" w:styleId="1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1</Pages>
  <Words>484</Words>
  <Characters>488</Characters>
  <Lines>3</Lines>
  <Paragraphs>1</Paragraphs>
  <TotalTime>103</TotalTime>
  <ScaleCrop>false</ScaleCrop>
  <LinksUpToDate>false</LinksUpToDate>
  <CharactersWithSpaces>510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2017-06-17T04:57:00Z</dcterms:created>
  <dc:creator>Administrator</dc:creator>
  <cp:lastModifiedBy>86137</cp:lastModifiedBy>
  <dcterms:modified xsi:type="dcterms:W3CDTF">2022-10-14T14:32:43Z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98253CC2C3FB4159AD7B7888FB2B191D</vt:lpwstr>
  </property>
</Properties>
</file>