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D02" w:rsidRPr="00493D02" w:rsidRDefault="00493D02" w:rsidP="00493D02">
      <w:pPr>
        <w:adjustRightInd w:val="0"/>
        <w:snapToGrid w:val="0"/>
        <w:spacing w:line="360" w:lineRule="auto"/>
        <w:jc w:val="center"/>
        <w:rPr>
          <w:rFonts w:ascii="黑体" w:eastAsia="黑体" w:hAnsi="黑体"/>
          <w:sz w:val="32"/>
          <w:szCs w:val="32"/>
        </w:rPr>
      </w:pPr>
      <w:r w:rsidRPr="00493D02">
        <w:rPr>
          <w:rFonts w:ascii="黑体" w:eastAsia="黑体" w:hAnsi="黑体" w:hint="eastAsia"/>
          <w:sz w:val="32"/>
          <w:szCs w:val="32"/>
        </w:rPr>
        <w:t>户外开放性表演游戏高度相关文献目录</w:t>
      </w:r>
    </w:p>
    <w:p w:rsidR="00493D02" w:rsidRPr="00791B7C" w:rsidRDefault="00493D02" w:rsidP="00493D02">
      <w:pPr>
        <w:adjustRightInd w:val="0"/>
        <w:snapToGrid w:val="0"/>
        <w:spacing w:line="360" w:lineRule="auto"/>
        <w:ind w:firstLineChars="200" w:firstLine="480"/>
        <w:rPr>
          <w:rFonts w:asciiTheme="minorEastAsia" w:eastAsiaTheme="minorEastAsia" w:hAnsiTheme="minorEastAsia"/>
          <w:sz w:val="24"/>
        </w:rPr>
      </w:pPr>
      <w:r w:rsidRPr="00791B7C">
        <w:rPr>
          <w:rFonts w:asciiTheme="minorEastAsia" w:eastAsiaTheme="minorEastAsia" w:hAnsiTheme="minorEastAsia" w:hint="eastAsia"/>
          <w:sz w:val="24"/>
        </w:rPr>
        <w:t>课题组成员自主研读《幼儿园游戏指导》《0—8岁游戏环境创设》《0—8岁儿童发展适应性教育》《儿童游戏观察》等书籍，关注课程游戏化精神和近五年学前教育核心期刊上有关幼儿表演游戏方面的文章，检索到的表演游戏相关文献近80多篇，其中与表演游戏、户外表演游戏、自主表演游戏高度相关的论文10篇。有关户外游戏的教育理论学习可以为本课题研究提供底气，有关表演游戏组织策略、环境创设和材料投放、推进步骤等，可以为本课题研究提供参考。</w:t>
      </w:r>
    </w:p>
    <w:tbl>
      <w:tblPr>
        <w:tblStyle w:val="a6"/>
        <w:tblW w:w="0" w:type="auto"/>
        <w:tblLook w:val="04A0"/>
      </w:tblPr>
      <w:tblGrid>
        <w:gridCol w:w="675"/>
        <w:gridCol w:w="3261"/>
        <w:gridCol w:w="4586"/>
      </w:tblGrid>
      <w:tr w:rsidR="00493D02" w:rsidRPr="00791B7C" w:rsidTr="00260EFA">
        <w:tc>
          <w:tcPr>
            <w:tcW w:w="675"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序号</w:t>
            </w:r>
          </w:p>
        </w:tc>
        <w:tc>
          <w:tcPr>
            <w:tcW w:w="3261"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高度相关文章</w:t>
            </w:r>
          </w:p>
        </w:tc>
        <w:tc>
          <w:tcPr>
            <w:tcW w:w="4586"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主要观点或借鉴价值</w:t>
            </w:r>
          </w:p>
        </w:tc>
      </w:tr>
      <w:tr w:rsidR="00493D02" w:rsidRPr="00791B7C" w:rsidTr="00260EFA">
        <w:tc>
          <w:tcPr>
            <w:tcW w:w="675"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1</w:t>
            </w:r>
          </w:p>
        </w:tc>
        <w:tc>
          <w:tcPr>
            <w:tcW w:w="3261"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邱学青教授的《幼儿园游戏指导》</w:t>
            </w:r>
          </w:p>
        </w:tc>
        <w:tc>
          <w:tcPr>
            <w:tcW w:w="4586" w:type="dxa"/>
          </w:tcPr>
          <w:p w:rsidR="00493D02" w:rsidRPr="00791B7C" w:rsidRDefault="00493D02" w:rsidP="00493D02">
            <w:pPr>
              <w:adjustRightInd w:val="0"/>
              <w:snapToGrid w:val="0"/>
              <w:rPr>
                <w:rFonts w:asciiTheme="minorEastAsia" w:eastAsiaTheme="minorEastAsia" w:hAnsiTheme="minorEastAsia"/>
                <w:sz w:val="24"/>
              </w:rPr>
            </w:pPr>
            <w:r w:rsidRPr="00791B7C">
              <w:rPr>
                <w:rFonts w:asciiTheme="minorEastAsia" w:eastAsiaTheme="minorEastAsia" w:hAnsiTheme="minorEastAsia" w:hint="eastAsia"/>
                <w:sz w:val="24"/>
              </w:rPr>
              <w:t>对表演游戏的含义、特点与结构以及不同年龄班幼儿表演游戏的特点和指导策略进行了介绍。</w:t>
            </w:r>
          </w:p>
        </w:tc>
      </w:tr>
      <w:tr w:rsidR="00493D02" w:rsidRPr="00791B7C" w:rsidTr="00260EFA">
        <w:tc>
          <w:tcPr>
            <w:tcW w:w="675"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2</w:t>
            </w:r>
          </w:p>
        </w:tc>
        <w:tc>
          <w:tcPr>
            <w:tcW w:w="3261"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主题背景下自主性表演游戏的开展策略</w:t>
            </w:r>
          </w:p>
        </w:tc>
        <w:tc>
          <w:tcPr>
            <w:tcW w:w="4586" w:type="dxa"/>
          </w:tcPr>
          <w:p w:rsidR="00493D02" w:rsidRPr="00791B7C" w:rsidRDefault="00493D02" w:rsidP="00493D02">
            <w:pPr>
              <w:adjustRightInd w:val="0"/>
              <w:snapToGrid w:val="0"/>
              <w:rPr>
                <w:rFonts w:asciiTheme="minorEastAsia" w:eastAsiaTheme="minorEastAsia" w:hAnsiTheme="minorEastAsia"/>
                <w:sz w:val="24"/>
              </w:rPr>
            </w:pPr>
            <w:r w:rsidRPr="00791B7C">
              <w:rPr>
                <w:rFonts w:asciiTheme="minorEastAsia" w:eastAsiaTheme="minorEastAsia" w:hAnsiTheme="minorEastAsia" w:hint="eastAsia"/>
                <w:sz w:val="24"/>
              </w:rPr>
              <w:t>尊重幼儿自由选择和决定的权利，让表演更加自主和个性。支持幼儿个性化地表现故事情节、角色对话等。支持幼儿沟通设计场景、制作道具。</w:t>
            </w:r>
          </w:p>
        </w:tc>
      </w:tr>
      <w:tr w:rsidR="00493D02" w:rsidRPr="00791B7C" w:rsidTr="00260EFA">
        <w:tc>
          <w:tcPr>
            <w:tcW w:w="675"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3</w:t>
            </w:r>
          </w:p>
        </w:tc>
        <w:tc>
          <w:tcPr>
            <w:tcW w:w="3261"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融入童话元素的户外游戏场景设计实例</w:t>
            </w:r>
          </w:p>
        </w:tc>
        <w:tc>
          <w:tcPr>
            <w:tcW w:w="4586" w:type="dxa"/>
          </w:tcPr>
          <w:p w:rsidR="00493D02" w:rsidRPr="00791B7C" w:rsidRDefault="00493D02" w:rsidP="00493D02">
            <w:pPr>
              <w:adjustRightInd w:val="0"/>
              <w:snapToGrid w:val="0"/>
              <w:rPr>
                <w:rFonts w:asciiTheme="minorEastAsia" w:eastAsiaTheme="minorEastAsia" w:hAnsiTheme="minorEastAsia"/>
                <w:sz w:val="24"/>
              </w:rPr>
            </w:pPr>
            <w:r w:rsidRPr="00791B7C">
              <w:rPr>
                <w:rFonts w:asciiTheme="minorEastAsia" w:eastAsiaTheme="minorEastAsia" w:hAnsiTheme="minorEastAsia" w:hint="eastAsia"/>
                <w:sz w:val="24"/>
              </w:rPr>
              <w:t>分别从科学探究类、社会交往类、运动体能类等户外童话游戏场进行介绍</w:t>
            </w:r>
          </w:p>
        </w:tc>
      </w:tr>
      <w:tr w:rsidR="00493D02" w:rsidRPr="00791B7C" w:rsidTr="00260EFA">
        <w:tc>
          <w:tcPr>
            <w:tcW w:w="675"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4</w:t>
            </w:r>
          </w:p>
        </w:tc>
        <w:tc>
          <w:tcPr>
            <w:tcW w:w="3261"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幼儿“户外绘本游戏场”的建构与完善</w:t>
            </w:r>
          </w:p>
        </w:tc>
        <w:tc>
          <w:tcPr>
            <w:tcW w:w="4586" w:type="dxa"/>
          </w:tcPr>
          <w:p w:rsidR="00493D02" w:rsidRPr="00791B7C" w:rsidRDefault="00493D02" w:rsidP="00493D02">
            <w:pPr>
              <w:adjustRightInd w:val="0"/>
              <w:snapToGrid w:val="0"/>
              <w:rPr>
                <w:rFonts w:asciiTheme="minorEastAsia" w:eastAsiaTheme="minorEastAsia" w:hAnsiTheme="minorEastAsia"/>
                <w:sz w:val="24"/>
              </w:rPr>
            </w:pPr>
            <w:r w:rsidRPr="00791B7C">
              <w:rPr>
                <w:rFonts w:asciiTheme="minorEastAsia" w:eastAsiaTheme="minorEastAsia" w:hAnsiTheme="minorEastAsia" w:hint="eastAsia"/>
                <w:sz w:val="24"/>
              </w:rPr>
              <w:t>从设立目标、创设环境、投放多元化材料、实施科学评价四个方面进行介绍。</w:t>
            </w:r>
          </w:p>
        </w:tc>
      </w:tr>
      <w:tr w:rsidR="00493D02" w:rsidRPr="00791B7C" w:rsidTr="00260EFA">
        <w:tc>
          <w:tcPr>
            <w:tcW w:w="675"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5</w:t>
            </w:r>
          </w:p>
        </w:tc>
        <w:tc>
          <w:tcPr>
            <w:tcW w:w="3261"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从“绿野仙踪”看幼儿园方案活动的开展</w:t>
            </w:r>
          </w:p>
        </w:tc>
        <w:tc>
          <w:tcPr>
            <w:tcW w:w="4586" w:type="dxa"/>
          </w:tcPr>
          <w:p w:rsidR="00493D02" w:rsidRPr="00791B7C" w:rsidRDefault="00493D02" w:rsidP="00493D02">
            <w:pPr>
              <w:adjustRightInd w:val="0"/>
              <w:snapToGrid w:val="0"/>
              <w:rPr>
                <w:rFonts w:asciiTheme="minorEastAsia" w:eastAsiaTheme="minorEastAsia" w:hAnsiTheme="minorEastAsia"/>
                <w:sz w:val="24"/>
              </w:rPr>
            </w:pPr>
            <w:r w:rsidRPr="00791B7C">
              <w:rPr>
                <w:rFonts w:asciiTheme="minorEastAsia" w:eastAsiaTheme="minorEastAsia" w:hAnsiTheme="minorEastAsia" w:hint="eastAsia"/>
                <w:sz w:val="24"/>
              </w:rPr>
              <w:t>从“活动缘起、活动准备、活动执行、活动表现”四个方面介绍方案的推进。为教师组织表演游戏、撰写游戏案例提供参考。</w:t>
            </w:r>
          </w:p>
        </w:tc>
      </w:tr>
      <w:tr w:rsidR="00493D02" w:rsidRPr="00791B7C" w:rsidTr="00260EFA">
        <w:tc>
          <w:tcPr>
            <w:tcW w:w="675"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6</w:t>
            </w:r>
          </w:p>
        </w:tc>
        <w:tc>
          <w:tcPr>
            <w:tcW w:w="3261"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安吉户外游戏材料的特征及价值</w:t>
            </w:r>
          </w:p>
        </w:tc>
        <w:tc>
          <w:tcPr>
            <w:tcW w:w="4586" w:type="dxa"/>
          </w:tcPr>
          <w:p w:rsidR="00493D02" w:rsidRPr="00791B7C" w:rsidRDefault="00493D02" w:rsidP="00493D02">
            <w:pPr>
              <w:adjustRightInd w:val="0"/>
              <w:snapToGrid w:val="0"/>
              <w:rPr>
                <w:rFonts w:asciiTheme="minorEastAsia" w:eastAsiaTheme="minorEastAsia" w:hAnsiTheme="minorEastAsia"/>
                <w:sz w:val="24"/>
              </w:rPr>
            </w:pPr>
            <w:r w:rsidRPr="00791B7C">
              <w:rPr>
                <w:rFonts w:asciiTheme="minorEastAsia" w:eastAsiaTheme="minorEastAsia" w:hAnsiTheme="minorEastAsia" w:hint="eastAsia"/>
                <w:sz w:val="24"/>
              </w:rPr>
              <w:t>要相信孩子的能力，学会放手。基于观察对户外低结构材料投放和调整，值得借鉴。</w:t>
            </w:r>
          </w:p>
        </w:tc>
      </w:tr>
      <w:tr w:rsidR="00493D02" w:rsidRPr="00791B7C" w:rsidTr="00260EFA">
        <w:tc>
          <w:tcPr>
            <w:tcW w:w="675"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7</w:t>
            </w:r>
          </w:p>
        </w:tc>
        <w:tc>
          <w:tcPr>
            <w:tcW w:w="3261"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关注监控质量，提升游戏质量</w:t>
            </w:r>
          </w:p>
        </w:tc>
        <w:tc>
          <w:tcPr>
            <w:tcW w:w="4586" w:type="dxa"/>
          </w:tcPr>
          <w:p w:rsidR="00493D02" w:rsidRPr="00791B7C" w:rsidRDefault="00493D02" w:rsidP="00493D02">
            <w:pPr>
              <w:adjustRightInd w:val="0"/>
              <w:snapToGrid w:val="0"/>
              <w:rPr>
                <w:rFonts w:asciiTheme="minorEastAsia" w:eastAsiaTheme="minorEastAsia" w:hAnsiTheme="minorEastAsia"/>
                <w:sz w:val="24"/>
              </w:rPr>
            </w:pPr>
            <w:r w:rsidRPr="00791B7C">
              <w:rPr>
                <w:rFonts w:asciiTheme="minorEastAsia" w:eastAsiaTheme="minorEastAsia" w:hAnsiTheme="minorEastAsia" w:hint="eastAsia"/>
                <w:sz w:val="24"/>
              </w:rPr>
              <w:t>游戏观察要点和提示，为教师观察、解读、支持幼儿游戏行为和能力提供更为细化、操作性更强的行动指南。游戏质量监控与评价的实施可以借鉴。</w:t>
            </w:r>
          </w:p>
        </w:tc>
      </w:tr>
      <w:tr w:rsidR="00493D02" w:rsidRPr="00791B7C" w:rsidTr="00260EFA">
        <w:tc>
          <w:tcPr>
            <w:tcW w:w="675"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8</w:t>
            </w:r>
          </w:p>
        </w:tc>
        <w:tc>
          <w:tcPr>
            <w:tcW w:w="3261"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户外游戏让童年诗意地栖居在大地上——幼儿园户外游戏的课程价值与基本理念</w:t>
            </w:r>
          </w:p>
        </w:tc>
        <w:tc>
          <w:tcPr>
            <w:tcW w:w="4586" w:type="dxa"/>
          </w:tcPr>
          <w:p w:rsidR="00493D02" w:rsidRPr="00791B7C" w:rsidRDefault="00493D02" w:rsidP="00493D02">
            <w:pPr>
              <w:adjustRightInd w:val="0"/>
              <w:snapToGrid w:val="0"/>
              <w:rPr>
                <w:rFonts w:asciiTheme="minorEastAsia" w:eastAsiaTheme="minorEastAsia" w:hAnsiTheme="minorEastAsia"/>
                <w:sz w:val="24"/>
              </w:rPr>
            </w:pPr>
            <w:r w:rsidRPr="00791B7C">
              <w:rPr>
                <w:rFonts w:asciiTheme="minorEastAsia" w:eastAsiaTheme="minorEastAsia" w:hAnsiTheme="minorEastAsia" w:hint="eastAsia"/>
                <w:sz w:val="24"/>
              </w:rPr>
              <w:t>幼儿园户外游戏课程实施的基本理念：自然即课程、运动即人格、渗透即完整、差异即公平、自主即层次、解放即指导。</w:t>
            </w:r>
          </w:p>
        </w:tc>
      </w:tr>
      <w:tr w:rsidR="00493D02" w:rsidRPr="00791B7C" w:rsidTr="00260EFA">
        <w:tc>
          <w:tcPr>
            <w:tcW w:w="675"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9</w:t>
            </w:r>
          </w:p>
        </w:tc>
        <w:tc>
          <w:tcPr>
            <w:tcW w:w="3261"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皮影戏探索之旅</w:t>
            </w:r>
          </w:p>
        </w:tc>
        <w:tc>
          <w:tcPr>
            <w:tcW w:w="4586" w:type="dxa"/>
          </w:tcPr>
          <w:p w:rsidR="00493D02" w:rsidRPr="00791B7C" w:rsidRDefault="00493D02" w:rsidP="00493D02">
            <w:pPr>
              <w:adjustRightInd w:val="0"/>
              <w:snapToGrid w:val="0"/>
              <w:rPr>
                <w:rFonts w:asciiTheme="minorEastAsia" w:eastAsiaTheme="minorEastAsia" w:hAnsiTheme="minorEastAsia"/>
                <w:sz w:val="24"/>
              </w:rPr>
            </w:pPr>
            <w:r w:rsidRPr="00791B7C">
              <w:rPr>
                <w:rFonts w:asciiTheme="minorEastAsia" w:eastAsiaTheme="minorEastAsia" w:hAnsiTheme="minorEastAsia" w:hint="eastAsia"/>
                <w:sz w:val="24"/>
              </w:rPr>
              <w:t>为如何组织表演游戏和撰写表演游戏案例提供参考。</w:t>
            </w:r>
          </w:p>
        </w:tc>
      </w:tr>
      <w:tr w:rsidR="00493D02" w:rsidRPr="00791B7C" w:rsidTr="00260EFA">
        <w:tc>
          <w:tcPr>
            <w:tcW w:w="675"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10</w:t>
            </w:r>
          </w:p>
        </w:tc>
        <w:tc>
          <w:tcPr>
            <w:tcW w:w="3261" w:type="dxa"/>
            <w:vAlign w:val="center"/>
          </w:tcPr>
          <w:p w:rsidR="00493D02" w:rsidRPr="00791B7C" w:rsidRDefault="00493D02" w:rsidP="00493D02">
            <w:pPr>
              <w:adjustRightInd w:val="0"/>
              <w:snapToGrid w:val="0"/>
              <w:jc w:val="center"/>
              <w:rPr>
                <w:rFonts w:asciiTheme="minorEastAsia" w:eastAsiaTheme="minorEastAsia" w:hAnsiTheme="minorEastAsia"/>
                <w:sz w:val="24"/>
              </w:rPr>
            </w:pPr>
            <w:r w:rsidRPr="00791B7C">
              <w:rPr>
                <w:rFonts w:asciiTheme="minorEastAsia" w:eastAsiaTheme="minorEastAsia" w:hAnsiTheme="minorEastAsia" w:hint="eastAsia"/>
                <w:sz w:val="24"/>
              </w:rPr>
              <w:t>生态阅读：探索阅读与表演的整合方式</w:t>
            </w:r>
          </w:p>
        </w:tc>
        <w:tc>
          <w:tcPr>
            <w:tcW w:w="4586" w:type="dxa"/>
          </w:tcPr>
          <w:p w:rsidR="00493D02" w:rsidRPr="00791B7C" w:rsidRDefault="00493D02" w:rsidP="00493D02">
            <w:pPr>
              <w:adjustRightInd w:val="0"/>
              <w:snapToGrid w:val="0"/>
              <w:rPr>
                <w:rFonts w:asciiTheme="minorEastAsia" w:eastAsiaTheme="minorEastAsia" w:hAnsiTheme="minorEastAsia"/>
                <w:sz w:val="24"/>
              </w:rPr>
            </w:pPr>
            <w:r w:rsidRPr="00791B7C">
              <w:rPr>
                <w:rFonts w:asciiTheme="minorEastAsia" w:eastAsiaTheme="minorEastAsia" w:hAnsiTheme="minorEastAsia" w:hint="eastAsia"/>
                <w:sz w:val="24"/>
              </w:rPr>
              <w:t>利用幼儿园生态环境促进幼儿阅读，创设开放环境、提供丰富材料、给予幼儿充分自主，促进于都与表演游戏的整合。</w:t>
            </w:r>
          </w:p>
        </w:tc>
      </w:tr>
    </w:tbl>
    <w:p w:rsidR="003A708E" w:rsidRPr="00493D02" w:rsidRDefault="003A708E"/>
    <w:sectPr w:rsidR="003A708E" w:rsidRPr="00493D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08E" w:rsidRDefault="003A708E" w:rsidP="00493D02">
      <w:pPr>
        <w:ind w:firstLine="420"/>
      </w:pPr>
      <w:r>
        <w:separator/>
      </w:r>
    </w:p>
  </w:endnote>
  <w:endnote w:type="continuationSeparator" w:id="1">
    <w:p w:rsidR="003A708E" w:rsidRDefault="003A708E" w:rsidP="00493D0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08E" w:rsidRDefault="003A708E" w:rsidP="00493D02">
      <w:pPr>
        <w:ind w:firstLine="420"/>
      </w:pPr>
      <w:r>
        <w:separator/>
      </w:r>
    </w:p>
  </w:footnote>
  <w:footnote w:type="continuationSeparator" w:id="1">
    <w:p w:rsidR="003A708E" w:rsidRDefault="003A708E" w:rsidP="00493D02">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D568C"/>
    <w:multiLevelType w:val="hybridMultilevel"/>
    <w:tmpl w:val="A112B06C"/>
    <w:lvl w:ilvl="0" w:tplc="9E9C3EEE">
      <w:start w:val="1"/>
      <w:numFmt w:val="japaneseCounting"/>
      <w:lvlText w:val="（%1）"/>
      <w:lvlJc w:val="left"/>
      <w:pPr>
        <w:ind w:left="1185" w:hanging="720"/>
      </w:pPr>
      <w:rPr>
        <w:rFonts w:hint="default"/>
        <w:lang w:val="en-US"/>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3D02"/>
    <w:rsid w:val="003A708E"/>
    <w:rsid w:val="00493D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D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3D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3D02"/>
    <w:rPr>
      <w:sz w:val="18"/>
      <w:szCs w:val="18"/>
    </w:rPr>
  </w:style>
  <w:style w:type="paragraph" w:styleId="a4">
    <w:name w:val="footer"/>
    <w:basedOn w:val="a"/>
    <w:link w:val="Char0"/>
    <w:uiPriority w:val="99"/>
    <w:semiHidden/>
    <w:unhideWhenUsed/>
    <w:rsid w:val="00493D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3D02"/>
    <w:rPr>
      <w:sz w:val="18"/>
      <w:szCs w:val="18"/>
    </w:rPr>
  </w:style>
  <w:style w:type="paragraph" w:styleId="a5">
    <w:name w:val="List Paragraph"/>
    <w:basedOn w:val="a"/>
    <w:uiPriority w:val="34"/>
    <w:qFormat/>
    <w:rsid w:val="00493D02"/>
    <w:pPr>
      <w:ind w:firstLineChars="200" w:firstLine="420"/>
    </w:pPr>
  </w:style>
  <w:style w:type="table" w:styleId="a6">
    <w:name w:val="Table Grid"/>
    <w:basedOn w:val="a1"/>
    <w:uiPriority w:val="59"/>
    <w:rsid w:val="00493D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788</Characters>
  <Application>Microsoft Office Word</Application>
  <DocSecurity>0</DocSecurity>
  <Lines>6</Lines>
  <Paragraphs>1</Paragraphs>
  <ScaleCrop>false</ScaleCrop>
  <Company>Microsoft</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2022-10-10T05:47:00Z</dcterms:created>
  <dcterms:modified xsi:type="dcterms:W3CDTF">2022-10-10T05:48:00Z</dcterms:modified>
</cp:coreProperties>
</file>