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明德实验中学</w:t>
      </w:r>
      <w:r>
        <w:rPr>
          <w:rFonts w:hint="eastAsia"/>
          <w:sz w:val="24"/>
          <w:szCs w:val="24"/>
          <w:lang w:eastAsia="zh-CN"/>
        </w:rPr>
        <w:t>“</w:t>
      </w:r>
      <w:r>
        <w:rPr>
          <w:rFonts w:hint="eastAsia"/>
          <w:sz w:val="24"/>
          <w:szCs w:val="24"/>
          <w:lang w:val="en-US" w:eastAsia="zh-CN"/>
        </w:rPr>
        <w:t>双减新生态”研究中心人员安排</w:t>
      </w:r>
    </w:p>
    <w:tbl>
      <w:tblPr>
        <w:tblStyle w:val="3"/>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932"/>
        <w:gridCol w:w="1696"/>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68" w:type="dxa"/>
            <w:shd w:val="clear" w:color="auto" w:fill="F1F1F1" w:themeFill="background1" w:themeFillShade="F2"/>
          </w:tcPr>
          <w:p>
            <w:pPr>
              <w:jc w:val="center"/>
              <w:rPr>
                <w:rFonts w:hint="default"/>
                <w:sz w:val="24"/>
                <w:szCs w:val="24"/>
                <w:vertAlign w:val="baseline"/>
                <w:lang w:val="en-US" w:eastAsia="zh-CN"/>
              </w:rPr>
            </w:pPr>
          </w:p>
        </w:tc>
        <w:tc>
          <w:tcPr>
            <w:tcW w:w="1932" w:type="dxa"/>
            <w:shd w:val="clear" w:color="auto" w:fill="F1F1F1" w:themeFill="background1" w:themeFillShade="F2"/>
            <w:vAlign w:val="top"/>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作业管理</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研究项目组</w:t>
            </w:r>
          </w:p>
        </w:tc>
        <w:tc>
          <w:tcPr>
            <w:tcW w:w="1696" w:type="dxa"/>
            <w:shd w:val="clear" w:color="auto" w:fill="F1F1F1" w:themeFill="background1" w:themeFillShade="F2"/>
            <w:vAlign w:val="top"/>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考试命题</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研究项目组</w:t>
            </w:r>
          </w:p>
        </w:tc>
        <w:tc>
          <w:tcPr>
            <w:tcW w:w="1771" w:type="dxa"/>
            <w:shd w:val="clear" w:color="auto" w:fill="F1F1F1" w:themeFill="background1" w:themeFillShade="F2"/>
            <w:vAlign w:val="top"/>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学业评价</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研究项目组</w:t>
            </w:r>
          </w:p>
        </w:tc>
        <w:tc>
          <w:tcPr>
            <w:tcW w:w="1771" w:type="dxa"/>
            <w:shd w:val="clear" w:color="auto" w:fill="F1F1F1" w:themeFill="background1" w:themeFillShade="F2"/>
            <w:vAlign w:val="top"/>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课堂教学</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研究项目组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8" w:type="dxa"/>
            <w:shd w:val="clear" w:color="auto" w:fill="F1F1F1" w:themeFill="background1" w:themeFillShade="F2"/>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研究</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角度</w:t>
            </w:r>
          </w:p>
          <w:p>
            <w:pPr>
              <w:jc w:val="center"/>
              <w:rPr>
                <w:rFonts w:hint="default"/>
                <w:sz w:val="24"/>
                <w:szCs w:val="24"/>
                <w:vertAlign w:val="baseline"/>
                <w:lang w:val="en-US" w:eastAsia="zh-CN"/>
              </w:rPr>
            </w:pPr>
            <w:r>
              <w:rPr>
                <w:rFonts w:hint="eastAsia" w:ascii="仿宋" w:hAnsi="仿宋" w:eastAsia="仿宋" w:cs="Times New Roman"/>
                <w:kern w:val="2"/>
                <w:sz w:val="24"/>
                <w:szCs w:val="24"/>
                <w:lang w:val="en-US" w:eastAsia="zh-CN" w:bidi="ar-SA"/>
              </w:rPr>
              <w:t>重点</w:t>
            </w:r>
          </w:p>
        </w:tc>
        <w:tc>
          <w:tcPr>
            <w:tcW w:w="1932" w:type="dxa"/>
            <w:shd w:val="clear" w:color="auto" w:fill="F1F1F1" w:themeFill="background1" w:themeFillShade="F2"/>
            <w:vAlign w:val="top"/>
          </w:tcPr>
          <w:p>
            <w:p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创新作业设计</w:t>
            </w:r>
          </w:p>
          <w:p>
            <w:p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常态化作业管理</w:t>
            </w:r>
          </w:p>
          <w:p>
            <w:p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分层作业落实</w:t>
            </w:r>
          </w:p>
          <w:p>
            <w:pPr>
              <w:jc w:val="both"/>
              <w:rPr>
                <w:rFonts w:hint="default" w:cstheme="minorBidi"/>
                <w:kern w:val="2"/>
                <w:sz w:val="24"/>
                <w:szCs w:val="24"/>
                <w:vertAlign w:val="baseline"/>
                <w:lang w:val="en-US" w:eastAsia="zh-CN" w:bidi="ar-SA"/>
              </w:rPr>
            </w:pPr>
            <w:r>
              <w:rPr>
                <w:rFonts w:hint="eastAsia" w:ascii="仿宋" w:hAnsi="仿宋" w:eastAsia="仿宋" w:cs="Times New Roman"/>
                <w:kern w:val="2"/>
                <w:sz w:val="24"/>
                <w:szCs w:val="24"/>
                <w:lang w:val="en-US" w:eastAsia="zh-CN" w:bidi="ar-SA"/>
              </w:rPr>
              <w:t>作业智库进展</w:t>
            </w:r>
          </w:p>
        </w:tc>
        <w:tc>
          <w:tcPr>
            <w:tcW w:w="1696" w:type="dxa"/>
            <w:shd w:val="clear" w:color="auto" w:fill="F1F1F1" w:themeFill="background1" w:themeFillShade="F2"/>
            <w:vAlign w:val="top"/>
          </w:tcPr>
          <w:p>
            <w:pPr>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命题规范思路</w:t>
            </w:r>
          </w:p>
          <w:p>
            <w:pPr>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命题策略技巧</w:t>
            </w:r>
          </w:p>
          <w:p>
            <w:pPr>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命题原则方法</w:t>
            </w:r>
          </w:p>
          <w:p>
            <w:pPr>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命题实践案例</w:t>
            </w:r>
          </w:p>
        </w:tc>
        <w:tc>
          <w:tcPr>
            <w:tcW w:w="1771" w:type="dxa"/>
            <w:shd w:val="clear" w:color="auto" w:fill="F1F1F1" w:themeFill="background1" w:themeFillShade="F2"/>
            <w:vAlign w:val="top"/>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评价原则思路</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评价策略技巧</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评价实践创新评价案例分享</w:t>
            </w:r>
          </w:p>
        </w:tc>
        <w:tc>
          <w:tcPr>
            <w:tcW w:w="1771" w:type="dxa"/>
            <w:shd w:val="clear" w:color="auto" w:fill="F1F1F1" w:themeFill="background1" w:themeFillShade="F2"/>
            <w:vAlign w:val="top"/>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基于信息化的课堂教学流程</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课堂教学策略</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课堂教学案例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语文组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徐锦珠</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王雯迪</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赵  芸</w:t>
            </w:r>
          </w:p>
        </w:tc>
        <w:tc>
          <w:tcPr>
            <w:tcW w:w="1696"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王俐俐</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吴  艳</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徐颖彬</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施玲玲</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储丽媛</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高子银</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唐雅伦</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包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数学组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苏红芬</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张小燕</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施碧清</w:t>
            </w:r>
          </w:p>
        </w:tc>
        <w:tc>
          <w:tcPr>
            <w:tcW w:w="1696"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任  灿</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林  祥</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蒋云红</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王丽君</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吴顺婷</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陈江红</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陆军荣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英语组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陆翠翠</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张艳荣</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吕  立</w:t>
            </w:r>
          </w:p>
        </w:tc>
        <w:tc>
          <w:tcPr>
            <w:tcW w:w="1696"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季  瑶</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程欣妍</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  洁</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  玥</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许雅兰</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唐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物化组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邓顺元</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潘丽华</w:t>
            </w:r>
          </w:p>
        </w:tc>
        <w:tc>
          <w:tcPr>
            <w:tcW w:w="1696"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王华萍</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严春兰</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马义永</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许志刚</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谢小瑜</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宋钰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政史组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朱丁坤</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万丽娜</w:t>
            </w:r>
          </w:p>
        </w:tc>
        <w:tc>
          <w:tcPr>
            <w:tcW w:w="169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黄  静</w:t>
            </w:r>
          </w:p>
        </w:tc>
        <w:tc>
          <w:tcPr>
            <w:tcW w:w="1771"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马竹青</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谭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地生组</w:t>
            </w:r>
          </w:p>
        </w:tc>
        <w:tc>
          <w:tcPr>
            <w:tcW w:w="1932"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杜传健</w:t>
            </w:r>
          </w:p>
        </w:tc>
        <w:tc>
          <w:tcPr>
            <w:tcW w:w="1696"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范舒洋</w:t>
            </w:r>
          </w:p>
        </w:tc>
        <w:tc>
          <w:tcPr>
            <w:tcW w:w="1771"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朱  烨</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黄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8"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综合组</w:t>
            </w:r>
          </w:p>
        </w:tc>
        <w:tc>
          <w:tcPr>
            <w:tcW w:w="1932"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陆红花</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庄重</w:t>
            </w:r>
          </w:p>
        </w:tc>
        <w:tc>
          <w:tcPr>
            <w:tcW w:w="1696"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张全丽</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顾  涛</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史君如</w:t>
            </w:r>
          </w:p>
          <w:p>
            <w:pPr>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张冬梅</w:t>
            </w:r>
          </w:p>
        </w:tc>
        <w:tc>
          <w:tcPr>
            <w:tcW w:w="177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孙钰婧</w:t>
            </w:r>
          </w:p>
          <w:p>
            <w:pPr>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郑乃凤</w:t>
            </w:r>
          </w:p>
        </w:tc>
      </w:tr>
    </w:tbl>
    <w:p>
      <w:pPr>
        <w:jc w:val="center"/>
        <w:rPr>
          <w:rFonts w:hint="eastAsia"/>
          <w:sz w:val="30"/>
          <w:szCs w:val="30"/>
          <w:lang w:val="en-US" w:eastAsia="zh-CN"/>
        </w:rPr>
      </w:pPr>
      <w:r>
        <w:rPr>
          <w:rFonts w:hint="eastAsia"/>
          <w:sz w:val="30"/>
          <w:szCs w:val="30"/>
          <w:lang w:val="en-US" w:eastAsia="zh-CN"/>
        </w:rPr>
        <w:t>明德实验中学</w:t>
      </w:r>
      <w:r>
        <w:rPr>
          <w:rFonts w:hint="eastAsia"/>
          <w:sz w:val="30"/>
          <w:szCs w:val="30"/>
          <w:lang w:eastAsia="zh-CN"/>
        </w:rPr>
        <w:t>“</w:t>
      </w:r>
      <w:r>
        <w:rPr>
          <w:rFonts w:hint="eastAsia"/>
          <w:sz w:val="30"/>
          <w:szCs w:val="30"/>
          <w:lang w:val="en-US" w:eastAsia="zh-CN"/>
        </w:rPr>
        <w:t>双减新生态”研究中心推进交流计划</w:t>
      </w:r>
    </w:p>
    <w:p>
      <w:pPr>
        <w:jc w:val="center"/>
        <w:rPr>
          <w:rFonts w:hint="default"/>
          <w:sz w:val="30"/>
          <w:szCs w:val="30"/>
          <w:lang w:val="en-US" w:eastAsia="zh-CN"/>
        </w:rPr>
      </w:pPr>
      <w:r>
        <w:rPr>
          <w:rFonts w:hint="eastAsia"/>
          <w:sz w:val="30"/>
          <w:szCs w:val="30"/>
          <w:u w:val="none"/>
          <w:lang w:val="en-US" w:eastAsia="zh-CN"/>
        </w:rPr>
        <w:t>（</w:t>
      </w:r>
      <w:r>
        <w:rPr>
          <w:rFonts w:hint="eastAsia"/>
          <w:sz w:val="30"/>
          <w:szCs w:val="30"/>
          <w:u w:val="single"/>
          <w:lang w:val="en-US" w:eastAsia="zh-CN"/>
        </w:rPr>
        <w:t xml:space="preserve"> 英语  </w:t>
      </w:r>
      <w:r>
        <w:rPr>
          <w:rFonts w:hint="eastAsia"/>
          <w:sz w:val="30"/>
          <w:szCs w:val="30"/>
          <w:u w:val="none"/>
          <w:lang w:val="en-US" w:eastAsia="zh-CN"/>
        </w:rPr>
        <w:t>组</w:t>
      </w:r>
      <w:r>
        <w:rPr>
          <w:rFonts w:hint="eastAsia"/>
          <w:sz w:val="30"/>
          <w:szCs w:val="30"/>
          <w:lang w:val="en-US" w:eastAsia="zh-CN"/>
        </w:rPr>
        <w:t>)</w:t>
      </w:r>
      <w:bookmarkStart w:id="0" w:name="_GoBack"/>
      <w:bookmarkEnd w:id="0"/>
    </w:p>
    <w:tbl>
      <w:tblPr>
        <w:tblStyle w:val="3"/>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346"/>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705" w:type="dxa"/>
            <w:shd w:val="clear" w:color="auto" w:fill="F1F1F1" w:themeFill="background1" w:themeFillShade="F2"/>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汇报交流主题</w:t>
            </w:r>
          </w:p>
        </w:tc>
        <w:tc>
          <w:tcPr>
            <w:tcW w:w="2346" w:type="dxa"/>
            <w:shd w:val="clear" w:color="auto" w:fill="F1F1F1" w:themeFill="background1" w:themeFillShade="F2"/>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汇报材料ppt上交时间</w:t>
            </w:r>
          </w:p>
        </w:tc>
        <w:tc>
          <w:tcPr>
            <w:tcW w:w="2263" w:type="dxa"/>
            <w:shd w:val="clear" w:color="auto" w:fill="F1F1F1" w:themeFill="background1" w:themeFillShade="F2"/>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交流时间</w:t>
            </w:r>
          </w:p>
        </w:tc>
        <w:tc>
          <w:tcPr>
            <w:tcW w:w="2263" w:type="dxa"/>
            <w:shd w:val="clear" w:color="auto" w:fill="F1F1F1" w:themeFill="background1" w:themeFillShade="F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0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作业管理研究</w:t>
            </w:r>
          </w:p>
        </w:tc>
        <w:tc>
          <w:tcPr>
            <w:tcW w:w="2346"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 xml:space="preserve">第六周周五前 </w:t>
            </w:r>
          </w:p>
        </w:tc>
        <w:tc>
          <w:tcPr>
            <w:tcW w:w="2263"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第七周（10.10）</w:t>
            </w:r>
          </w:p>
        </w:tc>
        <w:tc>
          <w:tcPr>
            <w:tcW w:w="22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吕立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5"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考试命题研究</w:t>
            </w:r>
          </w:p>
        </w:tc>
        <w:tc>
          <w:tcPr>
            <w:tcW w:w="2346"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第八周周五前</w:t>
            </w:r>
          </w:p>
        </w:tc>
        <w:tc>
          <w:tcPr>
            <w:tcW w:w="2263"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第九周（10.24）</w:t>
            </w:r>
          </w:p>
        </w:tc>
        <w:tc>
          <w:tcPr>
            <w:tcW w:w="22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季瑶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学业评价研究</w:t>
            </w:r>
          </w:p>
        </w:tc>
        <w:tc>
          <w:tcPr>
            <w:tcW w:w="2346"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第十二周五前</w:t>
            </w:r>
          </w:p>
        </w:tc>
        <w:tc>
          <w:tcPr>
            <w:tcW w:w="2263"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第十三周（11.21）</w:t>
            </w:r>
          </w:p>
        </w:tc>
        <w:tc>
          <w:tcPr>
            <w:tcW w:w="22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课堂教学研究</w:t>
            </w:r>
          </w:p>
        </w:tc>
        <w:tc>
          <w:tcPr>
            <w:tcW w:w="2346"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第十四周五前</w:t>
            </w:r>
          </w:p>
        </w:tc>
        <w:tc>
          <w:tcPr>
            <w:tcW w:w="2263"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第十五周（12.5）</w:t>
            </w:r>
          </w:p>
        </w:tc>
        <w:tc>
          <w:tcPr>
            <w:tcW w:w="226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许雅兰</w:t>
            </w:r>
          </w:p>
        </w:tc>
      </w:tr>
    </w:tbl>
    <w:p>
      <w:pPr>
        <w:jc w:val="both"/>
        <w:rPr>
          <w:rFonts w:hint="eastAsia"/>
          <w:sz w:val="30"/>
          <w:szCs w:val="30"/>
          <w:lang w:val="en-US" w:eastAsia="zh-CN"/>
        </w:rPr>
      </w:pPr>
      <w:r>
        <w:rPr>
          <w:rFonts w:hint="eastAsia"/>
          <w:sz w:val="30"/>
          <w:szCs w:val="30"/>
          <w:lang w:val="en-US" w:eastAsia="zh-CN"/>
        </w:rPr>
        <w:t>要求：</w:t>
      </w:r>
    </w:p>
    <w:p>
      <w:pPr>
        <w:spacing w:line="240" w:lineRule="auto"/>
        <w:ind w:firstLine="480" w:firstLineChars="200"/>
        <w:jc w:val="left"/>
      </w:pPr>
      <w:r>
        <w:rPr>
          <w:rFonts w:hint="eastAsia" w:cstheme="minorBidi"/>
          <w:kern w:val="2"/>
          <w:sz w:val="24"/>
          <w:szCs w:val="24"/>
          <w:vertAlign w:val="baseline"/>
          <w:lang w:val="en-US" w:eastAsia="zh-CN" w:bidi="ar-SA"/>
        </w:rPr>
        <w:t>本学期各教研组紧扣“双减”四大研究主题进行校本研修，研修记录和研修材料上传学校校园网平台，同时，基于学科组校本研修基础上每个教研组每个主题推举一位优秀教师研究小组成员在组长沙龙会议上交流，交流前上交PPT及发言电子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jUyMjliNDAxYWJhZWI4YzVlMzA1ZjlhODYyMmQifQ=="/>
  </w:docVars>
  <w:rsids>
    <w:rsidRoot w:val="00000000"/>
    <w:rsid w:val="117B3089"/>
    <w:rsid w:val="35B24A58"/>
    <w:rsid w:val="5294522F"/>
    <w:rsid w:val="576D42A0"/>
    <w:rsid w:val="5D29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571</Words>
  <Characters>590</Characters>
  <Lines>0</Lines>
  <Paragraphs>0</Paragraphs>
  <TotalTime>5</TotalTime>
  <ScaleCrop>false</ScaleCrop>
  <LinksUpToDate>false</LinksUpToDate>
  <CharactersWithSpaces>630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2022-10-09T00:55:00Z</dcterms:created>
  <dc:creator>徐锦珠</dc:creator>
  <cp:lastModifiedBy>cecily</cp:lastModifiedBy>
  <dcterms:modified xsi:type="dcterms:W3CDTF">2022-10-09T01:30:46Z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2A57BD367C8C464EA9C0F4532C6C509C</vt:lpwstr>
  </property>
</Properties>
</file>