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firstLine="703" w:firstLineChars="250"/>
        <w:jc w:val="center"/>
        <w:rPr>
          <w:rFonts w:ascii="楷体_GB2312" w:eastAsia="楷体_GB2312"/>
          <w:b/>
          <w:bCs/>
          <w:sz w:val="28"/>
          <w:szCs w:val="28"/>
        </w:rPr>
      </w:pPr>
      <w:r>
        <w:rPr>
          <w:rFonts w:hint="eastAsia" w:ascii="宋体" w:hAnsi="宋体"/>
          <w:b/>
          <w:bCs/>
          <w:sz w:val="28"/>
          <w:szCs w:val="28"/>
          <w:lang w:val="en-US" w:eastAsia="zh-CN"/>
        </w:rPr>
        <w:t>在“</w:t>
      </w:r>
      <w:r>
        <w:rPr>
          <w:rFonts w:hint="eastAsia" w:ascii="宋体" w:hAnsi="宋体"/>
          <w:b/>
          <w:bCs/>
          <w:sz w:val="28"/>
          <w:szCs w:val="28"/>
        </w:rPr>
        <w:t>教</w:t>
      </w:r>
      <w:r>
        <w:rPr>
          <w:rFonts w:hint="eastAsia" w:ascii="宋体" w:hAnsi="宋体"/>
          <w:b/>
          <w:bCs/>
          <w:sz w:val="28"/>
          <w:szCs w:val="28"/>
          <w:lang w:val="en-US" w:eastAsia="zh-CN"/>
        </w:rPr>
        <w:t>、学、</w:t>
      </w:r>
      <w:r>
        <w:rPr>
          <w:rFonts w:hint="eastAsia" w:ascii="宋体" w:hAnsi="宋体"/>
          <w:b/>
          <w:bCs/>
          <w:sz w:val="28"/>
          <w:szCs w:val="28"/>
        </w:rPr>
        <w:t>研</w:t>
      </w:r>
      <w:r>
        <w:rPr>
          <w:rFonts w:hint="eastAsia" w:ascii="宋体" w:hAnsi="宋体"/>
          <w:b/>
          <w:bCs/>
          <w:sz w:val="28"/>
          <w:szCs w:val="28"/>
          <w:lang w:val="en-US" w:eastAsia="zh-CN"/>
        </w:rPr>
        <w:t>”中提升教学质量、发展核心素养</w:t>
      </w:r>
      <w:r>
        <w:rPr>
          <w:rFonts w:hint="eastAsia" w:ascii="楷体_GB2312" w:eastAsia="楷体_GB2312"/>
          <w:b/>
          <w:bCs/>
          <w:sz w:val="28"/>
          <w:szCs w:val="28"/>
        </w:rPr>
        <w:t xml:space="preserve">  </w:t>
      </w:r>
    </w:p>
    <w:p>
      <w:pPr>
        <w:snapToGrid w:val="0"/>
        <w:spacing w:line="312" w:lineRule="auto"/>
        <w:ind w:firstLine="700" w:firstLineChars="250"/>
        <w:jc w:val="center"/>
        <w:rPr>
          <w:bCs/>
          <w:sz w:val="24"/>
        </w:rPr>
      </w:pPr>
      <w:r>
        <w:rPr>
          <w:rFonts w:hint="eastAsia" w:ascii="楷体_GB2312" w:eastAsia="楷体_GB2312"/>
          <w:sz w:val="28"/>
          <w:szCs w:val="28"/>
        </w:rPr>
        <w:t>——</w:t>
      </w:r>
      <w:r>
        <w:rPr>
          <w:rFonts w:hint="eastAsia" w:ascii="楷体_GB2312" w:hAnsi="华文楷体" w:eastAsia="楷体_GB2312"/>
          <w:sz w:val="28"/>
          <w:szCs w:val="28"/>
        </w:rPr>
        <w:t>2022-2023学年度第一学期六年级数学教研组计划</w:t>
      </w:r>
      <w:bookmarkStart w:id="0" w:name="_GoBack"/>
      <w:bookmarkEnd w:id="0"/>
    </w:p>
    <w:p>
      <w:pPr>
        <w:spacing w:line="400" w:lineRule="exact"/>
        <w:rPr>
          <w:b/>
          <w:sz w:val="24"/>
        </w:rPr>
      </w:pPr>
      <w:r>
        <w:rPr>
          <w:rFonts w:hint="eastAsia"/>
          <w:b/>
          <w:sz w:val="24"/>
        </w:rPr>
        <w:t>一、现状分析</w:t>
      </w:r>
    </w:p>
    <w:p>
      <w:pPr>
        <w:spacing w:line="400" w:lineRule="exact"/>
        <w:rPr>
          <w:b/>
          <w:sz w:val="24"/>
        </w:rPr>
      </w:pPr>
      <w:r>
        <w:rPr>
          <w:b/>
          <w:sz w:val="24"/>
        </w:rPr>
        <w:t>1</w:t>
      </w:r>
      <w:r>
        <w:rPr>
          <w:rFonts w:hint="eastAsia"/>
          <w:b/>
          <w:sz w:val="24"/>
        </w:rPr>
        <w:t>、组员优势与不足：</w:t>
      </w:r>
    </w:p>
    <w:p>
      <w:pPr>
        <w:spacing w:line="400" w:lineRule="exact"/>
        <w:rPr>
          <w:rFonts w:ascii="宋体" w:hAnsi="宋体"/>
          <w:b/>
          <w:bCs/>
          <w:sz w:val="24"/>
        </w:rPr>
      </w:pPr>
      <w:r>
        <w:rPr>
          <w:rFonts w:hint="eastAsia" w:ascii="宋体" w:hAnsi="宋体"/>
          <w:b/>
          <w:bCs/>
          <w:sz w:val="24"/>
        </w:rPr>
        <w:t>优势：</w:t>
      </w:r>
    </w:p>
    <w:p>
      <w:pPr>
        <w:spacing w:line="400" w:lineRule="exact"/>
        <w:ind w:firstLine="480" w:firstLineChars="200"/>
        <w:rPr>
          <w:rFonts w:ascii="宋体" w:hAnsi="宋体"/>
          <w:sz w:val="24"/>
        </w:rPr>
      </w:pPr>
      <w:r>
        <w:rPr>
          <w:rFonts w:hint="eastAsia" w:ascii="宋体" w:hAnsi="宋体"/>
          <w:sz w:val="24"/>
        </w:rPr>
        <w:t>六年级数学共有5位老师，从大家的从教经历来看，有工作三十几年的杨建芬和叶朝阳老师，我们愿意把这两位老师定位为六数组的智囊团。她们丰富的教学经验能给六数组带来贴地气的教育教学方法的指导和引领。也有工作十几年的耿云老师，工作几年的青年老师朱玥和周丹。我们把这3位老师定位为六数组的行动团。因为年轻所以好学肯钻研，我们组的朱玥老师和周丹老师都主持并参与了多个数学研究课题，在她们课题的研究下，我们组的数学研究也就能有抓手、有方向。</w:t>
      </w:r>
    </w:p>
    <w:p>
      <w:pPr>
        <w:spacing w:line="400" w:lineRule="exact"/>
        <w:ind w:firstLine="480" w:firstLineChars="200"/>
        <w:rPr>
          <w:rFonts w:ascii="宋体" w:hAnsi="宋体"/>
          <w:sz w:val="24"/>
        </w:rPr>
      </w:pPr>
      <w:r>
        <w:rPr>
          <w:rFonts w:hint="eastAsia" w:ascii="宋体" w:hAnsi="宋体"/>
          <w:sz w:val="24"/>
        </w:rPr>
        <w:t>特别是5位老师中有4位有着多年六年级的教学经历，对于六数的数学教学比较熟悉，能清晰地把握教学的重难点。周丹老师虽是第一年执教六年级，但是她的优势在于对班级学生的了解，他的班已经带了</w:t>
      </w:r>
      <w:r>
        <w:rPr>
          <w:rFonts w:ascii="宋体" w:hAnsi="宋体"/>
          <w:sz w:val="24"/>
        </w:rPr>
        <w:t>4</w:t>
      </w:r>
      <w:r>
        <w:rPr>
          <w:rFonts w:hint="eastAsia" w:ascii="宋体" w:hAnsi="宋体"/>
          <w:sz w:val="24"/>
        </w:rPr>
        <w:t>年多，对于学生的数学常规和数学素养比较了解，再者她本人数学教学的领悟能力强，愿意钻研教材，所以相信她必定能很快胜任六年级的数学教学。</w:t>
      </w:r>
    </w:p>
    <w:p>
      <w:pPr>
        <w:spacing w:line="400" w:lineRule="exact"/>
        <w:rPr>
          <w:b/>
          <w:sz w:val="24"/>
        </w:rPr>
      </w:pPr>
      <w:r>
        <w:rPr>
          <w:rFonts w:hint="eastAsia"/>
          <w:b/>
          <w:sz w:val="24"/>
        </w:rPr>
        <w:t>不足：</w:t>
      </w:r>
    </w:p>
    <w:p>
      <w:pPr>
        <w:snapToGrid w:val="0"/>
        <w:spacing w:line="420" w:lineRule="exact"/>
        <w:ind w:firstLine="480" w:firstLineChars="200"/>
        <w:rPr>
          <w:rFonts w:ascii="宋体" w:hAnsi="宋体"/>
          <w:sz w:val="24"/>
        </w:rPr>
      </w:pPr>
      <w:r>
        <w:rPr>
          <w:rFonts w:hint="eastAsia" w:ascii="宋体" w:hAnsi="宋体"/>
          <w:sz w:val="24"/>
        </w:rPr>
        <w:t>就目前而言，我们存在的不足主要是：</w:t>
      </w:r>
      <w:r>
        <w:rPr>
          <w:rFonts w:hint="eastAsia" w:ascii="宋体" w:hAnsi="宋体"/>
          <w:b/>
          <w:bCs/>
          <w:sz w:val="24"/>
        </w:rPr>
        <w:t>学习主动性不强，学习方式不够开放。</w:t>
      </w:r>
      <w:r>
        <w:rPr>
          <w:rFonts w:hint="eastAsia" w:ascii="宋体" w:hAnsi="宋体"/>
          <w:sz w:val="24"/>
        </w:rPr>
        <w:t>不管是在数学阅读上还是在数学的理论实践上，老师们都处于比较被动的状态。不能主动选择一个感兴趣的数学领域进行学习与研究，在学习的方式上，不能坚持、不够开放，往往会囿于书本、浅于理论。正因为学习的零散化、不系统性，进而老师们的教科研研究能力还需提升。</w:t>
      </w:r>
    </w:p>
    <w:p>
      <w:pPr>
        <w:spacing w:line="400" w:lineRule="exact"/>
        <w:rPr>
          <w:rFonts w:asciiTheme="minorHAnsi" w:hAnsiTheme="minorHAnsi" w:eastAsiaTheme="minorEastAsia" w:cstheme="minorBidi"/>
          <w:b/>
          <w:sz w:val="24"/>
          <w:szCs w:val="22"/>
        </w:rPr>
      </w:pPr>
      <w:r>
        <w:rPr>
          <w:b/>
          <w:sz w:val="24"/>
        </w:rPr>
        <w:t>2</w:t>
      </w:r>
      <w:r>
        <w:rPr>
          <w:rFonts w:hint="eastAsia"/>
          <w:b/>
          <w:sz w:val="24"/>
        </w:rPr>
        <w:t>、学生培养的优势与问题：</w:t>
      </w:r>
    </w:p>
    <w:p>
      <w:pPr>
        <w:adjustRightInd w:val="0"/>
        <w:snapToGrid w:val="0"/>
        <w:spacing w:line="420" w:lineRule="exact"/>
        <w:rPr>
          <w:rFonts w:ascii="宋体" w:hAnsi="宋体"/>
          <w:b/>
          <w:bCs/>
          <w:sz w:val="24"/>
        </w:rPr>
      </w:pPr>
      <w:r>
        <w:rPr>
          <w:rFonts w:hint="eastAsia" w:ascii="宋体" w:hAnsi="宋体"/>
          <w:b/>
          <w:bCs/>
          <w:sz w:val="24"/>
        </w:rPr>
        <w:t>优势：</w:t>
      </w:r>
    </w:p>
    <w:p>
      <w:pPr>
        <w:adjustRightInd w:val="0"/>
        <w:snapToGrid w:val="0"/>
        <w:spacing w:line="420" w:lineRule="exact"/>
        <w:ind w:firstLine="480" w:firstLineChars="200"/>
        <w:rPr>
          <w:rFonts w:ascii="宋体" w:hAnsi="宋体"/>
          <w:sz w:val="24"/>
        </w:rPr>
      </w:pPr>
      <w:r>
        <w:rPr>
          <w:rFonts w:hint="eastAsia" w:ascii="宋体" w:hAnsi="宋体"/>
          <w:sz w:val="24"/>
        </w:rPr>
        <w:t>六年级的学生在前几年的数学学习中，基本的数学学习常规已经养成。在四、五年级时老师们比较关注他们计算能力的培养，绝大部分学生都能做到计算过关。在数学活动上，他们也掌握了探究的一些方法，能够独立、创新地进行数学问题的研究、数学活动的开展。</w:t>
      </w:r>
    </w:p>
    <w:p>
      <w:pPr>
        <w:adjustRightInd w:val="0"/>
        <w:snapToGrid w:val="0"/>
        <w:spacing w:line="420" w:lineRule="exact"/>
        <w:rPr>
          <w:rFonts w:ascii="宋体" w:hAnsi="宋体"/>
          <w:b/>
          <w:bCs/>
          <w:sz w:val="24"/>
        </w:rPr>
      </w:pPr>
      <w:r>
        <w:rPr>
          <w:rFonts w:hint="eastAsia" w:ascii="宋体" w:hAnsi="宋体"/>
          <w:b/>
          <w:bCs/>
          <w:sz w:val="24"/>
        </w:rPr>
        <w:t>不足：</w:t>
      </w:r>
    </w:p>
    <w:p>
      <w:pPr>
        <w:adjustRightInd w:val="0"/>
        <w:snapToGrid w:val="0"/>
        <w:spacing w:line="400" w:lineRule="exact"/>
        <w:ind w:firstLine="480"/>
        <w:rPr>
          <w:rFonts w:ascii="宋体" w:hAnsi="宋体"/>
          <w:sz w:val="24"/>
        </w:rPr>
      </w:pPr>
      <w:r>
        <w:rPr>
          <w:rFonts w:hint="eastAsia" w:ascii="宋体" w:hAnsi="宋体"/>
          <w:sz w:val="24"/>
        </w:rPr>
        <w:t>因为疫情的关系，线上线下教学导致部分学生的数学概念性知识不够扎实，甚至有个别孩子数学知识之间存在脱节现象，所以还需扎实部分学生的数学基础，关注少部分孩子的补偿性教学。另外因为缺乏一些评价激励的机制、缺乏序列性数学问题的设计，在学生数学思维的培养上还不够深入，需要继续加强研究与思考。</w:t>
      </w:r>
    </w:p>
    <w:p>
      <w:pPr>
        <w:spacing w:line="400" w:lineRule="exact"/>
        <w:jc w:val="left"/>
        <w:rPr>
          <w:b/>
          <w:sz w:val="24"/>
        </w:rPr>
      </w:pPr>
      <w:r>
        <w:rPr>
          <w:rFonts w:hint="eastAsia"/>
          <w:b/>
          <w:sz w:val="24"/>
        </w:rPr>
        <w:t>二、学期发展目标</w:t>
      </w:r>
    </w:p>
    <w:p>
      <w:pPr>
        <w:spacing w:line="360" w:lineRule="auto"/>
        <w:rPr>
          <w:rFonts w:ascii="宋体" w:hAnsi="宋体"/>
          <w:sz w:val="24"/>
        </w:rPr>
      </w:pPr>
      <w:r>
        <w:rPr>
          <w:rFonts w:hint="eastAsia" w:ascii="宋体" w:hAnsi="宋体"/>
          <w:sz w:val="24"/>
        </w:rPr>
        <w:t>基于以上现状分析，依托学校重点事件，我们组</w:t>
      </w:r>
      <w:r>
        <w:rPr>
          <w:rFonts w:hint="eastAsia" w:asciiTheme="minorEastAsia" w:hAnsiTheme="minorEastAsia" w:eastAsiaTheme="minorEastAsia" w:cstheme="minorEastAsia"/>
          <w:sz w:val="24"/>
        </w:rPr>
        <w:t>把工作目标定为以下三个方面</w:t>
      </w:r>
      <w:r>
        <w:rPr>
          <w:rFonts w:hint="eastAsia" w:ascii="宋体" w:hAnsi="宋体"/>
          <w:sz w:val="24"/>
        </w:rPr>
        <w:t>：</w:t>
      </w:r>
    </w:p>
    <w:p>
      <w:pPr>
        <w:snapToGrid w:val="0"/>
        <w:spacing w:line="312" w:lineRule="auto"/>
        <w:rPr>
          <w:rFonts w:ascii="宋体" w:hAnsi="宋体"/>
          <w:sz w:val="24"/>
        </w:rPr>
      </w:pPr>
      <w:r>
        <w:rPr>
          <w:rFonts w:hint="eastAsia" w:ascii="宋体" w:hAnsi="宋体"/>
          <w:sz w:val="24"/>
        </w:rPr>
        <w:t>1、教研组建设方面：基于学校创建“新优质学校”的平台，结合组内老师的数学课题，充分挖掘和利用数学资源，努力让数学课堂“真教学”，让数学文化“真凸显”，实现共生教学的研究团队。</w:t>
      </w:r>
    </w:p>
    <w:p>
      <w:pPr>
        <w:snapToGrid w:val="0"/>
        <w:spacing w:line="312" w:lineRule="auto"/>
        <w:rPr>
          <w:rFonts w:ascii="宋体" w:hAnsi="宋体"/>
          <w:sz w:val="24"/>
        </w:rPr>
      </w:pPr>
      <w:r>
        <w:rPr>
          <w:rFonts w:hint="eastAsia" w:ascii="宋体" w:hAnsi="宋体"/>
          <w:sz w:val="24"/>
        </w:rPr>
        <w:t xml:space="preserve">2、教师成长方面：通过微备课（教材解读与教学设计）、组内研究课（课堂教学研究）、案例式反思、主题式沙龙（作业设计、能级调研）等多元方式不断促进组内教师的主动发展和自主成长。 </w:t>
      </w:r>
      <w:r>
        <w:rPr>
          <w:rFonts w:ascii="宋体" w:hAnsi="宋体"/>
          <w:sz w:val="24"/>
        </w:rPr>
        <w:t xml:space="preserve">  </w:t>
      </w:r>
    </w:p>
    <w:p>
      <w:pPr>
        <w:snapToGrid w:val="0"/>
        <w:spacing w:line="312" w:lineRule="auto"/>
        <w:rPr>
          <w:rFonts w:hint="eastAsia" w:ascii="宋体" w:hAnsi="宋体"/>
          <w:sz w:val="24"/>
        </w:rPr>
      </w:pPr>
      <w:r>
        <w:rPr>
          <w:rFonts w:hint="eastAsia" w:ascii="宋体" w:hAnsi="宋体"/>
          <w:sz w:val="24"/>
        </w:rPr>
        <w:t>3、学生发展方面：围绕每月的能级调研紧抓学生学科关键能力的培养，提升教学质量。同时借助A</w:t>
      </w:r>
      <w:r>
        <w:rPr>
          <w:rFonts w:ascii="宋体" w:hAnsi="宋体"/>
          <w:sz w:val="24"/>
        </w:rPr>
        <w:t>I</w:t>
      </w:r>
      <w:r>
        <w:rPr>
          <w:rFonts w:hint="eastAsia" w:ascii="宋体" w:hAnsi="宋体"/>
          <w:sz w:val="24"/>
        </w:rPr>
        <w:t>数学活动的开展提升学生数学素养。</w:t>
      </w:r>
    </w:p>
    <w:p>
      <w:pPr>
        <w:spacing w:line="400" w:lineRule="exact"/>
        <w:jc w:val="left"/>
        <w:rPr>
          <w:b/>
          <w:sz w:val="24"/>
        </w:rPr>
      </w:pPr>
      <w:r>
        <w:rPr>
          <w:rFonts w:hint="eastAsia"/>
          <w:b/>
          <w:sz w:val="24"/>
        </w:rPr>
        <w:t>三、推进策略（包括评价策略）</w:t>
      </w:r>
    </w:p>
    <w:p>
      <w:pPr>
        <w:spacing w:line="400" w:lineRule="exact"/>
        <w:jc w:val="left"/>
        <w:rPr>
          <w:b/>
          <w:bCs w:val="0"/>
          <w:sz w:val="24"/>
        </w:rPr>
      </w:pPr>
      <w:r>
        <w:rPr>
          <w:rFonts w:hint="eastAsia"/>
          <w:b/>
          <w:bCs w:val="0"/>
          <w:sz w:val="24"/>
        </w:rPr>
        <w:t>1</w:t>
      </w:r>
      <w:r>
        <w:rPr>
          <w:b/>
          <w:bCs w:val="0"/>
          <w:sz w:val="24"/>
        </w:rPr>
        <w:t>.</w:t>
      </w:r>
      <w:r>
        <w:rPr>
          <w:rFonts w:hint="eastAsia"/>
          <w:b/>
          <w:bCs w:val="0"/>
          <w:sz w:val="24"/>
        </w:rPr>
        <w:t>深度式学习，夯实理论内化落</w:t>
      </w:r>
      <w:r>
        <w:rPr>
          <w:rFonts w:hint="eastAsia"/>
          <w:b/>
          <w:bCs w:val="0"/>
          <w:sz w:val="24"/>
          <w:lang w:val="en-US" w:eastAsia="zh-CN"/>
        </w:rPr>
        <w:t>集备</w:t>
      </w:r>
      <w:r>
        <w:rPr>
          <w:rFonts w:hint="eastAsia"/>
          <w:b/>
          <w:bCs w:val="0"/>
          <w:sz w:val="24"/>
        </w:rPr>
        <w:t>；</w:t>
      </w:r>
    </w:p>
    <w:p>
      <w:pPr>
        <w:spacing w:line="400" w:lineRule="exact"/>
        <w:ind w:firstLine="480" w:firstLineChars="200"/>
        <w:rPr>
          <w:rFonts w:ascii="宋体" w:hAnsi="宋体"/>
          <w:sz w:val="24"/>
        </w:rPr>
      </w:pPr>
      <w:r>
        <w:rPr>
          <w:rFonts w:hint="eastAsia" w:ascii="宋体" w:hAnsi="宋体"/>
          <w:sz w:val="24"/>
        </w:rPr>
        <w:t>随着“新课程标准”的颁布，在前期导读式、自主式的学习下，不难发现新时代对数学课的要求也发生了很多改变。要适应这样的变化，首先要从老师们的教学理念开始变革。“新课程标准”将成为本学年乃至近几年至关重要的一本数学读物。我们觉得要落实并内化其中的新理念，个性化的学习是关键。我们组将结合学科组的导读活动、结合网络平台上名家名师的讲座解读，更结合自己已有的课堂实践经验，且学且思。尝试用“代入式”的思维方式进行学习，在每天的备课中融入新课程标准的理念，不断内化并实施新课标。</w:t>
      </w:r>
    </w:p>
    <w:p>
      <w:pPr>
        <w:spacing w:line="400" w:lineRule="exact"/>
        <w:ind w:firstLine="480" w:firstLineChars="200"/>
        <w:rPr>
          <w:rFonts w:ascii="宋体" w:hAnsi="宋体"/>
          <w:sz w:val="24"/>
        </w:rPr>
      </w:pPr>
      <w:r>
        <w:rPr>
          <w:rFonts w:hint="eastAsia" w:ascii="宋体" w:hAnsi="宋体"/>
          <w:sz w:val="24"/>
        </w:rPr>
        <w:t>本次新课标特别强调数学知识内涵的一致性，带着新课标的解读我们先从“概念的理解”出发。这学期我们的集体备课主题为“概念的理解”。在图形与几何领域：第一单元《长方体和正方体的认识》，我们将关注图形的测量与计算这一块，从“几何概念的理解”上帮助学生掌握长、正方体表面积与体积的意义，在充分的概念理解过程中培养学生灵活求长、正方体的表面积与体积，加强应用意识。在“数与代数”领域，第二单元《分数乘法》、第三单元《分数除法》以及《百分数》，这一系列分数的知识将聚焦“数概念”，从分数、百分数的概念帮助学生掌握分数的乘除法计算、以及分数与比、百分数之间的联系。</w:t>
      </w:r>
    </w:p>
    <w:p>
      <w:pPr>
        <w:spacing w:line="400" w:lineRule="exact"/>
        <w:ind w:firstLine="480" w:firstLineChars="200"/>
        <w:rPr>
          <w:rFonts w:hint="eastAsia" w:ascii="宋体" w:hAnsi="宋体"/>
          <w:sz w:val="24"/>
        </w:rPr>
      </w:pPr>
      <w:r>
        <w:rPr>
          <w:rFonts w:hint="eastAsia" w:ascii="宋体" w:hAnsi="宋体"/>
          <w:sz w:val="24"/>
        </w:rPr>
        <w:t>备课的方式主要还是传承之前的“聊天式备课”。走进课堂前要多交流 “怎么教”，在突破重难点方面有“哪些好的教学方式或技巧”。走出课堂后老师们更要能主动反思“教的怎么样”。现如今，信息技术的应用让聊天式备课突破时空和场地的限制，我们将结合Q</w:t>
      </w:r>
      <w:r>
        <w:rPr>
          <w:rFonts w:ascii="宋体" w:hAnsi="宋体"/>
          <w:sz w:val="24"/>
        </w:rPr>
        <w:t>Q</w:t>
      </w:r>
      <w:r>
        <w:rPr>
          <w:rFonts w:hint="eastAsia" w:ascii="宋体" w:hAnsi="宋体"/>
          <w:sz w:val="24"/>
        </w:rPr>
        <w:t>群线上研讨与线下沙龙研讨相结合的方式，更有效地利用日常零散时间，让集体备课发挥更大的价值。</w:t>
      </w:r>
    </w:p>
    <w:p>
      <w:pPr>
        <w:spacing w:line="400" w:lineRule="exact"/>
        <w:rPr>
          <w:rFonts w:hint="eastAsia"/>
          <w:b/>
          <w:bCs w:val="0"/>
          <w:sz w:val="24"/>
        </w:rPr>
      </w:pPr>
      <w:r>
        <w:rPr>
          <w:rFonts w:hint="eastAsia" w:ascii="宋体" w:hAnsi="宋体"/>
          <w:b/>
          <w:bCs/>
          <w:sz w:val="24"/>
          <w:lang w:val="en-US" w:eastAsia="zh-CN"/>
        </w:rPr>
        <w:t>2.</w:t>
      </w:r>
      <w:r>
        <w:rPr>
          <w:rFonts w:hint="eastAsia"/>
          <w:b/>
          <w:bCs/>
          <w:sz w:val="24"/>
        </w:rPr>
        <w:t>卷</w:t>
      </w:r>
      <w:r>
        <w:rPr>
          <w:rFonts w:hint="eastAsia"/>
          <w:b/>
          <w:bCs w:val="0"/>
          <w:sz w:val="24"/>
        </w:rPr>
        <w:t>入式</w:t>
      </w:r>
      <w:r>
        <w:rPr>
          <w:rFonts w:hint="eastAsia"/>
          <w:b/>
          <w:bCs w:val="0"/>
          <w:sz w:val="24"/>
          <w:lang w:val="en-US" w:eastAsia="zh-CN"/>
        </w:rPr>
        <w:t>教研</w:t>
      </w:r>
      <w:r>
        <w:rPr>
          <w:rFonts w:hint="eastAsia"/>
          <w:b/>
          <w:bCs w:val="0"/>
          <w:sz w:val="24"/>
        </w:rPr>
        <w:t>，</w:t>
      </w:r>
      <w:r>
        <w:rPr>
          <w:rFonts w:hint="eastAsia"/>
          <w:b/>
          <w:bCs w:val="0"/>
          <w:sz w:val="24"/>
          <w:lang w:val="en-US" w:eastAsia="zh-CN"/>
        </w:rPr>
        <w:t>聚焦课堂抱团</w:t>
      </w:r>
      <w:r>
        <w:rPr>
          <w:rFonts w:hint="eastAsia"/>
          <w:b/>
          <w:bCs w:val="0"/>
          <w:sz w:val="24"/>
        </w:rPr>
        <w:t>促发展；</w:t>
      </w:r>
    </w:p>
    <w:p>
      <w:pPr>
        <w:spacing w:line="400" w:lineRule="exact"/>
        <w:ind w:firstLine="480" w:firstLineChars="200"/>
        <w:rPr>
          <w:rFonts w:hint="eastAsia" w:ascii="宋体" w:hAnsi="宋体"/>
          <w:sz w:val="24"/>
          <w:lang w:val="en-US" w:eastAsia="zh-CN"/>
        </w:rPr>
      </w:pPr>
      <w:r>
        <w:rPr>
          <w:rFonts w:hint="eastAsia" w:ascii="宋体" w:hAnsi="宋体"/>
          <w:sz w:val="24"/>
          <w:lang w:val="en-US" w:eastAsia="zh-CN"/>
        </w:rPr>
        <w:t>为了更好地迎接“新优质学校”的课堂评估，长程式地促进教师课堂教学能力的可持续发展，在课堂研讨的方式上我们将结合本组周丹老师的课题围绕“真实问题情境”展开。</w:t>
      </w:r>
      <w:r>
        <w:rPr>
          <w:rFonts w:hint="eastAsia" w:ascii="宋体" w:hAnsi="宋体"/>
          <w:sz w:val="24"/>
        </w:rPr>
        <w:t>立足课题载体，坚持</w:t>
      </w:r>
      <w:r>
        <w:rPr>
          <w:rFonts w:hint="eastAsia" w:ascii="宋体" w:hAnsi="宋体"/>
          <w:sz w:val="24"/>
          <w:lang w:val="en-US" w:eastAsia="zh-CN"/>
        </w:rPr>
        <w:t>真实情境中的真</w:t>
      </w:r>
      <w:r>
        <w:rPr>
          <w:rFonts w:hint="eastAsia" w:ascii="宋体" w:hAnsi="宋体"/>
          <w:sz w:val="24"/>
        </w:rPr>
        <w:t>问题</w:t>
      </w:r>
      <w:r>
        <w:rPr>
          <w:rFonts w:hint="eastAsia" w:ascii="宋体" w:hAnsi="宋体"/>
          <w:sz w:val="24"/>
          <w:lang w:val="en-US" w:eastAsia="zh-CN"/>
        </w:rPr>
        <w:t>为教研</w:t>
      </w:r>
      <w:r>
        <w:rPr>
          <w:rFonts w:hint="eastAsia" w:ascii="宋体" w:hAnsi="宋体"/>
          <w:sz w:val="24"/>
        </w:rPr>
        <w:t>导向，</w:t>
      </w:r>
      <w:r>
        <w:rPr>
          <w:rFonts w:hint="eastAsia" w:ascii="宋体" w:hAnsi="宋体"/>
          <w:sz w:val="24"/>
          <w:lang w:val="en-US" w:eastAsia="zh-CN"/>
        </w:rPr>
        <w:t>将</w:t>
      </w:r>
      <w:r>
        <w:rPr>
          <w:rFonts w:hint="eastAsia" w:ascii="宋体" w:hAnsi="宋体"/>
          <w:sz w:val="24"/>
        </w:rPr>
        <w:t>课堂教学中的实际问题</w:t>
      </w:r>
      <w:r>
        <w:rPr>
          <w:rFonts w:hint="eastAsia" w:ascii="宋体" w:hAnsi="宋体"/>
          <w:sz w:val="24"/>
          <w:lang w:val="en-US" w:eastAsia="zh-CN"/>
        </w:rPr>
        <w:t>具体</w:t>
      </w:r>
      <w:r>
        <w:rPr>
          <w:rFonts w:hint="eastAsia" w:ascii="宋体" w:hAnsi="宋体"/>
          <w:sz w:val="24"/>
        </w:rPr>
        <w:t>化，让教研贴近教师，让教研走进课堂，突破教学的瓶颈。</w:t>
      </w:r>
      <w:r>
        <w:rPr>
          <w:rFonts w:hint="eastAsia" w:ascii="宋体" w:hAnsi="宋体"/>
          <w:sz w:val="24"/>
          <w:lang w:val="en-US" w:eastAsia="zh-CN"/>
        </w:rPr>
        <w:t>因为从9月开始就要进入到课堂的打磨阶段，而本学期六个单元除了“策略”单元较为独立之外，其余单元的数学内容都是有极强的连贯性，在教学内容的选择上不易太分散。经过商量，我们初步计划以《解决问题的策略》和《百分数的认识》这两节课为研究课例。当然，之前有很多老师都已经对这两节课进行过研究，也形成了较为成熟的教学设计，我们一方面会借鉴成熟课例，另一方面更需融入“真实情境”的教研主题，设计适合自己的教学案例。以下表格是初步的教学安排：</w:t>
      </w:r>
    </w:p>
    <w:tbl>
      <w:tblPr>
        <w:tblStyle w:val="3"/>
        <w:tblpPr w:leftFromText="180" w:rightFromText="180" w:vertAnchor="text" w:horzAnchor="page" w:tblpX="2700" w:tblpY="1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247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教学内容</w:t>
            </w:r>
          </w:p>
        </w:tc>
        <w:tc>
          <w:tcPr>
            <w:tcW w:w="247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9月：教案成型</w:t>
            </w:r>
          </w:p>
        </w:tc>
        <w:tc>
          <w:tcPr>
            <w:tcW w:w="2550"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10月-11月：课堂打磨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《解决问题的策略》</w:t>
            </w:r>
          </w:p>
        </w:tc>
        <w:tc>
          <w:tcPr>
            <w:tcW w:w="247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负责人：朱玥、</w:t>
            </w:r>
            <w:r>
              <w:rPr>
                <w:rFonts w:hint="eastAsia" w:ascii="宋体" w:hAnsi="宋体"/>
                <w:b/>
                <w:bCs/>
                <w:sz w:val="24"/>
                <w:vertAlign w:val="baseline"/>
                <w:lang w:val="en-US" w:eastAsia="zh-CN"/>
              </w:rPr>
              <w:t>耿云</w:t>
            </w:r>
          </w:p>
        </w:tc>
        <w:tc>
          <w:tcPr>
            <w:tcW w:w="2550"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负责人：</w:t>
            </w:r>
            <w:r>
              <w:rPr>
                <w:rFonts w:hint="eastAsia" w:ascii="宋体" w:hAnsi="宋体"/>
                <w:b/>
                <w:bCs/>
                <w:sz w:val="24"/>
                <w:vertAlign w:val="baseline"/>
                <w:lang w:val="en-US" w:eastAsia="zh-CN"/>
              </w:rPr>
              <w:t>耿云</w:t>
            </w:r>
            <w:r>
              <w:rPr>
                <w:rFonts w:hint="eastAsia" w:ascii="宋体" w:hAnsi="宋体"/>
                <w:sz w:val="24"/>
                <w:vertAlign w:val="baseline"/>
                <w:lang w:val="en-US" w:eastAsia="zh-CN"/>
              </w:rPr>
              <w:t>、杨建芬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《百分数的认识》</w:t>
            </w:r>
          </w:p>
        </w:tc>
        <w:tc>
          <w:tcPr>
            <w:tcW w:w="247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负责人：朱玥、</w:t>
            </w:r>
            <w:r>
              <w:rPr>
                <w:rFonts w:hint="eastAsia" w:ascii="宋体" w:hAnsi="宋体"/>
                <w:b/>
                <w:bCs/>
                <w:sz w:val="24"/>
                <w:vertAlign w:val="baseline"/>
                <w:lang w:val="en-US" w:eastAsia="zh-CN"/>
              </w:rPr>
              <w:t>周丹</w:t>
            </w:r>
          </w:p>
        </w:tc>
        <w:tc>
          <w:tcPr>
            <w:tcW w:w="2550"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负责人：</w:t>
            </w:r>
            <w:r>
              <w:rPr>
                <w:rFonts w:hint="eastAsia" w:ascii="宋体" w:hAnsi="宋体"/>
                <w:b/>
                <w:bCs/>
                <w:sz w:val="24"/>
                <w:vertAlign w:val="baseline"/>
                <w:lang w:val="en-US" w:eastAsia="zh-CN"/>
              </w:rPr>
              <w:t>周丹</w:t>
            </w:r>
            <w:r>
              <w:rPr>
                <w:rFonts w:hint="eastAsia" w:ascii="宋体" w:hAnsi="宋体"/>
                <w:sz w:val="24"/>
                <w:vertAlign w:val="baseline"/>
                <w:lang w:val="en-US" w:eastAsia="zh-CN"/>
              </w:rPr>
              <w:t>、叶朝阳</w:t>
            </w:r>
          </w:p>
        </w:tc>
      </w:tr>
    </w:tbl>
    <w:p>
      <w:pPr>
        <w:spacing w:line="400" w:lineRule="exact"/>
        <w:ind w:firstLine="480" w:firstLineChars="200"/>
        <w:rPr>
          <w:rFonts w:hint="default" w:ascii="宋体" w:hAnsi="宋体"/>
          <w:sz w:val="24"/>
          <w:lang w:val="en-US" w:eastAsia="zh-CN"/>
        </w:rPr>
      </w:pPr>
    </w:p>
    <w:p>
      <w:pPr>
        <w:spacing w:line="400" w:lineRule="exact"/>
        <w:ind w:firstLine="480" w:firstLineChars="200"/>
        <w:rPr>
          <w:rFonts w:hint="default" w:ascii="宋体" w:hAnsi="宋体"/>
          <w:sz w:val="24"/>
          <w:lang w:val="en-US" w:eastAsia="zh-CN"/>
        </w:rPr>
      </w:pPr>
    </w:p>
    <w:p>
      <w:pPr>
        <w:spacing w:line="400" w:lineRule="exact"/>
        <w:ind w:firstLine="480" w:firstLineChars="200"/>
        <w:rPr>
          <w:rFonts w:hint="default" w:ascii="宋体" w:hAnsi="宋体"/>
          <w:sz w:val="24"/>
          <w:lang w:val="en-US" w:eastAsia="zh-CN"/>
        </w:rPr>
      </w:pPr>
    </w:p>
    <w:p>
      <w:pPr>
        <w:spacing w:line="400" w:lineRule="exact"/>
        <w:ind w:firstLine="480" w:firstLineChars="200"/>
        <w:rPr>
          <w:rFonts w:hint="default" w:ascii="宋体" w:hAnsi="宋体"/>
          <w:sz w:val="24"/>
          <w:lang w:val="en-US" w:eastAsia="zh-CN"/>
        </w:rPr>
      </w:pPr>
    </w:p>
    <w:p>
      <w:pPr>
        <w:spacing w:line="400" w:lineRule="exact"/>
        <w:ind w:firstLine="480" w:firstLineChars="200"/>
        <w:rPr>
          <w:rFonts w:hint="eastAsia" w:ascii="宋体" w:hAnsi="宋体"/>
          <w:sz w:val="24"/>
          <w:lang w:val="en-US" w:eastAsia="zh-CN"/>
        </w:rPr>
      </w:pPr>
      <w:r>
        <w:rPr>
          <w:rFonts w:hint="eastAsia" w:ascii="宋体" w:hAnsi="宋体"/>
          <w:sz w:val="24"/>
        </w:rPr>
        <w:t>通过</w:t>
      </w:r>
      <w:r>
        <w:rPr>
          <w:rFonts w:hint="eastAsia" w:ascii="宋体" w:hAnsi="宋体"/>
          <w:sz w:val="24"/>
          <w:lang w:val="en-US" w:eastAsia="zh-CN"/>
        </w:rPr>
        <w:t>全员</w:t>
      </w:r>
      <w:r>
        <w:rPr>
          <w:rFonts w:hint="eastAsia" w:ascii="宋体" w:hAnsi="宋体"/>
          <w:sz w:val="24"/>
        </w:rPr>
        <w:t>“卷入式”教研，采用“阶梯式上课”模式，</w:t>
      </w:r>
      <w:r>
        <w:rPr>
          <w:rFonts w:hint="eastAsia" w:ascii="宋体" w:hAnsi="宋体"/>
          <w:sz w:val="24"/>
          <w:lang w:val="en-US" w:eastAsia="zh-CN"/>
        </w:rPr>
        <w:t>用组内抱团的方式，</w:t>
      </w:r>
      <w:r>
        <w:rPr>
          <w:rFonts w:hint="eastAsia" w:ascii="宋体" w:hAnsi="宋体"/>
          <w:sz w:val="24"/>
        </w:rPr>
        <w:t>力争通过“集体备课——课堂观察——反思重构——接力授课——总结提升”的流程设计，把重心落在</w:t>
      </w:r>
      <w:r>
        <w:rPr>
          <w:rFonts w:hint="eastAsia" w:ascii="宋体" w:hAnsi="宋体"/>
          <w:sz w:val="24"/>
          <w:lang w:val="en-US" w:eastAsia="zh-CN"/>
        </w:rPr>
        <w:t>课堂中学生面对的真问题，</w:t>
      </w:r>
      <w:r>
        <w:rPr>
          <w:rFonts w:hint="eastAsia" w:ascii="宋体" w:hAnsi="宋体"/>
          <w:sz w:val="24"/>
        </w:rPr>
        <w:t>聚焦课堂观察</w:t>
      </w:r>
      <w:r>
        <w:rPr>
          <w:rFonts w:hint="eastAsia" w:ascii="宋体" w:hAnsi="宋体"/>
          <w:sz w:val="24"/>
          <w:lang w:val="en-US" w:eastAsia="zh-CN"/>
        </w:rPr>
        <w:t>让课堂教研更有针对性和系统性。课堂教研过程中要特别关注过程资料的收集，为课题的开展积累素材，也为教师教科研能力的提升提供直观的案例、研究的视角。</w:t>
      </w:r>
    </w:p>
    <w:p>
      <w:pPr>
        <w:spacing w:line="400" w:lineRule="exact"/>
        <w:rPr>
          <w:rFonts w:hint="eastAsia"/>
          <w:b/>
          <w:bCs/>
          <w:sz w:val="24"/>
        </w:rPr>
      </w:pPr>
      <w:r>
        <w:rPr>
          <w:rFonts w:hint="eastAsia" w:ascii="宋体" w:hAnsi="宋体"/>
          <w:b/>
          <w:bCs/>
          <w:sz w:val="24"/>
          <w:lang w:val="en-US" w:eastAsia="zh-CN"/>
        </w:rPr>
        <w:t>3.</w:t>
      </w:r>
      <w:r>
        <w:rPr>
          <w:rFonts w:hint="eastAsia"/>
          <w:b/>
          <w:bCs/>
          <w:sz w:val="24"/>
        </w:rPr>
        <w:t>单元式作业，弹性设计质量有提升；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Calibri" w:hAnsi="Calibri" w:eastAsia="宋体"/>
          <w:sz w:val="24"/>
          <w:lang w:val="en-US" w:eastAsia="zh-CN"/>
        </w:rPr>
      </w:pPr>
      <w:r>
        <w:rPr>
          <w:rFonts w:hint="eastAsia" w:ascii="Calibri" w:hAnsi="Calibri"/>
          <w:sz w:val="24"/>
        </w:rPr>
        <w:t>本学期</w:t>
      </w:r>
      <w:r>
        <w:rPr>
          <w:rFonts w:hint="eastAsia" w:ascii="Calibri" w:hAnsi="Calibri"/>
          <w:sz w:val="24"/>
          <w:lang w:val="en-US" w:eastAsia="zh-CN"/>
        </w:rPr>
        <w:t>11月份六年级将迎来区抽测，这也是我们组这学期的大事之一。</w:t>
      </w:r>
      <w:r>
        <w:rPr>
          <w:rFonts w:hint="eastAsia" w:ascii="Calibri" w:hAnsi="Calibri"/>
          <w:sz w:val="24"/>
        </w:rPr>
        <w:t>我们</w:t>
      </w:r>
      <w:r>
        <w:rPr>
          <w:rFonts w:hint="eastAsia" w:ascii="Calibri" w:hAnsi="Calibri"/>
          <w:sz w:val="24"/>
          <w:lang w:val="en-US" w:eastAsia="zh-CN"/>
        </w:rPr>
        <w:t>组</w:t>
      </w:r>
      <w:r>
        <w:rPr>
          <w:rFonts w:hint="eastAsia" w:ascii="Calibri" w:hAnsi="Calibri"/>
          <w:sz w:val="24"/>
        </w:rPr>
        <w:t>将以</w:t>
      </w:r>
      <w:r>
        <w:rPr>
          <w:rFonts w:hint="eastAsia" w:ascii="Calibri" w:hAnsi="Calibri"/>
          <w:sz w:val="24"/>
          <w:lang w:val="en-US" w:eastAsia="zh-CN"/>
        </w:rPr>
        <w:t>区抽测</w:t>
      </w:r>
      <w:r>
        <w:rPr>
          <w:rFonts w:hint="eastAsia" w:ascii="Calibri" w:hAnsi="Calibri"/>
          <w:sz w:val="24"/>
        </w:rPr>
        <w:t>为契机，</w:t>
      </w:r>
      <w:r>
        <w:rPr>
          <w:rFonts w:hint="eastAsia" w:ascii="Calibri" w:hAnsi="Calibri"/>
          <w:sz w:val="24"/>
          <w:lang w:val="en-US" w:eastAsia="zh-CN"/>
        </w:rPr>
        <w:t xml:space="preserve">结合每月的能级调研，以“单元”为单位进行作业的整体序列化地设计。在作业设计上按照学科组的要求进行分层设计，从“必做题”、“选做题”、“自选题”三种题型让学生结合自身情况弹性作业。“单元式”作业的设计从两个方面进行落实，一是每日作业的设计。每日作业设计重点关注“必做题”，以“数学书”、“数学补充习题”的练习为主，通过练习帮助学生掌握基础知识和基本技能。要求每个学生都需要保质保量完成，尽量做到当天作业当天讲、当天清。另外一个是每周周末作业设计。周末练习需要组内老师单独设计，结合每周数学知识的重难点、学生作业中的错题、适当加入有挑战性的趣题整合成一份小练习，题目做到精简。周末的小练更多的倾向于培养学生综合应用数学的能力，逐渐帮助学生养成“数学经验”，丰富“数学思维”。同时我们也鼓励学生自己寻找好题，进行“自选题”的练习，可以和老师、同学进行题目的分享。                                                                                                                                                                                                                                                                                                                                                                                 </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Calibri" w:hAnsi="Calibri"/>
          <w:sz w:val="24"/>
          <w:lang w:val="en-US" w:eastAsia="zh-CN"/>
        </w:rPr>
      </w:pPr>
      <w:r>
        <w:rPr>
          <w:rFonts w:hint="eastAsia" w:ascii="Calibri" w:hAnsi="Calibri"/>
          <w:sz w:val="24"/>
          <w:lang w:val="en-US" w:eastAsia="zh-CN"/>
        </w:rPr>
        <w:t>在周末作业的设计上我们也初步对做了安排。</w:t>
      </w:r>
    </w:p>
    <w:tbl>
      <w:tblPr>
        <w:tblStyle w:val="3"/>
        <w:tblpPr w:leftFromText="180" w:rightFromText="180" w:vertAnchor="text" w:horzAnchor="page" w:tblpX="2440" w:tblpY="1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1219"/>
        <w:gridCol w:w="268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作业内容</w:t>
            </w:r>
          </w:p>
        </w:tc>
        <w:tc>
          <w:tcPr>
            <w:tcW w:w="1219"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负责人</w:t>
            </w:r>
          </w:p>
        </w:tc>
        <w:tc>
          <w:tcPr>
            <w:tcW w:w="2683"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作业内容</w:t>
            </w:r>
          </w:p>
        </w:tc>
        <w:tc>
          <w:tcPr>
            <w:tcW w:w="1168"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第一单元：《长方体和正方体》</w:t>
            </w:r>
          </w:p>
        </w:tc>
        <w:tc>
          <w:tcPr>
            <w:tcW w:w="1219" w:type="dxa"/>
            <w:vAlign w:val="center"/>
          </w:tcPr>
          <w:p>
            <w:pPr>
              <w:spacing w:line="400" w:lineRule="exact"/>
              <w:jc w:val="center"/>
              <w:rPr>
                <w:rFonts w:hint="default" w:ascii="宋体" w:hAnsi="宋体"/>
                <w:b w:val="0"/>
                <w:bCs w:val="0"/>
                <w:sz w:val="24"/>
                <w:vertAlign w:val="baseline"/>
                <w:lang w:val="en-US" w:eastAsia="zh-CN"/>
              </w:rPr>
            </w:pPr>
            <w:r>
              <w:rPr>
                <w:rFonts w:hint="eastAsia" w:ascii="宋体" w:hAnsi="宋体"/>
                <w:b w:val="0"/>
                <w:bCs w:val="0"/>
                <w:sz w:val="24"/>
                <w:vertAlign w:val="baseline"/>
                <w:lang w:val="en-US" w:eastAsia="zh-CN"/>
              </w:rPr>
              <w:t>耿云</w:t>
            </w:r>
          </w:p>
        </w:tc>
        <w:tc>
          <w:tcPr>
            <w:tcW w:w="2683"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第四单元：解决问题的策略</w:t>
            </w:r>
          </w:p>
        </w:tc>
        <w:tc>
          <w:tcPr>
            <w:tcW w:w="1168"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朱玥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第二单元：《分数乘法》</w:t>
            </w:r>
          </w:p>
        </w:tc>
        <w:tc>
          <w:tcPr>
            <w:tcW w:w="1219" w:type="dxa"/>
            <w:vAlign w:val="center"/>
          </w:tcPr>
          <w:p>
            <w:pPr>
              <w:spacing w:line="400" w:lineRule="exact"/>
              <w:jc w:val="center"/>
              <w:rPr>
                <w:rFonts w:hint="default" w:ascii="宋体" w:hAnsi="宋体"/>
                <w:b w:val="0"/>
                <w:bCs w:val="0"/>
                <w:sz w:val="24"/>
                <w:vertAlign w:val="baseline"/>
                <w:lang w:val="en-US" w:eastAsia="zh-CN"/>
              </w:rPr>
            </w:pPr>
            <w:r>
              <w:rPr>
                <w:rFonts w:hint="eastAsia" w:ascii="宋体" w:hAnsi="宋体"/>
                <w:b w:val="0"/>
                <w:bCs w:val="0"/>
                <w:sz w:val="24"/>
                <w:vertAlign w:val="baseline"/>
                <w:lang w:val="en-US" w:eastAsia="zh-CN"/>
              </w:rPr>
              <w:t>周丹</w:t>
            </w:r>
          </w:p>
        </w:tc>
        <w:tc>
          <w:tcPr>
            <w:tcW w:w="2683"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第五单元：分数四则混合</w:t>
            </w:r>
          </w:p>
        </w:tc>
        <w:tc>
          <w:tcPr>
            <w:tcW w:w="1168"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第三单元：《分数除法》</w:t>
            </w:r>
          </w:p>
        </w:tc>
        <w:tc>
          <w:tcPr>
            <w:tcW w:w="1219"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朱玥</w:t>
            </w:r>
          </w:p>
        </w:tc>
        <w:tc>
          <w:tcPr>
            <w:tcW w:w="2683"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第六单元：百分数</w:t>
            </w:r>
          </w:p>
        </w:tc>
        <w:tc>
          <w:tcPr>
            <w:tcW w:w="1168" w:type="dxa"/>
            <w:vAlign w:val="center"/>
          </w:tcPr>
          <w:p>
            <w:pPr>
              <w:spacing w:line="400" w:lineRule="exact"/>
              <w:jc w:val="center"/>
              <w:rPr>
                <w:rFonts w:hint="default" w:ascii="宋体" w:hAnsi="宋体"/>
                <w:sz w:val="24"/>
                <w:vertAlign w:val="baseline"/>
                <w:lang w:val="en-US" w:eastAsia="zh-CN"/>
              </w:rPr>
            </w:pPr>
            <w:r>
              <w:rPr>
                <w:rFonts w:hint="eastAsia" w:ascii="宋体" w:hAnsi="宋体"/>
                <w:sz w:val="24"/>
                <w:vertAlign w:val="baseline"/>
                <w:lang w:val="en-US" w:eastAsia="zh-CN"/>
              </w:rPr>
              <w:t>耿云</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Calibri" w:hAnsi="Calibri"/>
          <w:sz w:val="24"/>
          <w:lang w:val="en-US" w:eastAsia="zh-CN"/>
        </w:rPr>
      </w:pPr>
      <w:r>
        <w:rPr>
          <w:rFonts w:hint="eastAsia" w:ascii="Calibri" w:hAnsi="Calibri"/>
          <w:sz w:val="24"/>
          <w:lang w:val="en-US" w:eastAsia="zh-CN"/>
        </w:rPr>
        <w:t>从表中我们可以看出我们的安排并没有以周为单位，而是以单元的方式让一个老师负责，这样做就能让作业设计更有整体性、前后知识之间也能避免重复练习。下表是周末作业的模板：</w:t>
      </w:r>
    </w:p>
    <w:tbl>
      <w:tblPr>
        <w:tblStyle w:val="3"/>
        <w:tblW w:w="0" w:type="auto"/>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83" w:type="dxa"/>
          </w:tcPr>
          <w:p>
            <w:pPr>
              <w:keepNext w:val="0"/>
              <w:keepLines w:val="0"/>
              <w:pageBreakBefore w:val="0"/>
              <w:widowControl w:val="0"/>
              <w:kinsoku/>
              <w:wordWrap/>
              <w:overflowPunct/>
              <w:topLinePunct w:val="0"/>
              <w:autoSpaceDE/>
              <w:autoSpaceDN/>
              <w:bidi w:val="0"/>
              <w:adjustRightInd/>
              <w:snapToGrid w:val="0"/>
              <w:spacing w:line="400" w:lineRule="exact"/>
              <w:ind w:firstLine="1920" w:firstLineChars="800"/>
              <w:textAlignment w:val="auto"/>
              <w:rPr>
                <w:rFonts w:hint="eastAsia" w:ascii="Calibri" w:hAnsi="Calibri"/>
                <w:sz w:val="24"/>
                <w:vertAlign w:val="baseline"/>
                <w:lang w:val="en-US" w:eastAsia="zh-CN"/>
              </w:rPr>
            </w:pPr>
            <w:r>
              <w:rPr>
                <w:rFonts w:hint="eastAsia" w:ascii="Calibri" w:hAnsi="Calibri"/>
                <w:sz w:val="24"/>
                <w:lang w:val="en-US" w:eastAsia="zh-CN"/>
              </w:rPr>
              <w:t>第（   ）周周末数学小练习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83" w:type="dxa"/>
          </w:tcPr>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textAlignment w:val="auto"/>
              <w:rPr>
                <w:rFonts w:hint="eastAsia" w:ascii="Calibri" w:hAnsi="Calibri"/>
                <w:sz w:val="24"/>
                <w:vertAlign w:val="baseline"/>
                <w:lang w:val="en-US" w:eastAsia="zh-CN"/>
              </w:rPr>
            </w:pPr>
            <w:r>
              <w:rPr>
                <w:rFonts w:hint="eastAsia" w:ascii="Calibri" w:hAnsi="Calibri"/>
                <w:sz w:val="24"/>
                <w:lang w:val="en-US" w:eastAsia="zh-CN"/>
              </w:rPr>
              <w:t>综合应用</w:t>
            </w:r>
          </w:p>
          <w:p>
            <w:pPr>
              <w:keepNext w:val="0"/>
              <w:keepLines w:val="0"/>
              <w:pageBreakBefore w:val="0"/>
              <w:widowControl w:val="0"/>
              <w:numPr>
                <w:numId w:val="0"/>
              </w:numPr>
              <w:kinsoku/>
              <w:wordWrap/>
              <w:overflowPunct/>
              <w:topLinePunct w:val="0"/>
              <w:autoSpaceDE/>
              <w:autoSpaceDN/>
              <w:bidi w:val="0"/>
              <w:adjustRightInd/>
              <w:snapToGrid w:val="0"/>
              <w:spacing w:line="400" w:lineRule="exact"/>
              <w:textAlignment w:val="auto"/>
              <w:rPr>
                <w:rFonts w:hint="eastAsia" w:ascii="Calibri" w:hAnsi="Calibri"/>
                <w:sz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400" w:lineRule="exact"/>
              <w:textAlignment w:val="auto"/>
              <w:rPr>
                <w:rFonts w:hint="eastAsia" w:ascii="Calibri" w:hAnsi="Calibri"/>
                <w:sz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400" w:lineRule="exact"/>
              <w:textAlignment w:val="auto"/>
              <w:rPr>
                <w:rFonts w:hint="eastAsia" w:ascii="Calibri" w:hAnsi="Calibri"/>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83" w:type="dxa"/>
          </w:tcPr>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textAlignment w:val="auto"/>
              <w:rPr>
                <w:rFonts w:hint="default" w:ascii="Calibri" w:hAnsi="Calibri"/>
                <w:sz w:val="24"/>
                <w:lang w:val="en-US" w:eastAsia="zh-CN"/>
              </w:rPr>
            </w:pPr>
            <w:r>
              <w:rPr>
                <w:rFonts w:hint="eastAsia" w:ascii="Calibri" w:hAnsi="Calibri"/>
                <w:sz w:val="24"/>
                <w:lang w:val="en-US" w:eastAsia="zh-CN"/>
              </w:rPr>
              <w:t>错题巩固</w:t>
            </w:r>
          </w:p>
          <w:p>
            <w:pPr>
              <w:keepNext w:val="0"/>
              <w:keepLines w:val="0"/>
              <w:pageBreakBefore w:val="0"/>
              <w:widowControl w:val="0"/>
              <w:numPr>
                <w:numId w:val="0"/>
              </w:numPr>
              <w:kinsoku/>
              <w:wordWrap/>
              <w:overflowPunct/>
              <w:topLinePunct w:val="0"/>
              <w:autoSpaceDE/>
              <w:autoSpaceDN/>
              <w:bidi w:val="0"/>
              <w:adjustRightInd/>
              <w:snapToGrid w:val="0"/>
              <w:spacing w:line="400" w:lineRule="exact"/>
              <w:textAlignment w:val="auto"/>
              <w:rPr>
                <w:rFonts w:hint="eastAsia" w:ascii="Calibri" w:hAnsi="Calibri"/>
                <w:sz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400" w:lineRule="exact"/>
              <w:textAlignment w:val="auto"/>
              <w:rPr>
                <w:rFonts w:hint="eastAsia" w:ascii="Calibri" w:hAnsi="Calibri"/>
                <w:sz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400" w:lineRule="exact"/>
              <w:textAlignment w:val="auto"/>
              <w:rPr>
                <w:rFonts w:hint="eastAsia" w:ascii="Calibri" w:hAnsi="Calibri"/>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7883" w:type="dxa"/>
          </w:tcPr>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textAlignment w:val="auto"/>
              <w:rPr>
                <w:rFonts w:hint="default" w:ascii="Calibri" w:hAnsi="Calibri"/>
                <w:sz w:val="24"/>
                <w:lang w:val="en-US" w:eastAsia="zh-CN"/>
              </w:rPr>
            </w:pPr>
            <w:r>
              <w:rPr>
                <w:rFonts w:hint="eastAsia" w:ascii="Calibri" w:hAnsi="Calibri"/>
                <w:sz w:val="24"/>
                <w:lang w:val="en-US" w:eastAsia="zh-CN"/>
              </w:rPr>
              <w:t>思维提升（选做）</w:t>
            </w:r>
          </w:p>
          <w:p>
            <w:pPr>
              <w:keepNext w:val="0"/>
              <w:keepLines w:val="0"/>
              <w:pageBreakBefore w:val="0"/>
              <w:widowControl w:val="0"/>
              <w:numPr>
                <w:numId w:val="0"/>
              </w:numPr>
              <w:kinsoku/>
              <w:wordWrap/>
              <w:overflowPunct/>
              <w:topLinePunct w:val="0"/>
              <w:autoSpaceDE/>
              <w:autoSpaceDN/>
              <w:bidi w:val="0"/>
              <w:adjustRightInd/>
              <w:snapToGrid w:val="0"/>
              <w:spacing w:line="400" w:lineRule="exact"/>
              <w:textAlignment w:val="auto"/>
              <w:rPr>
                <w:rFonts w:hint="eastAsia" w:ascii="Calibri" w:hAnsi="Calibri"/>
                <w:sz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400" w:lineRule="exact"/>
              <w:textAlignment w:val="auto"/>
              <w:rPr>
                <w:rFonts w:hint="eastAsia" w:ascii="Calibri" w:hAnsi="Calibri"/>
                <w:sz w:val="24"/>
                <w:vertAlign w:val="baseline"/>
                <w:lang w:val="en-US" w:eastAsia="zh-CN"/>
              </w:rPr>
            </w:pPr>
          </w:p>
          <w:p>
            <w:pPr>
              <w:keepNext w:val="0"/>
              <w:keepLines w:val="0"/>
              <w:pageBreakBefore w:val="0"/>
              <w:widowControl w:val="0"/>
              <w:numPr>
                <w:numId w:val="0"/>
              </w:numPr>
              <w:kinsoku/>
              <w:wordWrap/>
              <w:overflowPunct/>
              <w:topLinePunct w:val="0"/>
              <w:autoSpaceDE/>
              <w:autoSpaceDN/>
              <w:bidi w:val="0"/>
              <w:adjustRightInd/>
              <w:snapToGrid w:val="0"/>
              <w:spacing w:line="400" w:lineRule="exact"/>
              <w:textAlignment w:val="auto"/>
              <w:rPr>
                <w:rFonts w:hint="eastAsia" w:ascii="Calibri" w:hAnsi="Calibri"/>
                <w:sz w:val="24"/>
                <w:vertAlign w:val="baseline"/>
                <w:lang w:val="en-US" w:eastAsia="zh-CN"/>
              </w:rPr>
            </w:pPr>
          </w:p>
        </w:tc>
      </w:tr>
    </w:tbl>
    <w:p>
      <w:pPr>
        <w:numPr>
          <w:numId w:val="0"/>
        </w:numPr>
        <w:spacing w:line="400" w:lineRule="exact"/>
        <w:ind w:firstLine="480" w:firstLineChars="200"/>
        <w:rPr>
          <w:rFonts w:hint="eastAsia" w:ascii="Calibri" w:hAnsi="Calibri"/>
          <w:sz w:val="24"/>
          <w:lang w:val="en-US" w:eastAsia="zh-CN"/>
        </w:rPr>
      </w:pPr>
      <w:r>
        <w:rPr>
          <w:rFonts w:hint="eastAsia" w:ascii="宋体" w:hAnsi="宋体"/>
          <w:sz w:val="24"/>
        </w:rPr>
        <w:t>精准作业，作业</w:t>
      </w:r>
      <w:r>
        <w:rPr>
          <w:rFonts w:hint="eastAsia" w:ascii="宋体" w:hAnsi="宋体"/>
          <w:sz w:val="24"/>
          <w:lang w:val="en-US" w:eastAsia="zh-CN"/>
        </w:rPr>
        <w:t>设计</w:t>
      </w:r>
      <w:r>
        <w:rPr>
          <w:rFonts w:hint="eastAsia" w:ascii="宋体" w:hAnsi="宋体"/>
          <w:sz w:val="24"/>
        </w:rPr>
        <w:t>由“粗放型”向“集约型”转变，帮助学生从低效作业、无效作业、负效作业中走出来。</w:t>
      </w:r>
      <w:r>
        <w:rPr>
          <w:rFonts w:hint="eastAsia" w:ascii="宋体" w:hAnsi="宋体"/>
          <w:sz w:val="24"/>
          <w:lang w:val="en-US" w:eastAsia="zh-CN"/>
        </w:rPr>
        <w:t>以此更有效地提升学生的学业质量，打牢数学基础学力。</w:t>
      </w:r>
    </w:p>
    <w:p>
      <w:pPr>
        <w:spacing w:line="400" w:lineRule="exact"/>
        <w:jc w:val="left"/>
        <w:rPr>
          <w:rFonts w:hint="default"/>
          <w:b/>
          <w:bCs w:val="0"/>
          <w:sz w:val="24"/>
          <w:lang w:val="en-US"/>
        </w:rPr>
      </w:pPr>
      <w:r>
        <w:rPr>
          <w:rFonts w:hint="eastAsia"/>
          <w:b/>
          <w:bCs w:val="0"/>
          <w:sz w:val="24"/>
          <w:lang w:val="en-US" w:eastAsia="zh-CN"/>
        </w:rPr>
        <w:t>4.主题式活动，多维视角融合用数学；</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Calibri" w:hAnsi="Calibri"/>
          <w:sz w:val="24"/>
          <w:lang w:val="en-US" w:eastAsia="zh-CN"/>
        </w:rPr>
      </w:pPr>
      <w:r>
        <w:rPr>
          <w:rFonts w:hint="eastAsia" w:ascii="Calibri" w:hAnsi="Calibri"/>
          <w:sz w:val="24"/>
          <w:lang w:val="en-US" w:eastAsia="zh-CN"/>
        </w:rPr>
        <w:t>本次新课程标准在“综合与实践”领域强调小学要以“主题式学习”为主,这个要求和我们学科组的AI数学不谋而合。两者都要基于真实场景下利用数学解决问题，通过主题式的活动，融合学生其它学科的知识与经验进行探究。从而在活动中培养学生具备数学眼光、形成数学思维、发展数学语言。本册教材有两个数学实践活动，分别是“树叶中的比”和“互联网的普及”，这两个活动源于生活，也能很好地应用于生活。同时这两个主题都需要和其它学科进行融合，比如树叶中的比可以与美术、科学融合，“互联网的普及”需要和信息技术融合。我们组将利用周末或节假日时间让学生开展数学研究，在时间上给与充足的时间。最重要的是活动过程中以及活动后的评价要跟上，要建立健全评价机制。我们组数学的评价将结合线上线下的交互式点评、教室的文化布置、微信公众号的推送等对每次活动进行反馈与评价，鼓励学生积极参与活动，在学科融合的过程中应用数学、感受数学，发展数学核心素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Calibri" w:hAnsi="Calibri"/>
          <w:sz w:val="24"/>
          <w:lang w:val="en-US" w:eastAsia="zh-CN"/>
        </w:rPr>
      </w:pPr>
      <w:r>
        <w:rPr>
          <w:rFonts w:hint="eastAsia" w:ascii="Calibri" w:hAnsi="Calibri"/>
          <w:sz w:val="24"/>
          <w:lang w:val="en-US" w:eastAsia="zh-CN"/>
        </w:rPr>
        <w:t>同时我们也将延续前面学习过程中的一些数学活动，比如“好题我来说”、“知识我梳理”等等，在延续中还需思考整合与创新，从可操作性、能利用性视角进行活动的整合与改进。</w:t>
      </w:r>
    </w:p>
    <w:p>
      <w:pPr>
        <w:spacing w:line="400" w:lineRule="exact"/>
        <w:ind w:firstLine="480" w:firstLineChars="200"/>
        <w:rPr>
          <w:rFonts w:ascii="宋体" w:hAnsi="宋体"/>
          <w:sz w:val="24"/>
        </w:rPr>
      </w:pPr>
      <w:r>
        <w:rPr>
          <w:rFonts w:hint="eastAsia" w:ascii="宋体" w:hAnsi="宋体"/>
          <w:sz w:val="24"/>
        </w:rPr>
        <w:t>新时代，新任务</w:t>
      </w:r>
      <w:r>
        <w:rPr>
          <w:rFonts w:hint="eastAsia" w:ascii="宋体" w:hAnsi="宋体"/>
          <w:sz w:val="24"/>
          <w:lang w:eastAsia="zh-CN"/>
        </w:rPr>
        <w:t>，</w:t>
      </w:r>
      <w:r>
        <w:rPr>
          <w:rFonts w:hint="eastAsia" w:ascii="宋体" w:hAnsi="宋体"/>
          <w:sz w:val="24"/>
          <w:lang w:val="en-US" w:eastAsia="zh-CN"/>
        </w:rPr>
        <w:t>也是新的挑战。本学期我们教研组会坚持围绕“教、学、研”三个方面</w:t>
      </w:r>
      <w:r>
        <w:rPr>
          <w:rFonts w:hint="eastAsia" w:ascii="宋体" w:hAnsi="宋体"/>
          <w:sz w:val="24"/>
        </w:rPr>
        <w:t>且教</w:t>
      </w:r>
      <w:r>
        <w:rPr>
          <w:rFonts w:hint="eastAsia" w:ascii="宋体" w:hAnsi="宋体"/>
          <w:sz w:val="24"/>
          <w:lang w:val="en-US" w:eastAsia="zh-CN"/>
        </w:rPr>
        <w:t>且学且</w:t>
      </w:r>
      <w:r>
        <w:rPr>
          <w:rFonts w:hint="eastAsia" w:ascii="宋体" w:hAnsi="宋体"/>
          <w:sz w:val="24"/>
        </w:rPr>
        <w:t>研</w:t>
      </w:r>
      <w:r>
        <w:rPr>
          <w:rFonts w:hint="eastAsia" w:ascii="宋体" w:hAnsi="宋体"/>
          <w:sz w:val="24"/>
          <w:lang w:eastAsia="zh-CN"/>
        </w:rPr>
        <w:t>，</w:t>
      </w:r>
      <w:r>
        <w:rPr>
          <w:rFonts w:hint="eastAsia" w:ascii="宋体" w:hAnsi="宋体"/>
          <w:sz w:val="24"/>
          <w:lang w:val="en-US" w:eastAsia="zh-CN"/>
        </w:rPr>
        <w:t>借助资源、借助技术勤练教学内功，一起期待</w:t>
      </w:r>
      <w:r>
        <w:rPr>
          <w:rFonts w:hint="eastAsia" w:ascii="宋体" w:hAnsi="宋体"/>
          <w:sz w:val="24"/>
        </w:rPr>
        <w:t>花香蝶自来。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7A3AD"/>
    <w:multiLevelType w:val="singleLevel"/>
    <w:tmpl w:val="79C7A3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xYWRmY2ZmNGYxMmJjNDk3MTI1ZGUxZTUxZmMyZTUifQ=="/>
  </w:docVars>
  <w:rsids>
    <w:rsidRoot w:val="75822CF9"/>
    <w:rsid w:val="00097703"/>
    <w:rsid w:val="000C40A8"/>
    <w:rsid w:val="00204F83"/>
    <w:rsid w:val="00247214"/>
    <w:rsid w:val="002D7F39"/>
    <w:rsid w:val="00386BBF"/>
    <w:rsid w:val="00497E03"/>
    <w:rsid w:val="00531E80"/>
    <w:rsid w:val="006005C3"/>
    <w:rsid w:val="006C295E"/>
    <w:rsid w:val="00765D31"/>
    <w:rsid w:val="0077638B"/>
    <w:rsid w:val="007815C2"/>
    <w:rsid w:val="007A78D6"/>
    <w:rsid w:val="00862182"/>
    <w:rsid w:val="008805A2"/>
    <w:rsid w:val="008B1EDF"/>
    <w:rsid w:val="009A3747"/>
    <w:rsid w:val="00A17D09"/>
    <w:rsid w:val="00B86070"/>
    <w:rsid w:val="00B9058D"/>
    <w:rsid w:val="00DA4664"/>
    <w:rsid w:val="00EB72B8"/>
    <w:rsid w:val="0D4C27E7"/>
    <w:rsid w:val="10A0659B"/>
    <w:rsid w:val="2B4F5619"/>
    <w:rsid w:val="35EE0B3E"/>
    <w:rsid w:val="366C52EB"/>
    <w:rsid w:val="605626B9"/>
    <w:rsid w:val="75822CF9"/>
    <w:rsid w:val="7A25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列出段落1"/>
    <w:basedOn w:val="1"/>
    <w:qFormat/>
    <w:uiPriority w:val="34"/>
    <w:pPr>
      <w:ind w:firstLine="420" w:firstLineChars="200"/>
    </w:p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3737</Words>
  <Characters>3756</Characters>
  <Lines>1</Lines>
  <Paragraphs>5</Paragraphs>
  <TotalTime>2</TotalTime>
  <ScaleCrop>false</ScaleCrop>
  <LinksUpToDate>false</LinksUpToDate>
  <CharactersWithSpaces>4134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2022-08-28T06:34:00Z</dcterms:created>
  <dc:creator>HP</dc:creator>
  <cp:lastModifiedBy>Administrator</cp:lastModifiedBy>
  <dcterms:modified xsi:type="dcterms:W3CDTF">2022-08-30T08:13:02Z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77BE0EEE90D746B3B93BB70C1D5ECF3D</vt:lpwstr>
  </property>
</Properties>
</file>