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8"/>
          <w:szCs w:val="28"/>
        </w:rPr>
      </w:pPr>
      <w:r>
        <w:rPr>
          <w:rFonts w:hint="eastAsia" w:ascii="黑体" w:hAnsi="黑体" w:eastAsia="黑体"/>
          <w:b/>
          <w:sz w:val="28"/>
          <w:szCs w:val="28"/>
        </w:rPr>
        <w:t>《基于“学、练、赛、评”深入开展校园足球的实践研究》</w:t>
      </w:r>
    </w:p>
    <w:p>
      <w:pPr>
        <w:jc w:val="center"/>
        <w:rPr>
          <w:rFonts w:ascii="黑体" w:hAnsi="黑体" w:eastAsia="黑体"/>
          <w:b/>
          <w:sz w:val="36"/>
          <w:szCs w:val="36"/>
        </w:rPr>
      </w:pPr>
      <w:r>
        <w:rPr>
          <w:rFonts w:hint="eastAsia" w:ascii="黑体" w:hAnsi="黑体" w:eastAsia="黑体"/>
          <w:b/>
          <w:sz w:val="36"/>
          <w:szCs w:val="36"/>
        </w:rPr>
        <w:t>学习札记</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1559"/>
        <w:gridCol w:w="2127"/>
        <w:gridCol w:w="155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01" w:type="dxa"/>
            <w:vAlign w:val="center"/>
          </w:tcPr>
          <w:p>
            <w:pPr>
              <w:rPr>
                <w:b/>
                <w:sz w:val="28"/>
                <w:szCs w:val="28"/>
              </w:rPr>
            </w:pPr>
            <w:r>
              <w:rPr>
                <w:rFonts w:hint="eastAsia"/>
                <w:b/>
                <w:sz w:val="28"/>
                <w:szCs w:val="28"/>
              </w:rPr>
              <w:t>学习人</w:t>
            </w:r>
          </w:p>
        </w:tc>
        <w:tc>
          <w:tcPr>
            <w:tcW w:w="850" w:type="dxa"/>
            <w:vAlign w:val="center"/>
          </w:tcPr>
          <w:p>
            <w:pPr>
              <w:rPr>
                <w:rFonts w:hint="eastAsia" w:eastAsia="宋体"/>
                <w:sz w:val="28"/>
                <w:szCs w:val="28"/>
                <w:lang w:eastAsia="zh-CN"/>
              </w:rPr>
            </w:pPr>
            <w:r>
              <w:rPr>
                <w:rFonts w:hint="eastAsia"/>
                <w:sz w:val="28"/>
                <w:szCs w:val="28"/>
                <w:lang w:eastAsia="zh-CN"/>
              </w:rPr>
              <w:t>侯宁</w:t>
            </w:r>
          </w:p>
        </w:tc>
        <w:tc>
          <w:tcPr>
            <w:tcW w:w="1559" w:type="dxa"/>
            <w:vAlign w:val="center"/>
          </w:tcPr>
          <w:p>
            <w:pPr>
              <w:rPr>
                <w:b/>
                <w:sz w:val="28"/>
                <w:szCs w:val="28"/>
              </w:rPr>
            </w:pPr>
            <w:r>
              <w:rPr>
                <w:rFonts w:hint="eastAsia"/>
                <w:b/>
                <w:sz w:val="28"/>
                <w:szCs w:val="28"/>
              </w:rPr>
              <w:t>摘录来源</w:t>
            </w:r>
          </w:p>
        </w:tc>
        <w:tc>
          <w:tcPr>
            <w:tcW w:w="2127" w:type="dxa"/>
            <w:vAlign w:val="center"/>
          </w:tcPr>
          <w:p>
            <w:pPr>
              <w:rPr>
                <w:rFonts w:hint="eastAsia" w:eastAsia="宋体"/>
                <w:sz w:val="24"/>
                <w:lang w:eastAsia="zh-CN"/>
              </w:rPr>
            </w:pPr>
            <w:r>
              <w:rPr>
                <w:rFonts w:hint="eastAsia"/>
                <w:sz w:val="24"/>
                <w:lang w:eastAsia="zh-CN"/>
              </w:rPr>
              <w:t>《中国论文网》</w:t>
            </w:r>
          </w:p>
        </w:tc>
        <w:tc>
          <w:tcPr>
            <w:tcW w:w="1559" w:type="dxa"/>
            <w:vAlign w:val="center"/>
          </w:tcPr>
          <w:p>
            <w:pPr>
              <w:rPr>
                <w:b/>
                <w:sz w:val="28"/>
                <w:szCs w:val="28"/>
              </w:rPr>
            </w:pPr>
            <w:r>
              <w:rPr>
                <w:rFonts w:hint="eastAsia"/>
                <w:b/>
                <w:sz w:val="28"/>
                <w:szCs w:val="28"/>
              </w:rPr>
              <w:t>学习时间</w:t>
            </w:r>
          </w:p>
        </w:tc>
        <w:tc>
          <w:tcPr>
            <w:tcW w:w="1326" w:type="dxa"/>
            <w:vAlign w:val="center"/>
          </w:tcPr>
          <w:p>
            <w:pPr>
              <w:rPr>
                <w:rFonts w:hint="default" w:eastAsia="宋体"/>
                <w:sz w:val="28"/>
                <w:szCs w:val="28"/>
                <w:lang w:val="en-US" w:eastAsia="zh-CN"/>
              </w:rPr>
            </w:pPr>
            <w:r>
              <w:rPr>
                <w:rFonts w:hint="eastAsia"/>
                <w:sz w:val="28"/>
                <w:szCs w:val="28"/>
                <w:lang w:val="en-US" w:eastAsia="zh-CN"/>
              </w:rPr>
              <w:t>2022.6</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0" w:hRule="atLeast"/>
        </w:trPr>
        <w:tc>
          <w:tcPr>
            <w:tcW w:w="8522" w:type="dxa"/>
            <w:gridSpan w:val="6"/>
          </w:tcPr>
          <w:p>
            <w:pPr>
              <w:ind w:firstLine="413"/>
            </w:pPr>
            <w:r>
              <w:rPr>
                <w:rFonts w:hint="eastAsia"/>
              </w:rPr>
              <w:t>学习内容：</w:t>
            </w:r>
            <w:r>
              <w:t xml:space="preserve"> </w:t>
            </w:r>
          </w:p>
          <w:p>
            <w:pPr>
              <w:ind w:firstLine="413"/>
              <w:jc w:val="center"/>
              <w:rPr>
                <w:rFonts w:hint="eastAsia"/>
                <w:lang w:eastAsia="zh-CN"/>
              </w:rPr>
            </w:pPr>
            <w:r>
              <w:rPr>
                <w:rFonts w:hint="eastAsia"/>
                <w:lang w:eastAsia="zh-CN"/>
              </w:rPr>
              <w:t>《青少年</w:t>
            </w:r>
            <w:r>
              <w:rPr>
                <w:rFonts w:hint="eastAsia"/>
              </w:rPr>
              <w:t>校园足球</w:t>
            </w:r>
            <w:r>
              <w:rPr>
                <w:rFonts w:hint="eastAsia"/>
                <w:lang w:eastAsia="zh-CN"/>
              </w:rPr>
              <w:t>的可持续发展对策研究》</w:t>
            </w:r>
          </w:p>
          <w:p>
            <w:pPr>
              <w:ind w:firstLine="420" w:firstLineChars="200"/>
              <w:rPr>
                <w:rFonts w:hint="eastAsia"/>
              </w:rPr>
            </w:pPr>
            <w:r>
              <w:rPr>
                <w:rFonts w:hint="eastAsia"/>
              </w:rPr>
              <w:t>随着中国足球职业化改革的日益加深,使其发展方向逐渐趋于市场化。此外,在足球职业化改革正式开始之后,青少年相关足球培训重点逐渐改变,由国家体工队教学训练模式转为足球俱乐部梯队模式。然而因俱乐部或者是足球学校的投资人员不能够重视青少年足球长远发展,忽视青少年足球监督与引导,造成足球训练工作较为混乱，甚至挤压了青少年足球健康发展的资源投入以及配套设施的使用,足球后备人才储备不足。因此,推动青少年校园足球健康持续发展刻不容缓。校园足球开展以来,得到各级政府高度重视和大力支持,教育和体育部</w:t>
            </w:r>
            <w:r>
              <w:rPr>
                <w:rFonts w:hint="eastAsia"/>
                <w:lang w:eastAsia="zh-CN"/>
              </w:rPr>
              <w:t>门</w:t>
            </w:r>
            <w:r>
              <w:rPr>
                <w:rFonts w:hint="eastAsia"/>
              </w:rPr>
              <w:t>密切协作,学校积极组织,社会各界给予关心和帮助。在多方努力下取得显著成效:少年足球人口大幅增加;四级联赛初具规模;为冲甲和中超输送了许多优秀人才。取得成绩的同时,也应清醒认识到还存在制约校园足球的可持续发展的问题和不足。</w:t>
            </w:r>
          </w:p>
          <w:p>
            <w:pPr>
              <w:rPr>
                <w:rFonts w:hint="eastAsia"/>
              </w:rPr>
            </w:pPr>
            <w:r>
              <w:rPr>
                <w:rFonts w:hint="eastAsia"/>
                <w:lang w:eastAsia="zh-CN"/>
              </w:rPr>
              <w:t>一</w:t>
            </w:r>
            <w:r>
              <w:rPr>
                <w:rFonts w:hint="eastAsia"/>
              </w:rPr>
              <w:t>、 影响校园足球可持续发展的因素</w:t>
            </w:r>
          </w:p>
          <w:p>
            <w:pPr>
              <w:ind w:firstLine="420" w:firstLineChars="200"/>
              <w:rPr>
                <w:rFonts w:hint="eastAsia"/>
              </w:rPr>
            </w:pPr>
            <w:r>
              <w:rPr>
                <w:rFonts w:hint="eastAsia"/>
              </w:rPr>
              <w:t>1.对校园足球的认识不足部分学者和领导对校园足球寄予奢望,把校园足球视为中国足球改革的突破口、中国足球的救赎之路[1]、崛起的新希望、中国足球的春天等。希望足球在校园里遍地开花,要利用校园足球的推广培养优秀的足球新生力量。甚至提出"振興足球,你我有责”，提出要“不怕苦、不怕累、不怕牺牲, - -心一意为中国足球的腾 飞奉献一切的口号”[2]。 利用校园足球活动的推广实中国青少年足球人才的根基,扩大青少年足球人群是对《国务院关于加强青少年体育增强青少年体质的意见》和《全国青少年校园足球活动实施方案》两份文件精神和宗旨的误解。</w:t>
            </w:r>
          </w:p>
          <w:p>
            <w:pPr>
              <w:ind w:firstLine="420" w:firstLineChars="200"/>
              <w:rPr>
                <w:rFonts w:hint="eastAsia"/>
              </w:rPr>
            </w:pPr>
            <w:r>
              <w:rPr>
                <w:rFonts w:hint="eastAsia"/>
              </w:rPr>
              <w:t>2.资金、场地乏目前开展校园足球的经费仅靠体育部门支持,没有-步开拓校园足球市场 ,无法吸引企业或个人赞助及投资。</w:t>
            </w:r>
            <w:r>
              <w:rPr>
                <w:rFonts w:hint="eastAsia"/>
                <w:lang w:eastAsia="zh-CN"/>
              </w:rPr>
              <w:t>一</w:t>
            </w:r>
            <w:r>
              <w:rPr>
                <w:rFonts w:hint="eastAsia"/>
              </w:rPr>
              <w:t>方面资金短缺,另-方面政策要求开展校园足球活动,迫使部分学校间断性开展校园足球活动,或为了应付四级联赛搞“精英式”足球培训。资金不足严重影响校园足球活动可持续开展。运动场地和设施是开展校园足球活动的先决条件,完善的足球场地和相关设施是开展校园足球活动的保障。调查发现，仅少数中小学配备合格的足球运动场和相关设施。大部分学校的场地狭小且集多种功能于一体。基层学校最基本的水泥操场、泥土操场都保证不了开展足球活动的需要。</w:t>
            </w:r>
          </w:p>
          <w:p>
            <w:pPr>
              <w:ind w:firstLine="420" w:firstLineChars="200"/>
              <w:rPr>
                <w:rFonts w:hint="eastAsia"/>
              </w:rPr>
            </w:pPr>
            <w:r>
              <w:rPr>
                <w:rFonts w:hint="eastAsia"/>
              </w:rPr>
              <w:t>3.师资力量不足青少年对足球的认知、理念、技能等相关知识取决于教师的理论水平、技战术水平和管理能力。基层多数学校体育教师严重</w:t>
            </w:r>
            <w:r>
              <w:rPr>
                <w:rFonts w:hint="eastAsia"/>
                <w:lang w:eastAsia="zh-CN"/>
              </w:rPr>
              <w:t>匮乏</w:t>
            </w:r>
            <w:r>
              <w:rPr>
                <w:rFonts w:hint="eastAsia"/>
              </w:rPr>
              <w:t>,且技能和素养水平不高。基层中小学担任足球训练的部分教师非足球专业;体育教师学历层次低,缺乏运动训练知识和经验,缺乏训练、管理运动队的能力和方法。基层教练员人数缺乏和水平不高制约校园足球的可持续发展。</w:t>
            </w:r>
          </w:p>
          <w:p>
            <w:pPr>
              <w:ind w:firstLine="420" w:firstLineChars="200"/>
              <w:rPr>
                <w:rFonts w:hint="eastAsia"/>
              </w:rPr>
            </w:pPr>
            <w:r>
              <w:rPr>
                <w:rFonts w:hint="eastAsia"/>
              </w:rPr>
              <w:t>4.体制不完善体制不完善也是校园足球运动面临的问题之一。文化学习与足球技能共同发展的矛盾,迫使很多家长和青少年放弃足球活动，导致青少年无法长期积极参加足球学习和训练;足球特长生文化课教学管理、考试招生政策不完善;足球竞赛成绩未纳入高校考核评价体系，特长生在升学录取无法合理流动;大学、高融、初中、小学四级足球竞赛体系不完善;职业足球与校园足球对接渠道不畅;以上因素都影响校园足球的可持续发展。</w:t>
            </w:r>
          </w:p>
          <w:p>
            <w:pPr>
              <w:ind w:firstLine="420" w:firstLineChars="200"/>
              <w:rPr>
                <w:lang w:val="en-US" w:eastAsia="zh-CN"/>
              </w:rPr>
            </w:pPr>
            <w:r>
              <w:rPr>
                <w:rFonts w:hint="eastAsia"/>
              </w:rPr>
              <w:t>师资问题是阻碍校园足球可持续发展的重大不可回避的问题,建立基层足球教师的可持续性培训机制,是各级校园足球主管部门和所负责的试点学校应该努力解决的问题</w:t>
            </w:r>
            <w:r>
              <w:rPr>
                <w:rFonts w:hint="eastAsia"/>
                <w:lang w:eastAsia="zh-CN"/>
              </w:rPr>
              <w:t>。</w:t>
            </w:r>
            <w:r>
              <w:rPr>
                <w:rFonts w:hint="eastAsia"/>
              </w:rPr>
              <w:t>有关主管部门门应该重视并积极支持基层足球教师的培训工作,尤其是要重点监督试点学校开展切实有效的教师培育工作,可以聘请专业足球教练员授课,从保证基层教师参与培训的专业水平和质量,同时组织对基层教师相应的考核,考核合格者可以颁发相应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8522" w:type="dxa"/>
            <w:gridSpan w:val="6"/>
          </w:tcPr>
          <w:p>
            <w:pPr>
              <w:pStyle w:val="6"/>
              <w:spacing w:before="150" w:beforeAutospacing="0" w:after="0" w:afterAutospacing="0" w:line="360" w:lineRule="auto"/>
              <w:rPr>
                <w:rFonts w:hint="eastAsia"/>
                <w:b/>
                <w:bCs w:val="0"/>
                <w:sz w:val="28"/>
                <w:szCs w:val="28"/>
              </w:rPr>
            </w:pPr>
            <w:r>
              <w:rPr>
                <w:rFonts w:hint="eastAsia"/>
                <w:b/>
                <w:bCs w:val="0"/>
                <w:sz w:val="28"/>
                <w:szCs w:val="28"/>
              </w:rPr>
              <w:t>学习心得：</w:t>
            </w:r>
          </w:p>
          <w:p>
            <w:pPr>
              <w:pStyle w:val="6"/>
              <w:spacing w:before="150" w:beforeAutospacing="0" w:after="0" w:afterAutospacing="0" w:line="360" w:lineRule="auto"/>
              <w:ind w:firstLine="480" w:firstLineChars="200"/>
              <w:rPr>
                <w:rFonts w:hint="eastAsia"/>
                <w:b w:val="0"/>
                <w:bCs/>
                <w:sz w:val="24"/>
                <w:szCs w:val="24"/>
              </w:rPr>
            </w:pPr>
            <w:r>
              <w:rPr>
                <w:rFonts w:hint="eastAsia"/>
                <w:b w:val="0"/>
                <w:bCs/>
                <w:sz w:val="24"/>
                <w:szCs w:val="24"/>
              </w:rPr>
              <w:t>只有校园足球才能成为推动我国足球强国梦的基石,促进校园足球可持续发展,才能实现几代人的中国足球梦和体育强国梦。在实现中国足球梦的大背景下，只有正视问题,解决好校园足球发展的认知瓶颈、人才瓶颈、 资金瓶颈，才能有针对性地破解校园足球发展的困局,确保校园足球活动沿着可持续发展理念推进下去。</w:t>
            </w:r>
          </w:p>
          <w:p>
            <w:pPr>
              <w:pStyle w:val="6"/>
              <w:spacing w:before="150" w:beforeAutospacing="0" w:after="0" w:afterAutospacing="0" w:line="360" w:lineRule="auto"/>
              <w:ind w:firstLine="560" w:firstLineChars="200"/>
              <w:rPr>
                <w:b w:val="0"/>
                <w:bCs w:val="0"/>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mNWFkNjIyNjQyNTJjOTM3ZWVhZTc4MDNhMzhiNDIifQ=="/>
  </w:docVars>
  <w:rsids>
    <w:rsidRoot w:val="2C0431B9"/>
    <w:rsid w:val="000256B7"/>
    <w:rsid w:val="00044D69"/>
    <w:rsid w:val="00066589"/>
    <w:rsid w:val="00094FEB"/>
    <w:rsid w:val="002169D7"/>
    <w:rsid w:val="003314AC"/>
    <w:rsid w:val="00373710"/>
    <w:rsid w:val="003B3C23"/>
    <w:rsid w:val="00446CE5"/>
    <w:rsid w:val="00500379"/>
    <w:rsid w:val="00596B53"/>
    <w:rsid w:val="00606101"/>
    <w:rsid w:val="006D5A28"/>
    <w:rsid w:val="006E4D7B"/>
    <w:rsid w:val="007506E4"/>
    <w:rsid w:val="007C6350"/>
    <w:rsid w:val="007F03B4"/>
    <w:rsid w:val="0082444F"/>
    <w:rsid w:val="009444B3"/>
    <w:rsid w:val="009D0056"/>
    <w:rsid w:val="009F6745"/>
    <w:rsid w:val="00AB4444"/>
    <w:rsid w:val="00B12DBF"/>
    <w:rsid w:val="00B12F79"/>
    <w:rsid w:val="00C37C27"/>
    <w:rsid w:val="00C4170F"/>
    <w:rsid w:val="00D812CB"/>
    <w:rsid w:val="00E61002"/>
    <w:rsid w:val="00F4215E"/>
    <w:rsid w:val="00FD786F"/>
    <w:rsid w:val="00FF3C63"/>
    <w:rsid w:val="027634A6"/>
    <w:rsid w:val="12417BAD"/>
    <w:rsid w:val="124217B7"/>
    <w:rsid w:val="15A1543A"/>
    <w:rsid w:val="15D40967"/>
    <w:rsid w:val="1ADA6682"/>
    <w:rsid w:val="21BA145D"/>
    <w:rsid w:val="243A61F3"/>
    <w:rsid w:val="2C0431B9"/>
    <w:rsid w:val="2E9523EE"/>
    <w:rsid w:val="359729E2"/>
    <w:rsid w:val="3EDD00EB"/>
    <w:rsid w:val="59FF2F97"/>
    <w:rsid w:val="6A32280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9"/>
    <w:qFormat/>
    <w:uiPriority w:val="99"/>
    <w:pPr>
      <w:keepNext/>
      <w:keepLines/>
      <w:spacing w:before="260" w:after="260" w:line="416" w:lineRule="auto"/>
      <w:outlineLvl w:val="1"/>
    </w:pPr>
    <w:rPr>
      <w:rFonts w:ascii="Arial" w:hAnsi="Arial" w:eastAsia="黑体"/>
      <w:bCs/>
      <w:kern w:val="0"/>
      <w:sz w:val="28"/>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lock Text"/>
    <w:basedOn w:val="1"/>
    <w:semiHidden/>
    <w:unhideWhenUsed/>
    <w:qFormat/>
    <w:uiPriority w:val="99"/>
    <w:pPr>
      <w:spacing w:after="120" w:afterLines="0" w:afterAutospacing="0"/>
      <w:ind w:left="1440" w:leftChars="700" w:rightChars="700"/>
    </w:p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9">
    <w:name w:val="标题 2 Char"/>
    <w:link w:val="3"/>
    <w:qFormat/>
    <w:locked/>
    <w:uiPriority w:val="99"/>
    <w:rPr>
      <w:rFonts w:ascii="Arial" w:hAnsi="Arial" w:eastAsia="黑体" w:cs="Times New Roman"/>
      <w:sz w:val="32"/>
    </w:rPr>
  </w:style>
  <w:style w:type="character" w:customStyle="1" w:styleId="10">
    <w:name w:val="页眉 Char"/>
    <w:link w:val="5"/>
    <w:semiHidden/>
    <w:qFormat/>
    <w:uiPriority w:val="99"/>
    <w:rPr>
      <w:kern w:val="2"/>
      <w:sz w:val="18"/>
      <w:szCs w:val="18"/>
    </w:rPr>
  </w:style>
  <w:style w:type="character" w:customStyle="1" w:styleId="11">
    <w:name w:val="页脚 Char"/>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1662</Words>
  <Characters>1675</Characters>
  <Lines>1</Lines>
  <Paragraphs>1</Paragraphs>
  <TotalTime>103</TotalTime>
  <ScaleCrop>false</ScaleCrop>
  <LinksUpToDate>false</LinksUpToDate>
  <CharactersWithSpaces>1683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2016-12-05T11:00:00Z</dcterms:created>
  <dc:creator>Administrator</dc:creator>
  <cp:lastModifiedBy>逆风</cp:lastModifiedBy>
  <dcterms:modified xsi:type="dcterms:W3CDTF">2022-09-04T09:22:51Z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A8081F3885284A16A573D37CFF203930</vt:lpwstr>
  </property>
</Properties>
</file>