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bookmarkStart w:id="0" w:name="_GoBack"/>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5"/>
        <w:gridCol w:w="1440"/>
        <w:gridCol w:w="2021"/>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1075" w:type="dxa"/>
            <w:vAlign w:val="center"/>
          </w:tcPr>
          <w:p>
            <w:pPr>
              <w:rPr>
                <w:rFonts w:hint="default" w:eastAsia="宋体"/>
                <w:sz w:val="28"/>
                <w:szCs w:val="28"/>
                <w:lang w:val="en-US" w:eastAsia="zh-CN"/>
              </w:rPr>
            </w:pPr>
            <w:r>
              <w:rPr>
                <w:rFonts w:hint="eastAsia"/>
                <w:sz w:val="24"/>
                <w:szCs w:val="24"/>
                <w:lang w:val="en-US" w:eastAsia="zh-CN"/>
              </w:rPr>
              <w:t>孙燕桦</w:t>
            </w:r>
          </w:p>
        </w:tc>
        <w:tc>
          <w:tcPr>
            <w:tcW w:w="1440" w:type="dxa"/>
            <w:vAlign w:val="center"/>
          </w:tcPr>
          <w:p>
            <w:pPr>
              <w:rPr>
                <w:b/>
                <w:sz w:val="28"/>
                <w:szCs w:val="28"/>
              </w:rPr>
            </w:pPr>
            <w:r>
              <w:rPr>
                <w:rFonts w:hint="eastAsia"/>
                <w:b/>
                <w:sz w:val="28"/>
                <w:szCs w:val="28"/>
              </w:rPr>
              <w:t>摘录来源</w:t>
            </w:r>
          </w:p>
        </w:tc>
        <w:tc>
          <w:tcPr>
            <w:tcW w:w="2021" w:type="dxa"/>
            <w:vAlign w:val="center"/>
          </w:tcPr>
          <w:p>
            <w:pPr>
              <w:rPr>
                <w:rFonts w:hint="eastAsia" w:eastAsia="宋体"/>
                <w:sz w:val="24"/>
                <w:lang w:eastAsia="zh-CN"/>
              </w:rPr>
            </w:pPr>
            <w:r>
              <w:rPr>
                <w:rFonts w:hint="eastAsia"/>
                <w:sz w:val="24"/>
                <w:lang w:eastAsia="zh-CN"/>
              </w:rPr>
              <w:t>《</w:t>
            </w:r>
            <w:r>
              <w:rPr>
                <w:rFonts w:hint="eastAsia"/>
                <w:sz w:val="24"/>
                <w:lang w:val="en-US" w:eastAsia="zh-CN"/>
              </w:rPr>
              <w:t>中国学校体育</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以赛为枢的“学、练、赛、评”实施策略</w:t>
            </w:r>
            <w:r>
              <w:rPr>
                <w:rFonts w:hint="eastAsia" w:ascii="宋体" w:hAnsi="宋体" w:cs="宋体"/>
                <w:sz w:val="24"/>
                <w:szCs w:val="24"/>
                <w:lang w:eastAsia="zh-CN"/>
              </w:rPr>
              <w:t>》</w:t>
            </w:r>
          </w:p>
          <w:p>
            <w:pPr>
              <w:numPr>
                <w:ilvl w:val="0"/>
                <w:numId w:val="1"/>
              </w:numPr>
              <w:ind w:firstLine="413"/>
              <w:rPr>
                <w:sz w:val="24"/>
              </w:rPr>
            </w:pPr>
            <w:r>
              <w:rPr>
                <w:rFonts w:ascii="宋体" w:hAnsi="宋体" w:eastAsia="宋体" w:cs="宋体"/>
                <w:sz w:val="24"/>
                <w:szCs w:val="24"/>
              </w:rPr>
              <w:t>以赛为枢的方法类教学作为构建课程内容的思维路径</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将课程内容放置于比赛情境的大环境之中进行整体开发设计，围绕“赛”进行递进关系的内容开发。以足球教学为例，足球属于开放式运动技能，主要特征便是需要队员根据外界环境适时地选择相适宜的技术方法。立足于“教会”，教师应积极探索以赛为枢的方法类教学作为构建课程内容的思维路径，确保学生在“学、练、赛、评”一体化模式下夯实“赛”的前提和基础，也更易于学生建立连贯的整体学科思想。</w:t>
            </w:r>
          </w:p>
          <w:p>
            <w:pPr>
              <w:numPr>
                <w:ilvl w:val="0"/>
                <w:numId w:val="1"/>
              </w:numPr>
              <w:ind w:firstLine="413"/>
              <w:rPr>
                <w:sz w:val="24"/>
              </w:rPr>
            </w:pPr>
            <w:r>
              <w:rPr>
                <w:rFonts w:ascii="宋体" w:hAnsi="宋体" w:eastAsia="宋体" w:cs="宋体"/>
                <w:sz w:val="24"/>
                <w:szCs w:val="24"/>
              </w:rPr>
              <w:t>以赛为枢的课时序列构建赛季特征大单元</w:t>
            </w:r>
          </w:p>
          <w:p>
            <w:pPr>
              <w:numPr>
                <w:ilvl w:val="0"/>
                <w:numId w:val="1"/>
              </w:numPr>
              <w:ind w:firstLine="413"/>
              <w:rPr>
                <w:sz w:val="24"/>
              </w:rPr>
            </w:pPr>
            <w:r>
              <w:rPr>
                <w:rFonts w:ascii="宋体" w:hAnsi="宋体" w:eastAsia="宋体" w:cs="宋体"/>
                <w:sz w:val="24"/>
                <w:szCs w:val="24"/>
              </w:rPr>
              <w:t>学生个性专长作为以赛为枢的异质分组依据</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赛场绝非少数学生竞技的舞台，而应是围绕全体学生孕育体育学科核心素养的孵化平台。因此，赛的不仅是运动技能，更应该是对参与项目的运动文化传承，如果学生仅有对比赛结果的渴望，那这种“赛”就成了追求胜负的工具，会不利于学生对足球项目运动文化的学习和体验，也极易导致学生对于体育品德树立过程的异化。</w:t>
            </w:r>
          </w:p>
          <w:p>
            <w:pPr>
              <w:numPr>
                <w:ilvl w:val="0"/>
                <w:numId w:val="1"/>
              </w:numPr>
              <w:ind w:left="0" w:leftChars="0" w:firstLine="413" w:firstLineChars="0"/>
              <w:rPr>
                <w:rFonts w:ascii="宋体" w:hAnsi="宋体" w:eastAsia="宋体" w:cs="宋体"/>
                <w:sz w:val="24"/>
                <w:szCs w:val="24"/>
              </w:rPr>
            </w:pPr>
            <w:r>
              <w:rPr>
                <w:rFonts w:ascii="宋体" w:hAnsi="宋体" w:eastAsia="宋体" w:cs="宋体"/>
                <w:sz w:val="24"/>
                <w:szCs w:val="24"/>
              </w:rPr>
              <w:t>灵活设置比赛规则是以赛为枢可持续性的保障</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在传统竞技比赛的规则限制下，尤其是一些球类项目很容易成为一些运动能力相对出众男生的独角戏，而女生普遍对于诸如足球等对抗性较强的学习内容存在着较大的抵触厌倦情绪，既有对不太易于掌握足球技能的消极性心理，也有害怕被对抗伤害到的防御性心理，这也是足球常态化教学时最为常见的现象。此外，女生对待足球教学比赛受挫时也特别容易出现消极行为，通过灵活设置比赛规则激发女生或运动能力欠佳学生对待足球学习的态度，则是确保组织比赛可持续性常态化开展的根本保障。</w:t>
            </w:r>
          </w:p>
          <w:p>
            <w:pPr>
              <w:numPr>
                <w:ilvl w:val="0"/>
                <w:numId w:val="1"/>
              </w:numPr>
              <w:ind w:left="0" w:leftChars="0" w:firstLine="413" w:firstLineChars="0"/>
              <w:rPr>
                <w:rFonts w:ascii="宋体" w:hAnsi="宋体" w:eastAsia="宋体" w:cs="宋体"/>
                <w:sz w:val="24"/>
                <w:szCs w:val="24"/>
              </w:rPr>
            </w:pPr>
            <w:r>
              <w:rPr>
                <w:rFonts w:ascii="宋体" w:hAnsi="宋体" w:eastAsia="宋体" w:cs="宋体"/>
                <w:sz w:val="24"/>
                <w:szCs w:val="24"/>
              </w:rPr>
              <w:t>小组探究是以赛为枢进入深度学习的重要形式</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知识被看作认知主体通过参与、行动、实践，与其所处环境发生交互作用时涌现和生成的产物。[2]我国和美国的中小学体育课程标准中均提到，将所学到的运动技能在活动和比赛中学以致用，可见比赛对于学生形成学科核心素养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r>
              <w:rPr>
                <w:rFonts w:ascii="宋体" w:hAnsi="宋体" w:eastAsia="宋体" w:cs="宋体"/>
                <w:sz w:val="24"/>
                <w:szCs w:val="24"/>
              </w:rPr>
              <w:t>以“赛”为核心，对“学、练、赛、评”进行整体架构，以赛促学、以赛促练、以赛促评。以赛为枢既有助于学生体育学科核心素养的培养，也是落实“学、练、赛、评”一体化的有效路径。</w:t>
            </w:r>
          </w:p>
          <w:p>
            <w:pPr>
              <w:pStyle w:val="5"/>
              <w:spacing w:before="150" w:beforeAutospacing="0" w:after="0" w:afterAutospacing="0" w:line="360" w:lineRule="auto"/>
              <w:ind w:firstLine="560" w:firstLineChars="200"/>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88D10"/>
    <w:multiLevelType w:val="singleLevel"/>
    <w:tmpl w:val="D8F88D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5B46CAE"/>
    <w:rsid w:val="660156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Words>
  <Characters>58</Characters>
  <Lines>1</Lines>
  <Paragraphs>1</Paragraphs>
  <TotalTime>37</TotalTime>
  <ScaleCrop>false</ScaleCrop>
  <LinksUpToDate>false</LinksUpToDate>
  <CharactersWithSpaces>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2022-09-11T12:10:59Z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ED3367BDA0024BFE8413058263AA2DF1</vt:lpwstr>
  </property>
</Properties>
</file>