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bCs/>
          <w:color w:val="auto"/>
          <w:sz w:val="32"/>
          <w:szCs w:val="36"/>
        </w:rPr>
      </w:pPr>
      <w:r>
        <w:rPr>
          <w:rFonts w:hint="eastAsia" w:ascii="楷体" w:hAnsi="楷体" w:eastAsia="楷体"/>
          <w:b/>
          <w:bCs/>
          <w:color w:val="auto"/>
          <w:sz w:val="32"/>
          <w:szCs w:val="36"/>
        </w:rPr>
        <w:t>创新优品齐汇聚，蓄势跨越向未来</w:t>
      </w:r>
    </w:p>
    <w:p>
      <w:pPr>
        <w:jc w:val="right"/>
        <w:rPr>
          <w:rFonts w:ascii="楷体" w:hAnsi="楷体" w:eastAsia="楷体"/>
          <w:b/>
          <w:bCs/>
          <w:color w:val="auto"/>
          <w:sz w:val="24"/>
          <w:szCs w:val="28"/>
        </w:rPr>
      </w:pPr>
      <w:r>
        <w:rPr>
          <w:rFonts w:hint="eastAsia" w:ascii="楷体" w:hAnsi="楷体" w:eastAsia="楷体"/>
          <w:b/>
          <w:bCs/>
          <w:color w:val="auto"/>
          <w:sz w:val="32"/>
          <w:szCs w:val="36"/>
        </w:rPr>
        <w:t xml:space="preserve"> </w:t>
      </w:r>
      <w:r>
        <w:rPr>
          <w:rFonts w:hint="eastAsia" w:ascii="楷体" w:hAnsi="楷体" w:eastAsia="楷体"/>
          <w:b/>
          <w:bCs/>
          <w:color w:val="auto"/>
          <w:sz w:val="24"/>
          <w:szCs w:val="28"/>
        </w:rPr>
        <w:t>——</w:t>
      </w:r>
      <w:r>
        <w:rPr>
          <w:rFonts w:ascii="楷体" w:hAnsi="楷体" w:eastAsia="楷体"/>
          <w:b/>
          <w:bCs/>
          <w:color w:val="auto"/>
          <w:sz w:val="24"/>
          <w:szCs w:val="28"/>
        </w:rPr>
        <w:t>2022-2023</w:t>
      </w:r>
      <w:r>
        <w:rPr>
          <w:rFonts w:hint="eastAsia" w:ascii="楷体" w:hAnsi="楷体" w:eastAsia="楷体"/>
          <w:b/>
          <w:bCs/>
          <w:color w:val="auto"/>
          <w:sz w:val="24"/>
          <w:szCs w:val="28"/>
        </w:rPr>
        <w:t>学年秋学期德育工作计划</w:t>
      </w:r>
    </w:p>
    <w:p>
      <w:pPr>
        <w:spacing w:line="360" w:lineRule="auto"/>
        <w:rPr>
          <w:rFonts w:ascii="仿宋_GB2312" w:hAnsi="楷体" w:eastAsia="仿宋_GB2312"/>
          <w:b/>
          <w:bCs/>
          <w:color w:val="auto"/>
          <w:sz w:val="24"/>
          <w:szCs w:val="28"/>
        </w:rPr>
      </w:pPr>
      <w:r>
        <w:rPr>
          <w:rFonts w:hint="eastAsia" w:ascii="楷体" w:hAnsi="楷体" w:eastAsia="楷体"/>
          <w:b/>
          <w:bCs/>
          <w:color w:val="auto"/>
          <w:sz w:val="24"/>
          <w:szCs w:val="28"/>
        </w:rPr>
        <w:t>一</w:t>
      </w:r>
      <w:r>
        <w:rPr>
          <w:rFonts w:hint="eastAsia" w:ascii="仿宋_GB2312" w:hAnsi="楷体" w:eastAsia="仿宋_GB2312"/>
          <w:b/>
          <w:bCs/>
          <w:color w:val="auto"/>
          <w:sz w:val="24"/>
          <w:szCs w:val="28"/>
        </w:rPr>
        <w:t>、背景描述：</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（一） 时代教育背景：</w:t>
      </w:r>
      <w:bookmarkStart w:id="0" w:name="_GoBack"/>
      <w:bookmarkEnd w:id="0"/>
    </w:p>
    <w:p>
      <w:pPr>
        <w:spacing w:line="360" w:lineRule="auto"/>
        <w:ind w:firstLine="465"/>
        <w:rPr>
          <w:rFonts w:ascii="仿宋_GB2312" w:hAnsi="楷体" w:eastAsia="仿宋_GB2312"/>
          <w:color w:val="auto"/>
          <w:sz w:val="24"/>
          <w:szCs w:val="24"/>
        </w:rPr>
      </w:pPr>
      <w:r>
        <w:rPr>
          <w:rFonts w:hint="eastAsia" w:ascii="仿宋_GB2312" w:hAnsi="楷体" w:eastAsia="仿宋_GB2312"/>
          <w:color w:val="auto"/>
          <w:sz w:val="24"/>
          <w:szCs w:val="28"/>
        </w:rPr>
        <w:t>以习近平新时代中国特色社会主义思想为指导，深入贯彻落实习近平总书记系列重要讲话精神，始终坚持育人为本、德育为先，落实立德树人根本任务。以党的各项教育方针政策为遵循。</w:t>
      </w:r>
      <w:r>
        <w:rPr>
          <w:rFonts w:ascii="仿宋_GB2312" w:hAnsi="楷体" w:eastAsia="仿宋_GB2312"/>
          <w:color w:val="auto"/>
          <w:sz w:val="24"/>
          <w:szCs w:val="28"/>
        </w:rPr>
        <w:t>2022</w:t>
      </w:r>
      <w:r>
        <w:rPr>
          <w:rFonts w:hint="eastAsia" w:ascii="仿宋_GB2312" w:hAnsi="楷体" w:eastAsia="仿宋_GB2312"/>
          <w:color w:val="auto"/>
          <w:sz w:val="24"/>
          <w:szCs w:val="28"/>
        </w:rPr>
        <w:t>年</w:t>
      </w:r>
      <w:r>
        <w:rPr>
          <w:rFonts w:ascii="仿宋_GB2312" w:hAnsi="楷体" w:eastAsia="仿宋_GB2312"/>
          <w:color w:val="auto"/>
          <w:sz w:val="24"/>
          <w:szCs w:val="28"/>
        </w:rPr>
        <w:t>2月8日， 教育部基础教育司印发了《教育部基础教育司 2022 年工作要点》，“双减”政策的贯彻落实，依然是重中之重，同时也更加强调要切实增强中小学德育工作实效，加快完善德智体美劳全面培养的育人体系，促进学生的健康成长和全面发展。</w:t>
      </w:r>
    </w:p>
    <w:p>
      <w:pPr>
        <w:spacing w:line="360" w:lineRule="auto"/>
        <w:rPr>
          <w:rFonts w:ascii="仿宋_GB2312" w:hAnsi="楷体" w:eastAsia="仿宋_GB2312"/>
          <w:b/>
          <w:bCs/>
          <w:color w:val="auto"/>
          <w:sz w:val="24"/>
          <w:szCs w:val="24"/>
        </w:rPr>
      </w:pPr>
      <w:r>
        <w:rPr>
          <w:rFonts w:hint="eastAsia" w:ascii="仿宋_GB2312" w:hAnsi="楷体" w:eastAsia="仿宋_GB2312"/>
          <w:color w:val="auto"/>
          <w:sz w:val="24"/>
          <w:szCs w:val="24"/>
        </w:rPr>
        <w:t>（二）</w:t>
      </w:r>
      <w:r>
        <w:rPr>
          <w:rFonts w:hint="eastAsia" w:ascii="仿宋_GB2312" w:hAnsi="楷体" w:eastAsia="仿宋_GB2312"/>
          <w:b/>
          <w:bCs/>
          <w:color w:val="auto"/>
          <w:sz w:val="24"/>
          <w:szCs w:val="24"/>
        </w:rPr>
        <w:t>发展优势及问题：</w:t>
      </w:r>
    </w:p>
    <w:p>
      <w:pPr>
        <w:spacing w:line="360" w:lineRule="auto"/>
        <w:rPr>
          <w:rFonts w:ascii="仿宋_GB2312" w:hAnsi="楷体" w:eastAsia="仿宋_GB2312"/>
          <w:b/>
          <w:bCs/>
          <w:color w:val="auto"/>
          <w:sz w:val="24"/>
          <w:szCs w:val="24"/>
        </w:rPr>
      </w:pPr>
      <w:r>
        <w:rPr>
          <w:rFonts w:hint="eastAsia" w:ascii="仿宋_GB2312" w:hAnsi="楷体" w:eastAsia="仿宋_GB2312"/>
          <w:b/>
          <w:bCs/>
          <w:color w:val="auto"/>
          <w:sz w:val="24"/>
          <w:szCs w:val="24"/>
        </w:rPr>
        <w:t xml:space="preserve"> 1、优势：</w:t>
      </w:r>
    </w:p>
    <w:p>
      <w:pPr>
        <w:spacing w:line="360" w:lineRule="auto"/>
        <w:rPr>
          <w:rFonts w:ascii="仿宋_GB2312" w:hAnsi="楷体" w:eastAsia="仿宋_GB2312"/>
          <w:color w:val="auto"/>
          <w:sz w:val="24"/>
          <w:szCs w:val="24"/>
        </w:rPr>
      </w:pPr>
      <w:r>
        <w:rPr>
          <w:rFonts w:hint="eastAsia" w:ascii="仿宋_GB2312" w:hAnsi="楷体" w:eastAsia="仿宋_GB2312"/>
          <w:color w:val="auto"/>
          <w:sz w:val="24"/>
          <w:szCs w:val="24"/>
        </w:rPr>
        <w:t>（1）在名班主任培养工程、优秀班主任评选等各类选拔中，新一批骨干班主任正在快速成长，两级梯队的班主任逐年增加。</w:t>
      </w:r>
    </w:p>
    <w:p>
      <w:pPr>
        <w:spacing w:line="360" w:lineRule="auto"/>
        <w:rPr>
          <w:rFonts w:ascii="仿宋_GB2312" w:hAnsi="楷体" w:eastAsia="仿宋_GB2312"/>
          <w:color w:val="auto"/>
          <w:sz w:val="24"/>
          <w:szCs w:val="24"/>
        </w:rPr>
      </w:pPr>
      <w:r>
        <w:rPr>
          <w:rFonts w:hint="eastAsia" w:ascii="仿宋_GB2312" w:hAnsi="楷体" w:eastAsia="仿宋_GB2312"/>
          <w:color w:val="auto"/>
          <w:sz w:val="24"/>
          <w:szCs w:val="24"/>
        </w:rPr>
        <w:t>（2）学校省级红孩子少先队课题和弘雅品格提升工程，创生红领巾学院、弘雅小播客等实践平台，不断落地生根，学生品格得以培育和提升。</w:t>
      </w:r>
    </w:p>
    <w:p>
      <w:pPr>
        <w:spacing w:line="360" w:lineRule="auto"/>
        <w:rPr>
          <w:rFonts w:ascii="仿宋_GB2312" w:hAnsi="楷体" w:eastAsia="仿宋_GB2312"/>
          <w:color w:val="auto"/>
          <w:sz w:val="24"/>
          <w:szCs w:val="24"/>
        </w:rPr>
      </w:pPr>
      <w:r>
        <w:rPr>
          <w:rFonts w:hint="eastAsia" w:ascii="仿宋_GB2312" w:hAnsi="楷体" w:eastAsia="仿宋_GB2312"/>
          <w:color w:val="auto"/>
          <w:sz w:val="24"/>
          <w:szCs w:val="24"/>
        </w:rPr>
        <w:t>（3）“家校社”三位一体的育人模式在课后服务社团、家长开放日、仪式教育等大型活动中逐渐建构，家校社协同育人机制趋于完善。</w:t>
      </w:r>
    </w:p>
    <w:p>
      <w:pPr>
        <w:spacing w:line="360" w:lineRule="auto"/>
        <w:rPr>
          <w:rFonts w:ascii="仿宋_GB2312" w:hAnsi="楷体" w:eastAsia="仿宋_GB2312"/>
          <w:b/>
          <w:bCs/>
          <w:color w:val="auto"/>
          <w:sz w:val="24"/>
          <w:szCs w:val="24"/>
        </w:rPr>
      </w:pPr>
      <w:r>
        <w:rPr>
          <w:rFonts w:hint="eastAsia" w:ascii="仿宋_GB2312" w:hAnsi="楷体" w:eastAsia="仿宋_GB2312"/>
          <w:b/>
          <w:bCs/>
          <w:color w:val="auto"/>
          <w:sz w:val="24"/>
          <w:szCs w:val="24"/>
        </w:rPr>
        <w:t>2、潜势：</w:t>
      </w:r>
    </w:p>
    <w:p>
      <w:pPr>
        <w:spacing w:line="360" w:lineRule="auto"/>
        <w:rPr>
          <w:rFonts w:ascii="仿宋_GB2312" w:hAnsi="楷体" w:eastAsia="仿宋_GB2312"/>
          <w:color w:val="auto"/>
          <w:sz w:val="24"/>
          <w:szCs w:val="24"/>
        </w:rPr>
      </w:pPr>
      <w:r>
        <w:rPr>
          <w:rFonts w:hint="eastAsia" w:ascii="仿宋_GB2312" w:hAnsi="楷体" w:eastAsia="仿宋_GB2312"/>
          <w:color w:val="auto"/>
          <w:sz w:val="24"/>
          <w:szCs w:val="24"/>
        </w:rPr>
        <w:t>（1）学生发展，需完善评价，驱动内生。</w:t>
      </w:r>
    </w:p>
    <w:p>
      <w:pPr>
        <w:spacing w:line="360" w:lineRule="auto"/>
        <w:rPr>
          <w:rFonts w:ascii="仿宋_GB2312" w:hAnsi="楷体" w:eastAsia="仿宋_GB2312"/>
          <w:color w:val="auto"/>
          <w:sz w:val="24"/>
          <w:szCs w:val="24"/>
        </w:rPr>
      </w:pPr>
      <w:r>
        <w:rPr>
          <w:rFonts w:hint="eastAsia" w:ascii="仿宋_GB2312" w:hAnsi="楷体" w:eastAsia="仿宋_GB2312"/>
          <w:color w:val="auto"/>
          <w:sz w:val="24"/>
          <w:szCs w:val="24"/>
        </w:rPr>
        <w:t>需更新教育理念，实现全员育人，利用科学评价促进每一个学生常规的养成，并利用学科搭建多样平台，拉长学生的优势，满足学生的个性化发展评价需求。需要紧扣学校文化特色，围绕“文雅、智慧、坚韧”的学生培养目标，进行德育目标的细化，依托活动开发相应课程内容，扎实推进德育评价变革。</w:t>
      </w:r>
    </w:p>
    <w:p>
      <w:pPr>
        <w:spacing w:line="360" w:lineRule="auto"/>
        <w:rPr>
          <w:rFonts w:ascii="仿宋_GB2312" w:hAnsi="楷体" w:eastAsia="仿宋_GB2312"/>
          <w:color w:val="auto"/>
          <w:sz w:val="24"/>
          <w:szCs w:val="24"/>
        </w:rPr>
      </w:pPr>
      <w:r>
        <w:rPr>
          <w:rFonts w:hint="eastAsia" w:ascii="仿宋_GB2312" w:hAnsi="楷体" w:eastAsia="仿宋_GB2312"/>
          <w:color w:val="auto"/>
          <w:sz w:val="24"/>
          <w:szCs w:val="24"/>
        </w:rPr>
        <w:t>（2）队伍建设，需搭建平台，走向专业。</w:t>
      </w:r>
    </w:p>
    <w:p>
      <w:pPr>
        <w:spacing w:line="360" w:lineRule="auto"/>
        <w:rPr>
          <w:rFonts w:ascii="仿宋_GB2312" w:hAnsi="楷体" w:eastAsia="仿宋_GB2312"/>
          <w:color w:val="auto"/>
          <w:sz w:val="24"/>
          <w:szCs w:val="24"/>
        </w:rPr>
      </w:pPr>
      <w:r>
        <w:rPr>
          <w:rFonts w:hint="eastAsia" w:ascii="仿宋_GB2312" w:hAnsi="楷体" w:eastAsia="仿宋_GB2312"/>
          <w:color w:val="auto"/>
          <w:sz w:val="24"/>
          <w:szCs w:val="24"/>
        </w:rPr>
        <w:t>需为班主任搭建平台，通过多途径学习，更新理念，不断实践，培养研究意识，将育人与教书高效结合，整合班级建设与少先队发展的工作，培养一批具有影响力的班主任与辅导员。需要进一步加强以班主任为核心的班级成长导师团的建设，凸显“浪漫、睿智、弘毅”特色的育人队伍，促进全员育人队伍建设。需要为家长搭建学习交流的平台，更新家庭教育理念，提升家庭教育方法，提高协同育人效能。</w:t>
      </w:r>
    </w:p>
    <w:p>
      <w:pPr>
        <w:spacing w:line="360" w:lineRule="auto"/>
        <w:rPr>
          <w:rFonts w:ascii="仿宋_GB2312" w:hAnsi="楷体" w:eastAsia="仿宋_GB2312"/>
          <w:color w:val="auto"/>
          <w:sz w:val="24"/>
          <w:szCs w:val="24"/>
        </w:rPr>
      </w:pPr>
      <w:r>
        <w:rPr>
          <w:rFonts w:hint="eastAsia" w:ascii="仿宋_GB2312" w:hAnsi="楷体" w:eastAsia="仿宋_GB2312"/>
          <w:color w:val="auto"/>
          <w:sz w:val="24"/>
          <w:szCs w:val="24"/>
        </w:rPr>
        <w:t>（3）活动开展，需高度聚通，凝练出彩。</w:t>
      </w:r>
    </w:p>
    <w:p>
      <w:pPr>
        <w:spacing w:line="360" w:lineRule="auto"/>
        <w:rPr>
          <w:rFonts w:ascii="仿宋_GB2312" w:hAnsi="楷体" w:eastAsia="仿宋_GB2312"/>
          <w:color w:val="auto"/>
          <w:sz w:val="24"/>
          <w:szCs w:val="24"/>
        </w:rPr>
      </w:pPr>
      <w:r>
        <w:rPr>
          <w:rFonts w:hint="eastAsia" w:ascii="仿宋_GB2312" w:hAnsi="楷体" w:eastAsia="仿宋_GB2312"/>
          <w:color w:val="auto"/>
          <w:sz w:val="24"/>
          <w:szCs w:val="24"/>
        </w:rPr>
        <w:t>通过各级活动，充分打造我们的“少儿玩伴”品牌项目，强化三大课程建设，强化学科整合与融通，增进活动的联动，在活动推进与总阶段加强成果提炼与宣传。</w:t>
      </w:r>
    </w:p>
    <w:p>
      <w:pPr>
        <w:spacing w:line="360" w:lineRule="auto"/>
        <w:rPr>
          <w:rFonts w:ascii="仿宋_GB2312" w:hAnsi="楷体" w:eastAsia="仿宋_GB2312"/>
          <w:color w:val="auto"/>
          <w:sz w:val="24"/>
          <w:szCs w:val="24"/>
        </w:rPr>
      </w:pPr>
    </w:p>
    <w:p>
      <w:pPr>
        <w:spacing w:line="360" w:lineRule="auto"/>
        <w:rPr>
          <w:rFonts w:ascii="仿宋_GB2312" w:hAnsi="楷体" w:eastAsia="仿宋_GB2312"/>
          <w:b/>
          <w:bCs/>
          <w:color w:val="auto"/>
          <w:sz w:val="24"/>
          <w:szCs w:val="24"/>
        </w:rPr>
      </w:pPr>
    </w:p>
    <w:p>
      <w:pPr>
        <w:spacing w:line="360" w:lineRule="auto"/>
        <w:rPr>
          <w:rFonts w:ascii="仿宋_GB2312" w:hAnsi="楷体" w:eastAsia="仿宋_GB2312"/>
          <w:b/>
          <w:bCs/>
          <w:color w:val="auto"/>
          <w:sz w:val="24"/>
          <w:szCs w:val="24"/>
        </w:rPr>
      </w:pPr>
      <w:r>
        <w:rPr>
          <w:rFonts w:hint="eastAsia" w:ascii="仿宋_GB2312" w:hAnsi="楷体" w:eastAsia="仿宋_GB2312"/>
          <w:b/>
          <w:bCs/>
          <w:color w:val="auto"/>
          <w:sz w:val="24"/>
          <w:szCs w:val="24"/>
        </w:rPr>
        <w:t>（三）本学期重点工作：</w:t>
      </w:r>
    </w:p>
    <w:p>
      <w:pPr>
        <w:spacing w:line="360" w:lineRule="auto"/>
        <w:ind w:firstLine="482"/>
        <w:rPr>
          <w:rFonts w:ascii="仿宋_GB2312" w:hAnsi="楷体" w:eastAsia="仿宋_GB2312"/>
          <w:color w:val="auto"/>
          <w:sz w:val="24"/>
          <w:szCs w:val="24"/>
        </w:rPr>
      </w:pPr>
      <w:r>
        <w:rPr>
          <w:rFonts w:hint="eastAsia" w:ascii="仿宋_GB2312" w:hAnsi="楷体" w:eastAsia="仿宋_GB2312"/>
          <w:color w:val="auto"/>
          <w:sz w:val="24"/>
          <w:szCs w:val="28"/>
        </w:rPr>
        <w:t>以《中小学德育工作指南》为抓手，以学校创建新优质为契机，加强培养学生常规，完善育人环境，进一步</w:t>
      </w:r>
      <w:r>
        <w:rPr>
          <w:rFonts w:ascii="仿宋_GB2312" w:hAnsi="楷体" w:eastAsia="仿宋_GB2312"/>
          <w:color w:val="auto"/>
          <w:sz w:val="24"/>
          <w:szCs w:val="24"/>
        </w:rPr>
        <w:t>创新德育工作的方式方法，切实增强</w:t>
      </w:r>
      <w:r>
        <w:rPr>
          <w:rFonts w:hint="eastAsia" w:ascii="仿宋_GB2312" w:hAnsi="楷体" w:eastAsia="仿宋_GB2312"/>
          <w:color w:val="auto"/>
          <w:sz w:val="24"/>
          <w:szCs w:val="24"/>
        </w:rPr>
        <w:t>我校</w:t>
      </w:r>
      <w:r>
        <w:rPr>
          <w:rFonts w:ascii="仿宋_GB2312" w:hAnsi="楷体" w:eastAsia="仿宋_GB2312"/>
          <w:color w:val="auto"/>
          <w:sz w:val="24"/>
          <w:szCs w:val="24"/>
        </w:rPr>
        <w:t>德育工作实效</w:t>
      </w:r>
      <w:r>
        <w:rPr>
          <w:rFonts w:hint="eastAsia" w:ascii="仿宋_GB2312" w:hAnsi="楷体" w:eastAsia="仿宋_GB2312"/>
          <w:color w:val="auto"/>
          <w:sz w:val="24"/>
          <w:szCs w:val="24"/>
        </w:rPr>
        <w:t>。</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二、学期目标</w:t>
      </w:r>
    </w:p>
    <w:p>
      <w:pPr>
        <w:spacing w:line="360" w:lineRule="auto"/>
        <w:rPr>
          <w:rFonts w:ascii="仿宋_GB2312" w:hAnsi="楷体" w:eastAsia="仿宋_GB2312"/>
          <w:color w:val="auto"/>
          <w:sz w:val="24"/>
          <w:szCs w:val="28"/>
        </w:rPr>
      </w:pPr>
      <w:r>
        <w:rPr>
          <w:rFonts w:hint="eastAsia" w:ascii="仿宋_GB2312" w:hAnsi="楷体" w:eastAsia="仿宋_GB2312"/>
          <w:color w:val="auto"/>
          <w:sz w:val="24"/>
          <w:szCs w:val="28"/>
        </w:rPr>
        <w:t>（一）总目标：</w:t>
      </w:r>
    </w:p>
    <w:p>
      <w:pPr>
        <w:spacing w:line="360" w:lineRule="auto"/>
        <w:rPr>
          <w:rFonts w:ascii="仿宋_GB2312" w:hAnsi="楷体" w:eastAsia="仿宋_GB2312"/>
          <w:color w:val="auto"/>
          <w:sz w:val="24"/>
          <w:szCs w:val="28"/>
        </w:rPr>
      </w:pPr>
      <w:r>
        <w:rPr>
          <w:rFonts w:hint="eastAsia" w:ascii="仿宋_GB2312" w:hAnsi="楷体" w:eastAsia="仿宋_GB2312"/>
          <w:color w:val="auto"/>
          <w:sz w:val="24"/>
          <w:szCs w:val="28"/>
        </w:rPr>
        <w:t>推进学校德育工作生态链建设，从制度、队伍、活动、环境、课程等方面着手，让德育工作中的各个环节产生化学反应，形成联动机制，成为一个互相促进、紧密联结、健康循环的德育生态系统，推进学校德育工作的健康可持续发展，实现立德树人的根本目标。</w:t>
      </w:r>
    </w:p>
    <w:p>
      <w:pPr>
        <w:spacing w:line="360" w:lineRule="auto"/>
        <w:rPr>
          <w:rFonts w:ascii="仿宋_GB2312" w:hAnsi="楷体" w:eastAsia="仿宋_GB2312"/>
          <w:color w:val="auto"/>
          <w:sz w:val="24"/>
          <w:szCs w:val="28"/>
        </w:rPr>
      </w:pPr>
      <w:r>
        <w:rPr>
          <w:rFonts w:hint="eastAsia" w:ascii="仿宋_GB2312" w:hAnsi="楷体" w:eastAsia="仿宋_GB2312"/>
          <w:color w:val="auto"/>
          <w:sz w:val="24"/>
          <w:szCs w:val="28"/>
        </w:rPr>
        <w:t>（二）具体目标：</w:t>
      </w:r>
    </w:p>
    <w:p>
      <w:pPr>
        <w:spacing w:line="360" w:lineRule="auto"/>
        <w:rPr>
          <w:rFonts w:ascii="仿宋_GB2312" w:hAnsi="楷体" w:eastAsia="仿宋_GB2312"/>
          <w:color w:val="auto"/>
          <w:sz w:val="24"/>
          <w:szCs w:val="28"/>
        </w:rPr>
      </w:pPr>
      <w:r>
        <w:rPr>
          <w:rFonts w:hint="eastAsia" w:ascii="仿宋_GB2312" w:hAnsi="楷体" w:eastAsia="仿宋_GB2312"/>
          <w:b/>
          <w:bCs/>
          <w:color w:val="auto"/>
          <w:sz w:val="24"/>
          <w:szCs w:val="28"/>
        </w:rPr>
        <w:t>文化建设</w:t>
      </w:r>
      <w:r>
        <w:rPr>
          <w:rFonts w:hint="eastAsia" w:ascii="仿宋_GB2312" w:hAnsi="楷体" w:eastAsia="仿宋_GB2312"/>
          <w:color w:val="auto"/>
          <w:sz w:val="24"/>
          <w:szCs w:val="28"/>
        </w:rPr>
        <w:t>：打造德育文化品牌化,推动优质德育文化符号创建，以“典雅、共长、前瞻”为特征，挖掘、完善教室的文化特色与育人价值。</w:t>
      </w:r>
    </w:p>
    <w:p>
      <w:pPr>
        <w:spacing w:line="360" w:lineRule="auto"/>
        <w:rPr>
          <w:rFonts w:ascii="仿宋_GB2312" w:hAnsi="楷体" w:eastAsia="仿宋_GB2312"/>
          <w:color w:val="auto"/>
          <w:sz w:val="24"/>
          <w:szCs w:val="28"/>
        </w:rPr>
      </w:pPr>
      <w:r>
        <w:rPr>
          <w:rFonts w:hint="eastAsia" w:ascii="仿宋_GB2312" w:hAnsi="楷体" w:eastAsia="仿宋_GB2312"/>
          <w:b/>
          <w:bCs/>
          <w:color w:val="auto"/>
          <w:sz w:val="24"/>
          <w:szCs w:val="28"/>
        </w:rPr>
        <w:t>课程建设</w:t>
      </w:r>
      <w:r>
        <w:rPr>
          <w:rFonts w:hint="eastAsia" w:ascii="仿宋_GB2312" w:hAnsi="楷体" w:eastAsia="仿宋_GB2312"/>
          <w:color w:val="auto"/>
          <w:sz w:val="24"/>
          <w:szCs w:val="28"/>
        </w:rPr>
        <w:t>：推动德育课程序列化，建设弘雅德育校本课程体系。结合课题研究及活动开展，推动红色文化、传统文化和能力提升这三大德育校本课程的开发实施，具体做到课程内容成序列、课程实施有推进、课程评价成体系。</w:t>
      </w:r>
    </w:p>
    <w:p>
      <w:pPr>
        <w:spacing w:line="360" w:lineRule="auto"/>
        <w:rPr>
          <w:rFonts w:ascii="仿宋_GB2312" w:hAnsi="楷体" w:eastAsia="仿宋_GB2312"/>
          <w:color w:val="auto"/>
          <w:sz w:val="24"/>
          <w:szCs w:val="28"/>
        </w:rPr>
      </w:pPr>
      <w:r>
        <w:rPr>
          <w:rFonts w:hint="eastAsia" w:ascii="仿宋_GB2312" w:hAnsi="楷体" w:eastAsia="仿宋_GB2312"/>
          <w:b/>
          <w:bCs/>
          <w:color w:val="auto"/>
          <w:sz w:val="24"/>
          <w:szCs w:val="28"/>
        </w:rPr>
        <w:t>教师发展：</w:t>
      </w:r>
      <w:r>
        <w:rPr>
          <w:rFonts w:hint="eastAsia" w:ascii="仿宋_GB2312" w:hAnsi="楷体" w:eastAsia="仿宋_GB2312"/>
          <w:color w:val="auto"/>
          <w:sz w:val="24"/>
          <w:szCs w:val="28"/>
        </w:rPr>
        <w:t>推动德育师资优质化，建立有信念、有思想、有能力的德育队伍，促进德育队伍结构转型升级。加强德育队伍的综合素质建设，加强心理健康教育、劳动教育专兼职教师培训，切实发挥心理健康教育与劳动教育作用。加强班主任专业发展，培养一批具有影响力的班主任与辅导员。</w:t>
      </w:r>
    </w:p>
    <w:p>
      <w:pPr>
        <w:spacing w:line="360" w:lineRule="auto"/>
        <w:rPr>
          <w:rFonts w:ascii="仿宋_GB2312" w:hAnsi="楷体" w:eastAsia="仿宋_GB2312"/>
          <w:color w:val="auto"/>
          <w:sz w:val="24"/>
          <w:szCs w:val="28"/>
        </w:rPr>
      </w:pPr>
    </w:p>
    <w:p>
      <w:pPr>
        <w:spacing w:line="360" w:lineRule="auto"/>
        <w:rPr>
          <w:rFonts w:ascii="仿宋_GB2312" w:hAnsi="楷体" w:eastAsia="仿宋_GB2312"/>
          <w:color w:val="auto"/>
          <w:sz w:val="24"/>
          <w:szCs w:val="28"/>
        </w:rPr>
      </w:pPr>
      <w:r>
        <w:rPr>
          <w:rFonts w:hint="eastAsia" w:ascii="仿宋_GB2312" w:hAnsi="楷体" w:eastAsia="仿宋_GB2312"/>
          <w:b/>
          <w:bCs/>
          <w:color w:val="auto"/>
          <w:sz w:val="24"/>
          <w:szCs w:val="28"/>
        </w:rPr>
        <w:t>学生发展：</w:t>
      </w:r>
      <w:r>
        <w:rPr>
          <w:rFonts w:hint="eastAsia" w:ascii="仿宋_GB2312" w:hAnsi="楷体" w:eastAsia="仿宋_GB2312"/>
          <w:color w:val="auto"/>
          <w:sz w:val="24"/>
          <w:szCs w:val="28"/>
        </w:rPr>
        <w:t>推动德育文化校本化，培育学生弘雅品格，完善学生评价体系。即培育文雅、智慧、坚韧的学生，做到有目标细化，有活动推进，有品格评价。结合学校品格提升项目《培育学生弘雅品格的多维德育场域建构》推进，在德育场域构建中培育学生弘雅品格。紧扣学校文化特色，围绕“文雅、智慧、坚韧”的学生弘雅品格养成，进行教育评价变革。</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三、发展措施：</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（一）</w:t>
      </w:r>
      <w:r>
        <w:rPr>
          <w:rFonts w:hint="eastAsia" w:ascii="仿宋_GB2312" w:hAnsi="楷体" w:eastAsia="仿宋_GB2312"/>
          <w:b/>
          <w:bCs/>
          <w:color w:val="auto"/>
          <w:sz w:val="24"/>
          <w:szCs w:val="28"/>
        </w:rPr>
        <w:t>文化建设——打造特色鲜明的德育文化符号，提升环境育人力。</w:t>
      </w:r>
    </w:p>
    <w:p>
      <w:pPr>
        <w:spacing w:line="360" w:lineRule="auto"/>
        <w:rPr>
          <w:rFonts w:hint="eastAsia" w:ascii="仿宋_GB2312" w:hAnsi="楷体" w:eastAsia="仿宋_GB2312"/>
          <w:color w:val="auto"/>
          <w:sz w:val="24"/>
          <w:szCs w:val="28"/>
        </w:rPr>
      </w:pPr>
      <w:r>
        <w:rPr>
          <w:rFonts w:hint="eastAsia" w:ascii="仿宋_GB2312" w:hAnsi="楷体" w:eastAsia="仿宋_GB2312"/>
          <w:b/>
          <w:bCs/>
          <w:color w:val="auto"/>
          <w:sz w:val="24"/>
          <w:szCs w:val="28"/>
        </w:rPr>
        <w:t>（</w:t>
      </w:r>
      <w:r>
        <w:rPr>
          <w:rFonts w:ascii="仿宋_GB2312" w:hAnsi="楷体" w:eastAsia="仿宋_GB2312"/>
          <w:b/>
          <w:bCs/>
          <w:color w:val="auto"/>
          <w:sz w:val="24"/>
          <w:szCs w:val="28"/>
        </w:rPr>
        <w:t>1</w:t>
      </w:r>
      <w:r>
        <w:rPr>
          <w:rFonts w:hint="eastAsia" w:ascii="仿宋_GB2312" w:hAnsi="楷体" w:eastAsia="仿宋_GB2312"/>
          <w:b/>
          <w:bCs/>
          <w:color w:val="auto"/>
          <w:sz w:val="24"/>
          <w:szCs w:val="28"/>
        </w:rPr>
        <w:t>）塑造积极育人环境，争创优品班级。</w:t>
      </w:r>
      <w:r>
        <w:rPr>
          <w:rFonts w:hint="eastAsia" w:ascii="仿宋_GB2312" w:hAnsi="楷体" w:eastAsia="仿宋_GB2312"/>
          <w:color w:val="auto"/>
          <w:sz w:val="24"/>
          <w:szCs w:val="28"/>
        </w:rPr>
        <w:t>围绕新优质学校创建这一重点工作，因地制宜，塑造积极德育文化环境，重点优化各个班级净化、美化工作，创设一个“时时受教育，处处受感染”的德育场。以契合成长阶段、感悟多彩生活、传承中华优秀传统文化为关键要素，完善班级文化，尤其关注起始年段幼小衔接班级文化建设，以场域整合、深度体验、涵养底蕴为发展路径，加强落实学生常规培养，以班级视角建构大德育体系，以一班一品彰显学生全面发展的德育生态。</w:t>
      </w:r>
    </w:p>
    <w:p>
      <w:pPr>
        <w:spacing w:line="360" w:lineRule="auto"/>
        <w:rPr>
          <w:rFonts w:ascii="仿宋_GB2312" w:hAnsi="楷体" w:eastAsia="仿宋_GB2312"/>
          <w:color w:val="auto"/>
          <w:sz w:val="24"/>
          <w:szCs w:val="28"/>
        </w:rPr>
      </w:pPr>
      <w:r>
        <w:rPr>
          <w:rFonts w:hint="eastAsia" w:ascii="仿宋_GB2312" w:hAnsi="楷体" w:eastAsia="仿宋_GB2312"/>
          <w:b/>
          <w:bCs/>
          <w:color w:val="auto"/>
          <w:sz w:val="24"/>
          <w:szCs w:val="28"/>
        </w:rPr>
        <w:t>（2）</w:t>
      </w:r>
      <w:r>
        <w:rPr>
          <w:rFonts w:hint="eastAsia" w:ascii="仿宋_GB2312" w:hAnsi="楷体" w:eastAsia="仿宋_GB2312"/>
          <w:b/>
          <w:bCs/>
          <w:color w:val="auto"/>
          <w:sz w:val="24"/>
          <w:szCs w:val="28"/>
          <w:shd w:val="pct10" w:color="auto" w:fill="FFFFFF"/>
        </w:rPr>
        <w:t>建设活动阵地，焕新有我之境。</w:t>
      </w:r>
      <w:r>
        <w:rPr>
          <w:rFonts w:hint="eastAsia" w:ascii="仿宋_GB2312" w:hAnsi="楷体" w:eastAsia="仿宋_GB2312"/>
          <w:color w:val="auto"/>
          <w:sz w:val="24"/>
          <w:szCs w:val="28"/>
        </w:rPr>
        <w:t>以市级品格提升项目《培育弘雅品格的多维德育场建构》为抓手，更新完善弘雅品格多维场域建构，基于儿童体验，融入劳动、心理健康、融合教育、思政元素，丰富楼梯长廊文化，构建有我之境的德育场，化境育人，实现儿童德性的更新迭代。</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（二）教师培养-</w:t>
      </w:r>
      <w:r>
        <w:rPr>
          <w:rFonts w:ascii="仿宋_GB2312" w:hAnsi="楷体" w:eastAsia="仿宋_GB2312"/>
          <w:b/>
          <w:bCs/>
          <w:color w:val="auto"/>
          <w:sz w:val="24"/>
          <w:szCs w:val="28"/>
        </w:rPr>
        <w:t>-</w:t>
      </w:r>
      <w:r>
        <w:rPr>
          <w:rFonts w:hint="eastAsia" w:ascii="仿宋_GB2312" w:hAnsi="楷体" w:eastAsia="仿宋_GB2312"/>
          <w:b/>
          <w:bCs/>
          <w:color w:val="auto"/>
          <w:sz w:val="24"/>
          <w:szCs w:val="28"/>
        </w:rPr>
        <w:t>组建优质德育专业队伍，强化队伍育人力</w:t>
      </w:r>
    </w:p>
    <w:p>
      <w:pPr>
        <w:spacing w:line="360" w:lineRule="auto"/>
        <w:rPr>
          <w:rFonts w:ascii="仿宋_GB2312" w:hAnsi="楷体" w:eastAsia="仿宋_GB2312"/>
          <w:color w:val="auto"/>
          <w:sz w:val="24"/>
          <w:szCs w:val="28"/>
        </w:rPr>
      </w:pPr>
      <w:r>
        <w:rPr>
          <w:rFonts w:hint="eastAsia" w:ascii="仿宋_GB2312" w:hAnsi="楷体" w:eastAsia="仿宋_GB2312"/>
          <w:color w:val="auto"/>
          <w:sz w:val="24"/>
          <w:szCs w:val="28"/>
        </w:rPr>
        <w:t>进一步建立育人为本、德育为先的德育工作体系，以建设高素质德育队伍为核心，构建“一体两翼四驱动”育人专业队伍培养体系，建设和谐师生关系，打造可持续发展有特色的班级生态。</w:t>
      </w:r>
    </w:p>
    <w:p>
      <w:pPr>
        <w:spacing w:line="360" w:lineRule="auto"/>
        <w:rPr>
          <w:rFonts w:ascii="仿宋_GB2312" w:hAnsi="楷体" w:eastAsia="仿宋_GB2312"/>
          <w:color w:val="auto"/>
          <w:sz w:val="24"/>
          <w:szCs w:val="28"/>
        </w:rPr>
      </w:pPr>
      <w:r>
        <w:rPr>
          <w:rFonts w:hint="eastAsia" w:ascii="仿宋_GB2312" w:hAnsi="楷体" w:eastAsia="仿宋_GB2312"/>
          <w:b/>
          <w:bCs/>
          <w:color w:val="auto"/>
          <w:sz w:val="24"/>
          <w:szCs w:val="28"/>
        </w:rPr>
        <w:t>（1）</w:t>
      </w:r>
      <w:r>
        <w:rPr>
          <w:rFonts w:hint="eastAsia" w:ascii="仿宋_GB2312" w:hAnsi="楷体" w:eastAsia="仿宋_GB2312"/>
          <w:b/>
          <w:bCs/>
          <w:color w:val="auto"/>
          <w:sz w:val="24"/>
          <w:szCs w:val="28"/>
          <w:shd w:val="pct10" w:color="auto" w:fill="FFFFFF"/>
        </w:rPr>
        <w:t>“一体”推进，扎实日常研究。</w:t>
      </w:r>
      <w:r>
        <w:rPr>
          <w:rFonts w:hint="eastAsia" w:ascii="仿宋_GB2312" w:hAnsi="楷体" w:eastAsia="仿宋_GB2312"/>
          <w:color w:val="auto"/>
          <w:sz w:val="24"/>
          <w:szCs w:val="28"/>
        </w:rPr>
        <w:t>即为借助班队研究日，扎实推进省级少先队课题“指向培育红孩子的少先队活动研究”和区德育课题“情境化互通体验式家长课程开发与研究”，开展班主任工作专业阅读沙龙和课堂研讨各两次，每月开展一次爱生故事分享会， 以纵向年级组团队和横向子项目组相结合的研究组织推动日常主题研究活动，带动班主任全员卷入项目研究。</w:t>
      </w:r>
    </w:p>
    <w:p>
      <w:pPr>
        <w:spacing w:line="360" w:lineRule="auto"/>
        <w:rPr>
          <w:rFonts w:ascii="仿宋_GB2312" w:hAnsi="楷体" w:eastAsia="仿宋_GB2312"/>
          <w:color w:val="auto"/>
          <w:sz w:val="24"/>
          <w:szCs w:val="28"/>
        </w:rPr>
      </w:pPr>
      <w:r>
        <w:rPr>
          <w:rFonts w:hint="eastAsia" w:ascii="仿宋_GB2312" w:hAnsi="楷体" w:eastAsia="仿宋_GB2312"/>
          <w:b/>
          <w:bCs/>
          <w:color w:val="auto"/>
          <w:sz w:val="24"/>
          <w:szCs w:val="28"/>
        </w:rPr>
        <w:t>（2）</w:t>
      </w:r>
      <w:r>
        <w:rPr>
          <w:rFonts w:hint="eastAsia" w:ascii="仿宋_GB2312" w:hAnsi="楷体" w:eastAsia="仿宋_GB2312"/>
          <w:b/>
          <w:bCs/>
          <w:color w:val="auto"/>
          <w:sz w:val="24"/>
          <w:szCs w:val="28"/>
          <w:shd w:val="pct10" w:color="auto" w:fill="FFFFFF"/>
        </w:rPr>
        <w:t>“两翼”驱动，开拓发展新域。</w:t>
      </w:r>
      <w:r>
        <w:rPr>
          <w:rFonts w:hint="eastAsia" w:ascii="仿宋_GB2312" w:hAnsi="楷体" w:eastAsia="仿宋_GB2312"/>
          <w:color w:val="auto"/>
          <w:sz w:val="24"/>
          <w:szCs w:val="28"/>
        </w:rPr>
        <w:t>“两翼”即为劳动教育、思政教育为两翼，开设劳动课程，拓宽班主任发展空间，同一阵地中实现不同方向的成长，将重点培育与全面培养有效结合，唤起全体班主任成长的自我觉醒与行动自觉。</w:t>
      </w:r>
    </w:p>
    <w:p>
      <w:pPr>
        <w:spacing w:line="360" w:lineRule="auto"/>
        <w:rPr>
          <w:rFonts w:ascii="仿宋_GB2312" w:hAnsi="楷体" w:eastAsia="仿宋_GB2312"/>
          <w:color w:val="auto"/>
          <w:sz w:val="24"/>
          <w:szCs w:val="28"/>
        </w:rPr>
      </w:pPr>
      <w:r>
        <w:rPr>
          <w:rFonts w:hint="eastAsia" w:ascii="仿宋_GB2312" w:hAnsi="楷体" w:eastAsia="仿宋_GB2312"/>
          <w:b/>
          <w:bCs/>
          <w:color w:val="auto"/>
          <w:sz w:val="24"/>
          <w:szCs w:val="28"/>
        </w:rPr>
        <w:t>（3）</w:t>
      </w:r>
      <w:r>
        <w:rPr>
          <w:rFonts w:hint="eastAsia" w:ascii="仿宋_GB2312" w:hAnsi="楷体" w:eastAsia="仿宋_GB2312"/>
          <w:b/>
          <w:bCs/>
          <w:color w:val="auto"/>
          <w:sz w:val="24"/>
          <w:szCs w:val="28"/>
          <w:shd w:val="pct10" w:color="auto" w:fill="FFFFFF"/>
        </w:rPr>
        <w:t>四级联动，赋能专业成长。</w:t>
      </w:r>
      <w:r>
        <w:rPr>
          <w:rFonts w:hint="eastAsia" w:ascii="仿宋_GB2312" w:hAnsi="楷体" w:eastAsia="仿宋_GB2312"/>
          <w:color w:val="auto"/>
          <w:sz w:val="24"/>
          <w:szCs w:val="28"/>
        </w:rPr>
        <w:t>“四驱动”以市、区、校三级名班主任工作室、班主任青蓝结对工程为平台，为班主任成长搭建平台，充分发挥传帮带作用，为班主任梯队建设打好基础，提升队伍的综合育人力。</w:t>
      </w:r>
    </w:p>
    <w:p>
      <w:pPr>
        <w:spacing w:line="360" w:lineRule="auto"/>
        <w:rPr>
          <w:rFonts w:ascii="仿宋_GB2312" w:hAnsi="楷体" w:eastAsia="仿宋_GB2312"/>
          <w:color w:val="auto"/>
          <w:sz w:val="24"/>
          <w:szCs w:val="28"/>
        </w:rPr>
      </w:pPr>
      <w:r>
        <w:rPr>
          <w:rFonts w:hint="eastAsia" w:ascii="仿宋_GB2312" w:hAnsi="楷体" w:eastAsia="仿宋_GB2312"/>
          <w:b/>
          <w:bCs/>
          <w:color w:val="auto"/>
          <w:sz w:val="24"/>
          <w:szCs w:val="28"/>
        </w:rPr>
        <w:t>（4）</w:t>
      </w:r>
      <w:r>
        <w:rPr>
          <w:rFonts w:hint="eastAsia" w:ascii="仿宋_GB2312" w:hAnsi="楷体" w:eastAsia="仿宋_GB2312"/>
          <w:b/>
          <w:bCs/>
          <w:color w:val="auto"/>
          <w:sz w:val="24"/>
          <w:szCs w:val="28"/>
          <w:shd w:val="pct10" w:color="auto" w:fill="FFFFFF"/>
        </w:rPr>
        <w:t>协同育人，搭建学习实践场</w:t>
      </w:r>
      <w:r>
        <w:rPr>
          <w:rFonts w:hint="eastAsia" w:ascii="仿宋_GB2312" w:hAnsi="楷体" w:eastAsia="仿宋_GB2312"/>
          <w:color w:val="auto"/>
          <w:sz w:val="24"/>
          <w:szCs w:val="28"/>
        </w:rPr>
        <w:t>。在课程内容开发上，继续与家长、教师志愿者合作，依托“抖音式”家长成长课程的开发项目研究，丰富课程资源，与社区合作，开发经典家庭教育课程。在课程实施上，借助少儿玩伴团，搭建家长成长实践体验场。以学校为基点，以社区为辅助阵地，进一步将每个年级的家长会也纳入课程体系，实现以学期为周期的家长课程的长程设计与推进，形成各类范式，加强课程有效度反馈，形成我校家长成长课程的课程范式。</w:t>
      </w:r>
    </w:p>
    <w:p>
      <w:pPr>
        <w:spacing w:line="360" w:lineRule="auto"/>
        <w:ind w:firstLine="4337" w:firstLineChars="1800"/>
        <w:rPr>
          <w:rFonts w:hint="eastAsia" w:ascii="仿宋_GB2312" w:hAnsi="楷体" w:eastAsia="仿宋_GB2312"/>
          <w:b/>
          <w:bCs/>
          <w:color w:val="auto"/>
          <w:sz w:val="24"/>
          <w:szCs w:val="28"/>
        </w:rPr>
      </w:pPr>
      <w:r>
        <w:rPr>
          <w:rFonts w:hint="eastAsia" w:ascii="仿宋_GB2312" w:hAnsi="楷体" w:eastAsia="仿宋_GB2312"/>
          <w:b/>
          <w:bCs/>
          <w:color w:val="auto"/>
          <w:sz w:val="24"/>
          <w:szCs w:val="28"/>
        </w:rPr>
        <w:t>家长会安排表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0"/>
        <w:gridCol w:w="3805"/>
        <w:gridCol w:w="3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op w:val="single" w:color="000000" w:sz="4" w:space="0"/>
              <w:left w:val="single" w:color="000000" w:sz="4" w:space="0"/>
              <w:bottom w:val="single" w:color="000000" w:sz="4" w:space="0"/>
              <w:right w:val="single" w:color="000000" w:sz="4" w:space="0"/>
            </w:tcBorders>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时间</w:t>
            </w:r>
          </w:p>
        </w:tc>
        <w:tc>
          <w:tcPr>
            <w:tcW w:w="3805" w:type="dxa"/>
            <w:tcBorders>
              <w:top w:val="single" w:color="000000" w:sz="4" w:space="0"/>
              <w:left w:val="single" w:color="000000" w:sz="4" w:space="0"/>
              <w:bottom w:val="single" w:color="000000" w:sz="4" w:space="0"/>
              <w:right w:val="single" w:color="000000" w:sz="4" w:space="0"/>
            </w:tcBorders>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年级</w:t>
            </w:r>
          </w:p>
        </w:tc>
        <w:tc>
          <w:tcPr>
            <w:tcW w:w="3831" w:type="dxa"/>
            <w:tcBorders>
              <w:top w:val="single" w:color="000000" w:sz="4" w:space="0"/>
              <w:left w:val="single" w:color="000000" w:sz="4" w:space="0"/>
              <w:bottom w:val="single" w:color="000000" w:sz="4" w:space="0"/>
              <w:right w:val="single" w:color="000000" w:sz="4" w:space="0"/>
            </w:tcBorders>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op w:val="single" w:color="000000" w:sz="4" w:space="0"/>
              <w:left w:val="single" w:color="000000" w:sz="4" w:space="0"/>
              <w:bottom w:val="single" w:color="000000" w:sz="4" w:space="0"/>
              <w:right w:val="single" w:color="000000" w:sz="4" w:space="0"/>
            </w:tcBorders>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9月</w:t>
            </w:r>
          </w:p>
        </w:tc>
        <w:tc>
          <w:tcPr>
            <w:tcW w:w="3805" w:type="dxa"/>
            <w:tcBorders>
              <w:top w:val="single" w:color="000000" w:sz="4" w:space="0"/>
              <w:left w:val="single" w:color="000000" w:sz="4" w:space="0"/>
              <w:bottom w:val="single" w:color="000000" w:sz="4" w:space="0"/>
              <w:right w:val="single" w:color="000000" w:sz="4" w:space="0"/>
            </w:tcBorders>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一、三、六</w:t>
            </w:r>
          </w:p>
        </w:tc>
        <w:tc>
          <w:tcPr>
            <w:tcW w:w="383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结合各年级组具体需求而定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op w:val="single" w:color="000000" w:sz="4" w:space="0"/>
              <w:left w:val="single" w:color="000000" w:sz="4" w:space="0"/>
              <w:bottom w:val="single" w:color="000000" w:sz="4" w:space="0"/>
              <w:right w:val="single" w:color="000000" w:sz="4" w:space="0"/>
            </w:tcBorders>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1</w:t>
            </w:r>
            <w:r>
              <w:rPr>
                <w:rFonts w:ascii="仿宋_GB2312" w:hAnsi="楷体" w:eastAsia="仿宋_GB2312"/>
                <w:b/>
                <w:bCs/>
                <w:color w:val="auto"/>
                <w:sz w:val="24"/>
                <w:szCs w:val="28"/>
              </w:rPr>
              <w:t>0</w:t>
            </w:r>
            <w:r>
              <w:rPr>
                <w:rFonts w:hint="eastAsia" w:ascii="仿宋_GB2312" w:hAnsi="楷体" w:eastAsia="仿宋_GB2312"/>
                <w:b/>
                <w:bCs/>
                <w:color w:val="auto"/>
                <w:sz w:val="24"/>
                <w:szCs w:val="28"/>
              </w:rPr>
              <w:t>月</w:t>
            </w:r>
          </w:p>
        </w:tc>
        <w:tc>
          <w:tcPr>
            <w:tcW w:w="3805" w:type="dxa"/>
            <w:tcBorders>
              <w:top w:val="single" w:color="000000" w:sz="4" w:space="0"/>
              <w:left w:val="single" w:color="000000" w:sz="4" w:space="0"/>
              <w:bottom w:val="single" w:color="000000" w:sz="4" w:space="0"/>
              <w:right w:val="single" w:color="000000" w:sz="4" w:space="0"/>
            </w:tcBorders>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二、四、五</w:t>
            </w:r>
          </w:p>
        </w:tc>
        <w:tc>
          <w:tcPr>
            <w:tcW w:w="38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_GB2312" w:hAnsi="楷体" w:eastAsia="仿宋_GB2312"/>
                <w:b/>
                <w:bCs/>
                <w:color w:val="auto"/>
                <w:sz w:val="24"/>
                <w:szCs w:val="28"/>
              </w:rPr>
            </w:pPr>
          </w:p>
        </w:tc>
      </w:tr>
    </w:tbl>
    <w:p>
      <w:pPr>
        <w:spacing w:line="360" w:lineRule="auto"/>
        <w:rPr>
          <w:rFonts w:hint="eastAsia" w:ascii="仿宋_GB2312" w:hAnsi="楷体" w:eastAsia="仿宋_GB2312"/>
          <w:b/>
          <w:bCs/>
          <w:color w:val="auto"/>
          <w:sz w:val="24"/>
          <w:szCs w:val="28"/>
        </w:rPr>
      </w:pP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（三）学生成长</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1、启润丰富多元德育课程，凸显课程育人力</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本学期充分发挥课堂教学主阵地作用，把劳动实践教育、心理健康教育、法治安全教育纳入德育课程，将德育内容渗透到教育教学的全过程。</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shd w:val="pct10" w:color="auto" w:fill="FFFFFF"/>
        </w:rPr>
        <w:t>（1）心育花开，深化服务联盟。</w:t>
      </w:r>
      <w:r>
        <w:rPr>
          <w:rFonts w:hint="eastAsia" w:ascii="仿宋_GB2312" w:hAnsi="楷体" w:eastAsia="仿宋_GB2312"/>
          <w:b/>
          <w:bCs/>
          <w:color w:val="auto"/>
          <w:sz w:val="24"/>
          <w:szCs w:val="28"/>
        </w:rPr>
        <w:t>关注心理健康教育课程的实施，将心理健康教育贯穿教育教学全过程，采取团体辅导、心理训练、游戏辅导、专题讲座等多种形式，开展心理健康教育和团体心理辅导活动，建立个别的心理发展与诊疗档案，实行“一人一档，一人一策、一人一帮”。</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shd w:val="pct10" w:color="auto" w:fill="FFFFFF"/>
        </w:rPr>
        <w:t>（2）思政引路，筑牢思想根基。</w:t>
      </w:r>
      <w:r>
        <w:rPr>
          <w:rFonts w:hint="eastAsia" w:ascii="仿宋_GB2312" w:hAnsi="楷体" w:eastAsia="仿宋_GB2312"/>
          <w:b/>
          <w:bCs/>
          <w:color w:val="auto"/>
          <w:sz w:val="24"/>
          <w:szCs w:val="28"/>
        </w:rPr>
        <w:t>依托新北区思政一体化联盟建设，依托周二下午学科研究日进行课堂教学研究，用好用活《习近平新时代中国特色社会主义思想学生读本》，开展红色故事宣讲、法律知识竞赛、学宪法讲宪法、模拟法庭等系列化的思政主题教育活动。将道法研究与班队研究相整合，明晰思政教学目标、教学方式，组建学校道法学科教研联盟。</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shd w:val="pct10" w:color="auto" w:fill="FFFFFF"/>
        </w:rPr>
        <w:t>（3）多方护航，推进家庭教育指导</w:t>
      </w:r>
      <w:r>
        <w:rPr>
          <w:rFonts w:hint="eastAsia" w:ascii="仿宋_GB2312" w:hAnsi="楷体" w:eastAsia="仿宋_GB2312"/>
          <w:b/>
          <w:bCs/>
          <w:color w:val="auto"/>
          <w:sz w:val="24"/>
          <w:szCs w:val="28"/>
        </w:rPr>
        <w:t xml:space="preserve">。依托“少儿玩伴”课程的实施，以家校组建家校社共育导师团，打造校内外高度匹配的多维德育场阵地，建立班主任、家长和社会人士共同参与的弘雅共育生态圈，继续与龙虎街道各社区、企业加强联动，带动家长成长课程的建设，进一步提升协同育人效能。 </w:t>
      </w:r>
    </w:p>
    <w:p>
      <w:pPr>
        <w:spacing w:line="360" w:lineRule="auto"/>
        <w:rPr>
          <w:rFonts w:ascii="仿宋_GB2312" w:hAnsi="楷体" w:eastAsia="仿宋_GB2312"/>
          <w:b/>
          <w:bCs/>
          <w:color w:val="auto"/>
          <w:sz w:val="24"/>
          <w:szCs w:val="28"/>
          <w:shd w:val="pct10" w:color="auto" w:fill="FFFFFF"/>
        </w:rPr>
      </w:pPr>
      <w:r>
        <w:rPr>
          <w:rFonts w:hint="eastAsia" w:ascii="仿宋_GB2312" w:hAnsi="楷体" w:eastAsia="仿宋_GB2312"/>
          <w:b/>
          <w:bCs/>
          <w:color w:val="auto"/>
          <w:sz w:val="24"/>
          <w:szCs w:val="28"/>
          <w:shd w:val="pct10" w:color="auto" w:fill="FFFFFF"/>
        </w:rPr>
        <w:t>（4）多维评价，激发品格内觉形成。</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注重自我评价与外部评价相结合、综合评价与特色评价相结合，线上评价与线下评价相结合。整合学科教师、班主任和家长的意见，借助“班级优化大师”平台，综合考察每位学生在“文雅”“智慧”“坚韧”三方面的过程性表现，完善面向每位学生的十二级“弘雅美少年”奖章评价制度。在日常多维评价中激发学生“弘雅”品格的内觉形成。</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2、守正创新主题德育活动，实现活动育人力</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活动开展必须保证质量，要精心设计、围绕“喜迎二十大 筑梦向未来”主题系列活动，整合各方资源、线上线下联动，引导学生争做德智体美劳全面发展的强国复兴接班人。</w:t>
      </w:r>
    </w:p>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shd w:val="pct10" w:color="auto" w:fill="FFFFFF"/>
        </w:rPr>
        <w:t>（1）有序推进，开展主题长程活动。</w:t>
      </w:r>
      <w:r>
        <w:rPr>
          <w:rFonts w:hint="eastAsia" w:ascii="仿宋_GB2312" w:hAnsi="楷体" w:eastAsia="仿宋_GB2312"/>
          <w:b/>
          <w:bCs/>
          <w:color w:val="auto"/>
          <w:sz w:val="24"/>
          <w:szCs w:val="28"/>
        </w:rPr>
        <w:t>国旗童声“扣好人生第一粒扣子”主题教育、“学习新思想 做好接班人”主题活动、“八礼四仪”养成教育、“缤纷的冬日”、“七彩的夏日”以及文明校园创建等有机融合、整体推进。</w:t>
      </w:r>
    </w:p>
    <w:p>
      <w:pPr>
        <w:spacing w:line="360" w:lineRule="auto"/>
        <w:rPr>
          <w:rFonts w:hint="eastAsia" w:ascii="仿宋_GB2312" w:hAnsi="楷体" w:eastAsia="仿宋_GB2312"/>
          <w:b/>
          <w:bCs/>
          <w:color w:val="auto"/>
          <w:sz w:val="24"/>
          <w:szCs w:val="28"/>
        </w:rPr>
      </w:pPr>
      <w:r>
        <w:rPr>
          <w:rFonts w:hint="eastAsia" w:ascii="仿宋_GB2312" w:hAnsi="楷体" w:eastAsia="仿宋_GB2312"/>
          <w:b/>
          <w:bCs/>
          <w:color w:val="auto"/>
          <w:sz w:val="24"/>
          <w:szCs w:val="28"/>
          <w:shd w:val="pct10" w:color="auto" w:fill="FFFFFF"/>
        </w:rPr>
        <w:t>（2）优化完善，沿袭校园节日活动。</w:t>
      </w:r>
      <w:r>
        <w:rPr>
          <w:rFonts w:hint="eastAsia" w:ascii="仿宋_GB2312" w:hAnsi="楷体" w:eastAsia="仿宋_GB2312"/>
          <w:b/>
          <w:bCs/>
          <w:color w:val="auto"/>
          <w:sz w:val="24"/>
          <w:szCs w:val="28"/>
        </w:rPr>
        <w:t>完善学校主题文化节，打造“少儿国学迎新年”活动，以12月份为主要活动时间，开展“传统项目运动会、艺术节、国学迎新”等活动。在主题文化节中，引入“家、校、社、企、政”等多种资源，倡导“玩中学”，以评价促学习方式的变革，关注评价学生的综合素养。</w:t>
      </w:r>
    </w:p>
    <w:p>
      <w:pPr>
        <w:spacing w:line="360" w:lineRule="auto"/>
        <w:rPr>
          <w:rFonts w:hint="eastAsia" w:ascii="仿宋_GB2312" w:hAnsi="楷体" w:eastAsia="仿宋_GB2312"/>
          <w:b/>
          <w:bCs/>
          <w:color w:val="auto"/>
          <w:sz w:val="24"/>
          <w:szCs w:val="28"/>
        </w:rPr>
      </w:pPr>
      <w:r>
        <w:rPr>
          <w:rFonts w:hint="eastAsia" w:ascii="仿宋_GB2312" w:hAnsi="楷体" w:eastAsia="仿宋_GB2312"/>
          <w:b/>
          <w:bCs/>
          <w:color w:val="auto"/>
          <w:sz w:val="24"/>
          <w:szCs w:val="28"/>
          <w:shd w:val="pct10" w:color="auto" w:fill="FFFFFF"/>
        </w:rPr>
        <w:t>（3）点亮提升，精致两大品牌活动。</w:t>
      </w:r>
      <w:r>
        <w:rPr>
          <w:rFonts w:hint="eastAsia" w:ascii="仿宋_GB2312" w:hAnsi="楷体" w:eastAsia="仿宋_GB2312"/>
          <w:b/>
          <w:bCs/>
          <w:color w:val="auto"/>
          <w:sz w:val="24"/>
          <w:szCs w:val="28"/>
        </w:rPr>
        <w:t>每周一《国旗童声》以“循理德泽·强国有我”为主题，继续追求高品质。成立项目组，整体策划，系列架构，围绕热点育人主题，每次由一个班级策划组织展开，以微班会的形式推进，让《国旗童声》成为学校集体育人的重要平台，也成为各班展示中队特色文化建设的平台。周五中午弘雅小播客继续推进英雄中队创建，喜迎二十大，争做好队员，引导队员在真实活动中，自然链接真情感，强化活动主题。</w:t>
      </w:r>
    </w:p>
    <w:p>
      <w:pPr>
        <w:spacing w:line="360" w:lineRule="auto"/>
        <w:ind w:firstLine="482" w:firstLineChars="200"/>
        <w:rPr>
          <w:rFonts w:ascii="仿宋_GB2312" w:hAnsi="楷体" w:eastAsia="仿宋_GB2312"/>
          <w:b/>
          <w:bCs/>
          <w:color w:val="auto"/>
          <w:sz w:val="24"/>
          <w:szCs w:val="28"/>
        </w:rPr>
      </w:pPr>
      <w:r>
        <w:rPr>
          <w:rFonts w:hint="eastAsia" w:ascii="仿宋_GB2312" w:hAnsi="楷体" w:eastAsia="仿宋_GB2312"/>
          <w:b/>
          <w:bCs/>
          <w:color w:val="auto"/>
          <w:sz w:val="24"/>
          <w:szCs w:val="28"/>
        </w:rPr>
        <w:t>本学期，我们将结合新优质学校创建这一重大节点事件，深入推进市级品格提升项目《培育学生弘雅品格的多维德育场域建构》，促进《中小学德育工作指南》在我校的校本化扎实落地，汇聚家校社企政多方力量，整合多维德育场域资源，促进学生在有形可见的具体课程体验中得到德智体美劳全面发展，实现学校德育的跨越发展。</w:t>
      </w:r>
    </w:p>
    <w:p>
      <w:pPr>
        <w:spacing w:line="360" w:lineRule="auto"/>
        <w:rPr>
          <w:rFonts w:ascii="仿宋_GB2312" w:hAnsi="楷体" w:eastAsia="仿宋_GB2312"/>
          <w:b/>
          <w:bCs/>
          <w:color w:val="auto"/>
          <w:sz w:val="24"/>
          <w:szCs w:val="28"/>
        </w:rPr>
      </w:pPr>
    </w:p>
    <w:p>
      <w:pPr>
        <w:spacing w:line="360" w:lineRule="auto"/>
        <w:ind w:firstLine="3132" w:firstLineChars="1300"/>
        <w:rPr>
          <w:rFonts w:ascii="仿宋_GB2312" w:hAnsi="楷体" w:eastAsia="仿宋_GB2312"/>
          <w:b/>
          <w:bCs/>
          <w:color w:val="auto"/>
          <w:sz w:val="24"/>
          <w:szCs w:val="28"/>
        </w:rPr>
      </w:pPr>
    </w:p>
    <w:p>
      <w:pPr>
        <w:spacing w:line="360" w:lineRule="auto"/>
        <w:ind w:firstLine="3132" w:firstLineChars="1300"/>
        <w:rPr>
          <w:rFonts w:ascii="仿宋_GB2312" w:hAnsi="楷体" w:eastAsia="仿宋_GB2312"/>
          <w:b/>
          <w:bCs/>
          <w:color w:val="auto"/>
          <w:sz w:val="24"/>
          <w:szCs w:val="28"/>
        </w:rPr>
      </w:pPr>
    </w:p>
    <w:p>
      <w:pPr>
        <w:spacing w:line="360" w:lineRule="auto"/>
        <w:ind w:firstLine="3132" w:firstLineChars="1300"/>
        <w:rPr>
          <w:rFonts w:ascii="仿宋_GB2312" w:hAnsi="楷体" w:eastAsia="仿宋_GB2312"/>
          <w:b/>
          <w:bCs/>
          <w:color w:val="auto"/>
          <w:sz w:val="24"/>
          <w:szCs w:val="28"/>
        </w:rPr>
      </w:pPr>
    </w:p>
    <w:p>
      <w:pPr>
        <w:spacing w:line="360" w:lineRule="auto"/>
        <w:ind w:firstLine="3132" w:firstLineChars="1300"/>
        <w:rPr>
          <w:rFonts w:ascii="仿宋_GB2312" w:hAnsi="楷体" w:eastAsia="仿宋_GB2312"/>
          <w:b/>
          <w:bCs/>
          <w:color w:val="auto"/>
          <w:sz w:val="24"/>
          <w:szCs w:val="28"/>
        </w:rPr>
      </w:pPr>
    </w:p>
    <w:p>
      <w:pPr>
        <w:spacing w:line="360" w:lineRule="auto"/>
        <w:ind w:firstLine="3132" w:firstLineChars="1300"/>
        <w:rPr>
          <w:rFonts w:ascii="仿宋_GB2312" w:hAnsi="楷体" w:eastAsia="仿宋_GB2312"/>
          <w:b/>
          <w:bCs/>
          <w:color w:val="auto"/>
          <w:sz w:val="24"/>
          <w:szCs w:val="28"/>
        </w:rPr>
      </w:pPr>
      <w:r>
        <w:rPr>
          <w:rFonts w:hint="eastAsia" w:ascii="仿宋_GB2312" w:hAnsi="楷体" w:eastAsia="仿宋_GB2312"/>
          <w:b/>
          <w:bCs/>
          <w:color w:val="auto"/>
          <w:sz w:val="24"/>
          <w:szCs w:val="28"/>
        </w:rPr>
        <w:t>年级特色活动安排</w:t>
      </w:r>
    </w:p>
    <w:tbl>
      <w:tblPr>
        <w:tblStyle w:val="5"/>
        <w:tblpPr w:leftFromText="180" w:rightFromText="180" w:vertAnchor="text" w:horzAnchor="page" w:tblpX="1597" w:tblpY="19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790"/>
        <w:gridCol w:w="2308"/>
        <w:gridCol w:w="3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年级</w:t>
            </w:r>
          </w:p>
        </w:tc>
        <w:tc>
          <w:tcPr>
            <w:tcW w:w="1790"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主要育人价值</w:t>
            </w:r>
          </w:p>
        </w:tc>
        <w:tc>
          <w:tcPr>
            <w:tcW w:w="230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　　　视角</w:t>
            </w:r>
          </w:p>
        </w:tc>
        <w:tc>
          <w:tcPr>
            <w:tcW w:w="315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活动主题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一</w:t>
            </w:r>
          </w:p>
        </w:tc>
        <w:tc>
          <w:tcPr>
            <w:tcW w:w="1790" w:type="dxa"/>
            <w:vMerge w:val="restart"/>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　　　　</w:t>
            </w:r>
          </w:p>
          <w:p>
            <w:pPr>
              <w:spacing w:line="360" w:lineRule="auto"/>
              <w:jc w:val="center"/>
              <w:rPr>
                <w:rFonts w:ascii="仿宋_GB2312" w:hAnsi="楷体" w:eastAsia="仿宋_GB2312"/>
                <w:b/>
                <w:bCs/>
                <w:color w:val="auto"/>
                <w:sz w:val="24"/>
                <w:szCs w:val="28"/>
              </w:rPr>
            </w:pPr>
            <w:r>
              <w:rPr>
                <w:rFonts w:hint="eastAsia" w:ascii="仿宋_GB2312" w:hAnsi="楷体" w:eastAsia="仿宋_GB2312"/>
                <w:b/>
                <w:bCs/>
                <w:color w:val="auto"/>
                <w:sz w:val="24"/>
                <w:szCs w:val="28"/>
              </w:rPr>
              <w:t>文雅</w:t>
            </w:r>
          </w:p>
          <w:p>
            <w:pPr>
              <w:spacing w:line="360" w:lineRule="auto"/>
              <w:jc w:val="center"/>
              <w:rPr>
                <w:rFonts w:ascii="仿宋_GB2312" w:hAnsi="楷体" w:eastAsia="仿宋_GB2312"/>
                <w:b/>
                <w:bCs/>
                <w:color w:val="auto"/>
                <w:sz w:val="24"/>
                <w:szCs w:val="28"/>
              </w:rPr>
            </w:pPr>
            <w:r>
              <w:rPr>
                <w:rFonts w:hint="eastAsia" w:ascii="仿宋_GB2312" w:hAnsi="楷体" w:eastAsia="仿宋_GB2312"/>
                <w:b/>
                <w:bCs/>
                <w:color w:val="auto"/>
                <w:sz w:val="24"/>
                <w:szCs w:val="28"/>
              </w:rPr>
              <w:t>智慧</w:t>
            </w:r>
          </w:p>
          <w:p>
            <w:pPr>
              <w:spacing w:line="360" w:lineRule="auto"/>
              <w:jc w:val="center"/>
              <w:rPr>
                <w:rFonts w:ascii="仿宋_GB2312" w:hAnsi="楷体" w:eastAsia="仿宋_GB2312"/>
                <w:b/>
                <w:bCs/>
                <w:color w:val="auto"/>
                <w:sz w:val="24"/>
                <w:szCs w:val="28"/>
              </w:rPr>
            </w:pPr>
            <w:r>
              <w:rPr>
                <w:rFonts w:hint="eastAsia" w:ascii="仿宋_GB2312" w:hAnsi="楷体" w:eastAsia="仿宋_GB2312"/>
                <w:b/>
                <w:bCs/>
                <w:color w:val="auto"/>
                <w:sz w:val="24"/>
                <w:szCs w:val="28"/>
              </w:rPr>
              <w:t>坚韧</w:t>
            </w:r>
          </w:p>
        </w:tc>
        <w:tc>
          <w:tcPr>
            <w:tcW w:w="230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入学适应</w:t>
            </w:r>
          </w:p>
        </w:tc>
        <w:tc>
          <w:tcPr>
            <w:tcW w:w="315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我是神气小学生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二</w:t>
            </w:r>
          </w:p>
        </w:tc>
        <w:tc>
          <w:tcPr>
            <w:tcW w:w="1790" w:type="dxa"/>
            <w:vMerge w:val="continue"/>
          </w:tcPr>
          <w:p>
            <w:pPr>
              <w:spacing w:line="360" w:lineRule="auto"/>
              <w:rPr>
                <w:rFonts w:ascii="仿宋_GB2312" w:hAnsi="楷体" w:eastAsia="仿宋_GB2312"/>
                <w:b/>
                <w:bCs/>
                <w:color w:val="auto"/>
                <w:sz w:val="24"/>
                <w:szCs w:val="28"/>
              </w:rPr>
            </w:pPr>
          </w:p>
        </w:tc>
        <w:tc>
          <w:tcPr>
            <w:tcW w:w="230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岗位建设</w:t>
            </w:r>
          </w:p>
        </w:tc>
        <w:tc>
          <w:tcPr>
            <w:tcW w:w="315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我是岗位小能手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三</w:t>
            </w:r>
          </w:p>
        </w:tc>
        <w:tc>
          <w:tcPr>
            <w:tcW w:w="1790" w:type="dxa"/>
            <w:vMerge w:val="continue"/>
          </w:tcPr>
          <w:p>
            <w:pPr>
              <w:spacing w:line="360" w:lineRule="auto"/>
              <w:rPr>
                <w:rFonts w:ascii="仿宋_GB2312" w:hAnsi="楷体" w:eastAsia="仿宋_GB2312"/>
                <w:b/>
                <w:bCs/>
                <w:color w:val="auto"/>
                <w:sz w:val="24"/>
                <w:szCs w:val="28"/>
              </w:rPr>
            </w:pPr>
          </w:p>
        </w:tc>
        <w:tc>
          <w:tcPr>
            <w:tcW w:w="230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自理自立</w:t>
            </w:r>
          </w:p>
        </w:tc>
        <w:tc>
          <w:tcPr>
            <w:tcW w:w="315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我是生活小主人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四</w:t>
            </w:r>
          </w:p>
        </w:tc>
        <w:tc>
          <w:tcPr>
            <w:tcW w:w="1790" w:type="dxa"/>
            <w:vMerge w:val="continue"/>
          </w:tcPr>
          <w:p>
            <w:pPr>
              <w:spacing w:line="360" w:lineRule="auto"/>
              <w:rPr>
                <w:rFonts w:ascii="仿宋_GB2312" w:hAnsi="楷体" w:eastAsia="仿宋_GB2312"/>
                <w:b/>
                <w:bCs/>
                <w:color w:val="auto"/>
                <w:sz w:val="24"/>
                <w:szCs w:val="28"/>
              </w:rPr>
            </w:pPr>
          </w:p>
        </w:tc>
        <w:tc>
          <w:tcPr>
            <w:tcW w:w="230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学科融合</w:t>
            </w:r>
          </w:p>
        </w:tc>
        <w:tc>
          <w:tcPr>
            <w:tcW w:w="315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我是自然探究者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五</w:t>
            </w:r>
          </w:p>
        </w:tc>
        <w:tc>
          <w:tcPr>
            <w:tcW w:w="1790" w:type="dxa"/>
            <w:vMerge w:val="continue"/>
          </w:tcPr>
          <w:p>
            <w:pPr>
              <w:spacing w:line="360" w:lineRule="auto"/>
              <w:rPr>
                <w:rFonts w:ascii="仿宋_GB2312" w:hAnsi="楷体" w:eastAsia="仿宋_GB2312"/>
                <w:b/>
                <w:bCs/>
                <w:color w:val="auto"/>
                <w:sz w:val="24"/>
                <w:szCs w:val="28"/>
              </w:rPr>
            </w:pPr>
          </w:p>
        </w:tc>
        <w:tc>
          <w:tcPr>
            <w:tcW w:w="230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财商管理</w:t>
            </w:r>
          </w:p>
        </w:tc>
        <w:tc>
          <w:tcPr>
            <w:tcW w:w="315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我是理财小达人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六</w:t>
            </w:r>
          </w:p>
        </w:tc>
        <w:tc>
          <w:tcPr>
            <w:tcW w:w="1790" w:type="dxa"/>
            <w:vMerge w:val="continue"/>
          </w:tcPr>
          <w:p>
            <w:pPr>
              <w:spacing w:line="360" w:lineRule="auto"/>
              <w:rPr>
                <w:rFonts w:ascii="仿宋_GB2312" w:hAnsi="楷体" w:eastAsia="仿宋_GB2312"/>
                <w:b/>
                <w:bCs/>
                <w:color w:val="auto"/>
                <w:sz w:val="24"/>
                <w:szCs w:val="28"/>
              </w:rPr>
            </w:pPr>
          </w:p>
        </w:tc>
        <w:tc>
          <w:tcPr>
            <w:tcW w:w="230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职业体验</w:t>
            </w:r>
          </w:p>
        </w:tc>
        <w:tc>
          <w:tcPr>
            <w:tcW w:w="3158"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我是合格小公民</w:t>
            </w:r>
          </w:p>
        </w:tc>
      </w:tr>
    </w:tbl>
    <w:p>
      <w:pPr>
        <w:spacing w:line="360" w:lineRule="auto"/>
        <w:rPr>
          <w:rFonts w:ascii="仿宋_GB2312" w:hAnsi="楷体" w:eastAsia="仿宋_GB2312"/>
          <w:b/>
          <w:bCs/>
          <w:color w:val="auto"/>
          <w:sz w:val="24"/>
          <w:szCs w:val="28"/>
        </w:rPr>
      </w:pPr>
    </w:p>
    <w:p>
      <w:pPr>
        <w:spacing w:line="360" w:lineRule="auto"/>
        <w:ind w:firstLine="3132" w:firstLineChars="1300"/>
        <w:rPr>
          <w:rFonts w:ascii="仿宋_GB2312" w:hAnsi="楷体" w:eastAsia="仿宋_GB2312"/>
          <w:b/>
          <w:bCs/>
          <w:color w:val="auto"/>
          <w:sz w:val="24"/>
          <w:szCs w:val="28"/>
        </w:rPr>
      </w:pPr>
      <w:r>
        <w:rPr>
          <w:rFonts w:hint="eastAsia" w:ascii="仿宋_GB2312" w:hAnsi="楷体" w:eastAsia="仿宋_GB2312"/>
          <w:b/>
          <w:bCs/>
          <w:color w:val="auto"/>
          <w:sz w:val="24"/>
          <w:szCs w:val="28"/>
        </w:rPr>
        <w:t>各年级节气研究安排表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5"/>
        <w:gridCol w:w="992"/>
        <w:gridCol w:w="850"/>
        <w:gridCol w:w="851"/>
        <w:gridCol w:w="992"/>
        <w:gridCol w:w="992"/>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5" w:type="dxa"/>
            <w:shd w:val="clear" w:color="auto" w:fill="FFFFFF"/>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年级</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一</w:t>
            </w:r>
          </w:p>
        </w:tc>
        <w:tc>
          <w:tcPr>
            <w:tcW w:w="850"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二</w:t>
            </w:r>
          </w:p>
        </w:tc>
        <w:tc>
          <w:tcPr>
            <w:tcW w:w="851"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三</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四</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五</w:t>
            </w:r>
          </w:p>
        </w:tc>
        <w:tc>
          <w:tcPr>
            <w:tcW w:w="99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5" w:type="dxa"/>
            <w:shd w:val="clear" w:color="auto" w:fill="FFFFFF"/>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春</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立春</w:t>
            </w:r>
          </w:p>
        </w:tc>
        <w:tc>
          <w:tcPr>
            <w:tcW w:w="850"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雨水</w:t>
            </w:r>
          </w:p>
        </w:tc>
        <w:tc>
          <w:tcPr>
            <w:tcW w:w="851"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惊蛰</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春分</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清明</w:t>
            </w:r>
          </w:p>
        </w:tc>
        <w:tc>
          <w:tcPr>
            <w:tcW w:w="99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谷雨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5" w:type="dxa"/>
            <w:shd w:val="clear" w:color="auto" w:fill="FFFFFF"/>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夏</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立夏</w:t>
            </w:r>
          </w:p>
        </w:tc>
        <w:tc>
          <w:tcPr>
            <w:tcW w:w="850"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小满</w:t>
            </w:r>
          </w:p>
        </w:tc>
        <w:tc>
          <w:tcPr>
            <w:tcW w:w="851"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芒种</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夏至</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大暑</w:t>
            </w:r>
          </w:p>
        </w:tc>
        <w:tc>
          <w:tcPr>
            <w:tcW w:w="99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小暑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5" w:type="dxa"/>
            <w:shd w:val="clear" w:color="auto" w:fill="FFFFFF"/>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秋</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立秋</w:t>
            </w:r>
          </w:p>
        </w:tc>
        <w:tc>
          <w:tcPr>
            <w:tcW w:w="850"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处暑</w:t>
            </w:r>
          </w:p>
        </w:tc>
        <w:tc>
          <w:tcPr>
            <w:tcW w:w="851"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白露</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秋分</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寒露</w:t>
            </w:r>
          </w:p>
        </w:tc>
        <w:tc>
          <w:tcPr>
            <w:tcW w:w="99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霜降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5" w:type="dxa"/>
            <w:shd w:val="clear" w:color="auto" w:fill="FFFFFF"/>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冬</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立冬</w:t>
            </w:r>
          </w:p>
        </w:tc>
        <w:tc>
          <w:tcPr>
            <w:tcW w:w="850"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小雪</w:t>
            </w:r>
          </w:p>
        </w:tc>
        <w:tc>
          <w:tcPr>
            <w:tcW w:w="851"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大雪</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冬至</w:t>
            </w:r>
          </w:p>
        </w:tc>
        <w:tc>
          <w:tcPr>
            <w:tcW w:w="992"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小寒</w:t>
            </w:r>
          </w:p>
        </w:tc>
        <w:tc>
          <w:tcPr>
            <w:tcW w:w="993" w:type="dxa"/>
          </w:tcPr>
          <w:p>
            <w:pPr>
              <w:spacing w:line="360" w:lineRule="auto"/>
              <w:rPr>
                <w:rFonts w:ascii="仿宋_GB2312" w:hAnsi="楷体" w:eastAsia="仿宋_GB2312"/>
                <w:b/>
                <w:bCs/>
                <w:color w:val="auto"/>
                <w:sz w:val="24"/>
                <w:szCs w:val="28"/>
              </w:rPr>
            </w:pPr>
            <w:r>
              <w:rPr>
                <w:rFonts w:hint="eastAsia" w:ascii="仿宋_GB2312" w:hAnsi="楷体" w:eastAsia="仿宋_GB2312"/>
                <w:b/>
                <w:bCs/>
                <w:color w:val="auto"/>
                <w:sz w:val="24"/>
                <w:szCs w:val="28"/>
              </w:rPr>
              <w:t>大寒</w:t>
            </w:r>
          </w:p>
        </w:tc>
      </w:tr>
    </w:tbl>
    <w:p>
      <w:pPr>
        <w:spacing w:line="360" w:lineRule="auto"/>
        <w:rPr>
          <w:rFonts w:ascii="仿宋_GB2312" w:hAnsi="楷体" w:eastAsia="仿宋_GB2312"/>
          <w:b/>
          <w:bCs/>
          <w:color w:val="auto"/>
          <w:sz w:val="24"/>
          <w:szCs w:val="28"/>
        </w:rPr>
      </w:pPr>
    </w:p>
    <w:p>
      <w:pPr>
        <w:spacing w:line="360" w:lineRule="auto"/>
        <w:ind w:firstLine="4337" w:firstLineChars="1800"/>
        <w:jc w:val="both"/>
        <w:rPr>
          <w:rFonts w:ascii="仿宋_GB2312" w:hAnsi="楷体" w:eastAsia="仿宋_GB2312"/>
          <w:b/>
          <w:bCs/>
          <w:color w:val="auto"/>
          <w:sz w:val="24"/>
          <w:szCs w:val="28"/>
        </w:rPr>
      </w:pPr>
      <w:r>
        <w:rPr>
          <w:rFonts w:hint="eastAsia" w:ascii="仿宋_GB2312" w:hAnsi="楷体" w:eastAsia="仿宋_GB2312"/>
          <w:b/>
          <w:bCs/>
          <w:color w:val="auto"/>
          <w:sz w:val="24"/>
          <w:szCs w:val="28"/>
        </w:rPr>
        <w:t>班队研究日活动安排</w:t>
      </w:r>
    </w:p>
    <w:tbl>
      <w:tblPr>
        <w:tblStyle w:val="5"/>
        <w:tblW w:w="9585" w:type="dxa"/>
        <w:tblInd w:w="131" w:type="dxa"/>
        <w:tblLayout w:type="autofit"/>
        <w:tblCellMar>
          <w:top w:w="0" w:type="dxa"/>
          <w:left w:w="0" w:type="dxa"/>
          <w:bottom w:w="0" w:type="dxa"/>
          <w:right w:w="0" w:type="dxa"/>
        </w:tblCellMar>
      </w:tblPr>
      <w:tblGrid>
        <w:gridCol w:w="1530"/>
        <w:gridCol w:w="5025"/>
        <w:gridCol w:w="975"/>
        <w:gridCol w:w="2055"/>
      </w:tblGrid>
      <w:tr>
        <w:tblPrEx>
          <w:tblCellMar>
            <w:top w:w="0" w:type="dxa"/>
            <w:left w:w="0" w:type="dxa"/>
            <w:bottom w:w="0" w:type="dxa"/>
            <w:right w:w="0" w:type="dxa"/>
          </w:tblCellMar>
        </w:tblPrEx>
        <w:trPr>
          <w:trHeight w:val="426" w:hRule="atLeast"/>
        </w:trPr>
        <w:tc>
          <w:tcPr>
            <w:tcW w:w="1530"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时间</w:t>
            </w:r>
          </w:p>
        </w:tc>
        <w:tc>
          <w:tcPr>
            <w:tcW w:w="502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主题（凸显班主任成长目标）</w:t>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形式</w:t>
            </w:r>
          </w:p>
        </w:tc>
        <w:tc>
          <w:tcPr>
            <w:tcW w:w="205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负责团队</w:t>
            </w:r>
          </w:p>
        </w:tc>
      </w:tr>
      <w:tr>
        <w:tblPrEx>
          <w:tblCellMar>
            <w:top w:w="0" w:type="dxa"/>
            <w:left w:w="0" w:type="dxa"/>
            <w:bottom w:w="0" w:type="dxa"/>
            <w:right w:w="0" w:type="dxa"/>
          </w:tblCellMar>
        </w:tblPrEx>
        <w:trPr>
          <w:trHeight w:val="278" w:hRule="atLeast"/>
        </w:trPr>
        <w:tc>
          <w:tcPr>
            <w:tcW w:w="1530"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8月</w:t>
            </w:r>
          </w:p>
        </w:tc>
        <w:tc>
          <w:tcPr>
            <w:tcW w:w="502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学生发展工作计划交流</w:t>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互动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分享</w:t>
            </w:r>
          </w:p>
        </w:tc>
        <w:tc>
          <w:tcPr>
            <w:tcW w:w="205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学生发展中心</w:t>
            </w:r>
          </w:p>
        </w:tc>
      </w:tr>
      <w:tr>
        <w:tblPrEx>
          <w:tblCellMar>
            <w:top w:w="0" w:type="dxa"/>
            <w:left w:w="0" w:type="dxa"/>
            <w:bottom w:w="0" w:type="dxa"/>
            <w:right w:w="0" w:type="dxa"/>
          </w:tblCellMar>
        </w:tblPrEx>
        <w:trPr>
          <w:trHeight w:val="1311" w:hRule="atLeast"/>
        </w:trPr>
        <w:tc>
          <w:tcPr>
            <w:tcW w:w="1530"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第1周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９.1</w:t>
            </w:r>
          </w:p>
        </w:tc>
        <w:tc>
          <w:tcPr>
            <w:tcW w:w="502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2.各年级工作计划思路交流（特色活动、研究课、家长会、国旗童声、弘雅小播客）</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3.学期工作具体推进</w:t>
            </w:r>
          </w:p>
        </w:tc>
        <w:tc>
          <w:tcPr>
            <w:tcW w:w="97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互动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分享</w:t>
            </w:r>
          </w:p>
        </w:tc>
        <w:tc>
          <w:tcPr>
            <w:tcW w:w="205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学生发展中心</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各年级组</w:t>
            </w:r>
          </w:p>
        </w:tc>
      </w:tr>
      <w:tr>
        <w:tblPrEx>
          <w:tblCellMar>
            <w:top w:w="0" w:type="dxa"/>
            <w:left w:w="0" w:type="dxa"/>
            <w:bottom w:w="0" w:type="dxa"/>
            <w:right w:w="0" w:type="dxa"/>
          </w:tblCellMar>
        </w:tblPrEx>
        <w:trPr>
          <w:trHeight w:val="721" w:hRule="atLeast"/>
        </w:trPr>
        <w:tc>
          <w:tcPr>
            <w:tcW w:w="1530"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第4周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9.22</w:t>
            </w:r>
          </w:p>
        </w:tc>
        <w:tc>
          <w:tcPr>
            <w:tcW w:w="502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校级专题研究（一）</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理论学习《家庭教育促进法》</w:t>
            </w:r>
          </w:p>
        </w:tc>
        <w:tc>
          <w:tcPr>
            <w:tcW w:w="97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研讨</w:t>
            </w:r>
          </w:p>
        </w:tc>
        <w:tc>
          <w:tcPr>
            <w:tcW w:w="205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p>
        </w:tc>
      </w:tr>
      <w:tr>
        <w:tblPrEx>
          <w:tblCellMar>
            <w:top w:w="0" w:type="dxa"/>
            <w:left w:w="0" w:type="dxa"/>
            <w:bottom w:w="0" w:type="dxa"/>
            <w:right w:w="0" w:type="dxa"/>
          </w:tblCellMar>
        </w:tblPrEx>
        <w:trPr>
          <w:trHeight w:val="721" w:hRule="atLeast"/>
        </w:trPr>
        <w:tc>
          <w:tcPr>
            <w:tcW w:w="1530"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第８周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10.20</w:t>
            </w:r>
          </w:p>
        </w:tc>
        <w:tc>
          <w:tcPr>
            <w:tcW w:w="502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校级专题研究（二）</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课程实施之课堂研究（三、四年级）</w:t>
            </w:r>
          </w:p>
        </w:tc>
        <w:tc>
          <w:tcPr>
            <w:tcW w:w="97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研讨</w:t>
            </w:r>
          </w:p>
        </w:tc>
        <w:tc>
          <w:tcPr>
            <w:tcW w:w="205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p>
        </w:tc>
      </w:tr>
      <w:tr>
        <w:tblPrEx>
          <w:tblCellMar>
            <w:top w:w="0" w:type="dxa"/>
            <w:left w:w="0" w:type="dxa"/>
            <w:bottom w:w="0" w:type="dxa"/>
            <w:right w:w="0" w:type="dxa"/>
          </w:tblCellMar>
        </w:tblPrEx>
        <w:trPr>
          <w:trHeight w:val="1016" w:hRule="atLeast"/>
        </w:trPr>
        <w:tc>
          <w:tcPr>
            <w:tcW w:w="1530"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第10周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11.3</w:t>
            </w:r>
          </w:p>
        </w:tc>
        <w:tc>
          <w:tcPr>
            <w:tcW w:w="502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年级组活动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专业阅读与展示（一）</w:t>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研讨</w:t>
            </w:r>
          </w:p>
        </w:tc>
        <w:tc>
          <w:tcPr>
            <w:tcW w:w="205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各年级组</w:t>
            </w:r>
          </w:p>
        </w:tc>
      </w:tr>
      <w:tr>
        <w:tblPrEx>
          <w:tblCellMar>
            <w:top w:w="0" w:type="dxa"/>
            <w:left w:w="0" w:type="dxa"/>
            <w:bottom w:w="0" w:type="dxa"/>
            <w:right w:w="0" w:type="dxa"/>
          </w:tblCellMar>
        </w:tblPrEx>
        <w:trPr>
          <w:trHeight w:val="869" w:hRule="atLeast"/>
        </w:trPr>
        <w:tc>
          <w:tcPr>
            <w:tcW w:w="1530"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第12周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11.17</w:t>
            </w:r>
          </w:p>
        </w:tc>
        <w:tc>
          <w:tcPr>
            <w:tcW w:w="502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校级专题研究（三）</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课程实施之课堂研究（二、六年级）</w:t>
            </w:r>
          </w:p>
        </w:tc>
        <w:tc>
          <w:tcPr>
            <w:tcW w:w="97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研讨</w:t>
            </w:r>
          </w:p>
        </w:tc>
        <w:tc>
          <w:tcPr>
            <w:tcW w:w="205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p>
        </w:tc>
      </w:tr>
      <w:tr>
        <w:tblPrEx>
          <w:tblCellMar>
            <w:top w:w="0" w:type="dxa"/>
            <w:left w:w="0" w:type="dxa"/>
            <w:bottom w:w="0" w:type="dxa"/>
            <w:right w:w="0" w:type="dxa"/>
          </w:tblCellMar>
        </w:tblPrEx>
        <w:trPr>
          <w:trHeight w:val="1016" w:hRule="atLeast"/>
        </w:trPr>
        <w:tc>
          <w:tcPr>
            <w:tcW w:w="1530"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第14周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12.1</w:t>
            </w:r>
          </w:p>
        </w:tc>
        <w:tc>
          <w:tcPr>
            <w:tcW w:w="502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年级组活动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专业阅读与展示（二）</w:t>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研讨</w:t>
            </w:r>
          </w:p>
        </w:tc>
        <w:tc>
          <w:tcPr>
            <w:tcW w:w="205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vAlign w:val="cente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各年级组</w:t>
            </w:r>
          </w:p>
        </w:tc>
      </w:tr>
      <w:tr>
        <w:tblPrEx>
          <w:tblCellMar>
            <w:top w:w="0" w:type="dxa"/>
            <w:left w:w="0" w:type="dxa"/>
            <w:bottom w:w="0" w:type="dxa"/>
            <w:right w:w="0" w:type="dxa"/>
          </w:tblCellMar>
        </w:tblPrEx>
        <w:trPr>
          <w:trHeight w:val="721" w:hRule="atLeast"/>
        </w:trPr>
        <w:tc>
          <w:tcPr>
            <w:tcW w:w="1530"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第16周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12.15</w:t>
            </w:r>
          </w:p>
        </w:tc>
        <w:tc>
          <w:tcPr>
            <w:tcW w:w="502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校级专题研究（四）</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课程实施之课堂研究（二年级）</w:t>
            </w:r>
          </w:p>
        </w:tc>
        <w:tc>
          <w:tcPr>
            <w:tcW w:w="97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研讨</w:t>
            </w:r>
          </w:p>
        </w:tc>
        <w:tc>
          <w:tcPr>
            <w:tcW w:w="205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周菲</w:t>
            </w:r>
          </w:p>
        </w:tc>
      </w:tr>
      <w:tr>
        <w:tblPrEx>
          <w:tblCellMar>
            <w:top w:w="0" w:type="dxa"/>
            <w:left w:w="0" w:type="dxa"/>
            <w:bottom w:w="0" w:type="dxa"/>
            <w:right w:w="0" w:type="dxa"/>
          </w:tblCellMar>
        </w:tblPrEx>
        <w:trPr>
          <w:trHeight w:val="1016" w:hRule="atLeast"/>
        </w:trPr>
        <w:tc>
          <w:tcPr>
            <w:tcW w:w="1530"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第18周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12.29</w:t>
            </w:r>
          </w:p>
        </w:tc>
        <w:tc>
          <w:tcPr>
            <w:tcW w:w="502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年级组活动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专业阅读与展示（三）</w:t>
            </w:r>
          </w:p>
        </w:tc>
        <w:tc>
          <w:tcPr>
            <w:tcW w:w="97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活动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研讨</w:t>
            </w:r>
          </w:p>
        </w:tc>
        <w:tc>
          <w:tcPr>
            <w:tcW w:w="2055" w:type="dxa"/>
            <w:tcBorders>
              <w:top w:val="single" w:color="000000" w:sz="8" w:space="0"/>
              <w:left w:val="single" w:color="000000" w:sz="8" w:space="0"/>
              <w:bottom w:val="single" w:color="000000" w:sz="8" w:space="0"/>
              <w:right w:val="single" w:color="000000" w:sz="8" w:space="0"/>
            </w:tcBorders>
            <w:shd w:val="clear" w:color="auto" w:fill="auto"/>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各年级组</w:t>
            </w:r>
          </w:p>
          <w:p>
            <w:pPr>
              <w:widowControl/>
              <w:spacing w:line="360" w:lineRule="auto"/>
              <w:rPr>
                <w:rFonts w:ascii="Arial" w:hAnsi="Arial" w:eastAsia="宋体" w:cs="Arial"/>
                <w:color w:val="auto"/>
                <w:kern w:val="0"/>
                <w:sz w:val="22"/>
              </w:rPr>
            </w:pPr>
            <w:r>
              <w:rPr>
                <w:rFonts w:ascii="Calibri" w:hAnsi="Calibri" w:eastAsia="楷体" w:cs="Calibri"/>
                <w:b/>
                <w:bCs/>
                <w:color w:val="auto"/>
                <w:sz w:val="22"/>
              </w:rPr>
              <w:t> </w:t>
            </w:r>
          </w:p>
        </w:tc>
      </w:tr>
      <w:tr>
        <w:tblPrEx>
          <w:tblCellMar>
            <w:top w:w="0" w:type="dxa"/>
            <w:left w:w="0" w:type="dxa"/>
            <w:bottom w:w="0" w:type="dxa"/>
            <w:right w:w="0" w:type="dxa"/>
          </w:tblCellMar>
        </w:tblPrEx>
        <w:trPr>
          <w:trHeight w:val="426" w:hRule="atLeast"/>
        </w:trPr>
        <w:tc>
          <w:tcPr>
            <w:tcW w:w="1530"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第１９周</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1.5</w:t>
            </w:r>
          </w:p>
        </w:tc>
        <w:tc>
          <w:tcPr>
            <w:tcW w:w="502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学生发展工作总结会</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阅读成果沙龙</w:t>
            </w:r>
          </w:p>
        </w:tc>
        <w:tc>
          <w:tcPr>
            <w:tcW w:w="97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成果</w:t>
            </w:r>
          </w:p>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展示</w:t>
            </w:r>
          </w:p>
        </w:tc>
        <w:tc>
          <w:tcPr>
            <w:tcW w:w="2055" w:type="dxa"/>
            <w:tcBorders>
              <w:top w:val="single" w:color="000000" w:sz="8" w:space="0"/>
              <w:left w:val="single" w:color="000000" w:sz="8" w:space="0"/>
              <w:bottom w:val="single" w:color="000000" w:sz="8" w:space="0"/>
              <w:right w:val="single" w:color="000000" w:sz="8" w:space="0"/>
            </w:tcBorders>
            <w:shd w:val="clear" w:color="auto" w:fill="92D050"/>
            <w:tcMar>
              <w:top w:w="15" w:type="dxa"/>
              <w:left w:w="28" w:type="dxa"/>
              <w:bottom w:w="0" w:type="dxa"/>
              <w:right w:w="28" w:type="dxa"/>
            </w:tcMar>
          </w:tcPr>
          <w:p>
            <w:pPr>
              <w:widowControl/>
              <w:spacing w:line="360" w:lineRule="auto"/>
              <w:rPr>
                <w:rFonts w:ascii="Arial" w:hAnsi="Arial" w:eastAsia="宋体" w:cs="Arial"/>
                <w:color w:val="auto"/>
                <w:kern w:val="0"/>
                <w:sz w:val="22"/>
              </w:rPr>
            </w:pPr>
            <w:r>
              <w:rPr>
                <w:rFonts w:hint="eastAsia" w:ascii="楷体" w:hAnsi="楷体" w:eastAsia="楷体" w:cs="Times New Roman"/>
                <w:b/>
                <w:bCs/>
                <w:color w:val="auto"/>
                <w:sz w:val="22"/>
              </w:rPr>
              <w:t>各年级组</w:t>
            </w:r>
          </w:p>
        </w:tc>
      </w:tr>
    </w:tbl>
    <w:p>
      <w:pPr>
        <w:spacing w:line="360" w:lineRule="auto"/>
        <w:rPr>
          <w:rFonts w:ascii="仿宋_GB2312" w:hAnsi="楷体" w:eastAsia="仿宋_GB2312"/>
          <w:b/>
          <w:bCs/>
          <w:color w:val="auto"/>
          <w:sz w:val="24"/>
          <w:szCs w:val="28"/>
        </w:rPr>
      </w:pPr>
    </w:p>
    <w:p>
      <w:pPr>
        <w:spacing w:line="360" w:lineRule="auto"/>
        <w:rPr>
          <w:rFonts w:ascii="仿宋_GB2312" w:hAnsi="楷体" w:eastAsia="仿宋_GB2312"/>
          <w:b/>
          <w:bCs/>
          <w:color w:val="auto"/>
          <w:sz w:val="24"/>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华康行楷体 W5">
    <w:panose1 w:val="03000509000000000000"/>
    <w:charset w:val="86"/>
    <w:family w:val="auto"/>
    <w:pitch w:val="default"/>
    <w:sig w:usb0="A00002BF" w:usb1="3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mZmNiODM3NTJmMjRjMzgxZGMzZmZjZTIwYmY2YmQifQ=="/>
  </w:docVars>
  <w:rsids>
    <w:rsidRoot w:val="00C50F1D"/>
    <w:rsid w:val="0007285B"/>
    <w:rsid w:val="000735B1"/>
    <w:rsid w:val="00085BC2"/>
    <w:rsid w:val="00090E14"/>
    <w:rsid w:val="000A10B0"/>
    <w:rsid w:val="000A6D4C"/>
    <w:rsid w:val="000C0C05"/>
    <w:rsid w:val="000C0F17"/>
    <w:rsid w:val="000C7B11"/>
    <w:rsid w:val="000E2D87"/>
    <w:rsid w:val="000E550F"/>
    <w:rsid w:val="000F4C0C"/>
    <w:rsid w:val="00101BAB"/>
    <w:rsid w:val="00153C59"/>
    <w:rsid w:val="00177DB0"/>
    <w:rsid w:val="001B1618"/>
    <w:rsid w:val="001B536F"/>
    <w:rsid w:val="001C0BC3"/>
    <w:rsid w:val="001E1007"/>
    <w:rsid w:val="002062CF"/>
    <w:rsid w:val="00223629"/>
    <w:rsid w:val="0022431E"/>
    <w:rsid w:val="002365B3"/>
    <w:rsid w:val="002415F0"/>
    <w:rsid w:val="00243E5B"/>
    <w:rsid w:val="0027574F"/>
    <w:rsid w:val="00281D92"/>
    <w:rsid w:val="00293CF2"/>
    <w:rsid w:val="002A19E7"/>
    <w:rsid w:val="002A4642"/>
    <w:rsid w:val="002B0A4B"/>
    <w:rsid w:val="00300D4F"/>
    <w:rsid w:val="00302A8D"/>
    <w:rsid w:val="00310BB3"/>
    <w:rsid w:val="00311556"/>
    <w:rsid w:val="003129B4"/>
    <w:rsid w:val="00322239"/>
    <w:rsid w:val="0032441B"/>
    <w:rsid w:val="003758B2"/>
    <w:rsid w:val="003B5C94"/>
    <w:rsid w:val="003D3E7E"/>
    <w:rsid w:val="003D78C1"/>
    <w:rsid w:val="003F4DDB"/>
    <w:rsid w:val="00406FA8"/>
    <w:rsid w:val="004077F8"/>
    <w:rsid w:val="00425B47"/>
    <w:rsid w:val="004656CA"/>
    <w:rsid w:val="00471799"/>
    <w:rsid w:val="004739F7"/>
    <w:rsid w:val="00481A6B"/>
    <w:rsid w:val="00482065"/>
    <w:rsid w:val="004860F1"/>
    <w:rsid w:val="004C4675"/>
    <w:rsid w:val="004F5A88"/>
    <w:rsid w:val="005028FC"/>
    <w:rsid w:val="00506D4A"/>
    <w:rsid w:val="00543D56"/>
    <w:rsid w:val="00567330"/>
    <w:rsid w:val="0057209D"/>
    <w:rsid w:val="005A25F2"/>
    <w:rsid w:val="005D2E5E"/>
    <w:rsid w:val="005E7A50"/>
    <w:rsid w:val="00601C07"/>
    <w:rsid w:val="006157E5"/>
    <w:rsid w:val="00656E97"/>
    <w:rsid w:val="00685E5C"/>
    <w:rsid w:val="0069276F"/>
    <w:rsid w:val="006976F1"/>
    <w:rsid w:val="006D362B"/>
    <w:rsid w:val="00701774"/>
    <w:rsid w:val="00707379"/>
    <w:rsid w:val="00716FA3"/>
    <w:rsid w:val="00732887"/>
    <w:rsid w:val="0076547C"/>
    <w:rsid w:val="007A5055"/>
    <w:rsid w:val="007F13C8"/>
    <w:rsid w:val="00815DE3"/>
    <w:rsid w:val="00836661"/>
    <w:rsid w:val="00850C28"/>
    <w:rsid w:val="008562F7"/>
    <w:rsid w:val="0086127E"/>
    <w:rsid w:val="00865DAB"/>
    <w:rsid w:val="008C2B1D"/>
    <w:rsid w:val="008E3860"/>
    <w:rsid w:val="00957767"/>
    <w:rsid w:val="00962D37"/>
    <w:rsid w:val="00967B41"/>
    <w:rsid w:val="009735DD"/>
    <w:rsid w:val="00991444"/>
    <w:rsid w:val="00A17E05"/>
    <w:rsid w:val="00A2293C"/>
    <w:rsid w:val="00A3357C"/>
    <w:rsid w:val="00A37C22"/>
    <w:rsid w:val="00A51BBB"/>
    <w:rsid w:val="00A7564B"/>
    <w:rsid w:val="00AD0F0F"/>
    <w:rsid w:val="00AE7323"/>
    <w:rsid w:val="00AF3CF5"/>
    <w:rsid w:val="00B0125A"/>
    <w:rsid w:val="00B151F8"/>
    <w:rsid w:val="00B575E6"/>
    <w:rsid w:val="00B60380"/>
    <w:rsid w:val="00BC3166"/>
    <w:rsid w:val="00BF4DAB"/>
    <w:rsid w:val="00C04364"/>
    <w:rsid w:val="00C45841"/>
    <w:rsid w:val="00C50F1D"/>
    <w:rsid w:val="00C55FF5"/>
    <w:rsid w:val="00C56B95"/>
    <w:rsid w:val="00C6653F"/>
    <w:rsid w:val="00C667C9"/>
    <w:rsid w:val="00C7693E"/>
    <w:rsid w:val="00CA7B8E"/>
    <w:rsid w:val="00CB15DC"/>
    <w:rsid w:val="00CC0DD3"/>
    <w:rsid w:val="00CC3FF8"/>
    <w:rsid w:val="00CD7543"/>
    <w:rsid w:val="00D4080E"/>
    <w:rsid w:val="00D72143"/>
    <w:rsid w:val="00D86DB7"/>
    <w:rsid w:val="00D87E39"/>
    <w:rsid w:val="00D96886"/>
    <w:rsid w:val="00DA6A43"/>
    <w:rsid w:val="00DB6615"/>
    <w:rsid w:val="00DC6C6E"/>
    <w:rsid w:val="00DE1883"/>
    <w:rsid w:val="00E25F6C"/>
    <w:rsid w:val="00E30D56"/>
    <w:rsid w:val="00E548E1"/>
    <w:rsid w:val="00E5675B"/>
    <w:rsid w:val="00EA43A2"/>
    <w:rsid w:val="00ED795B"/>
    <w:rsid w:val="00EE24CB"/>
    <w:rsid w:val="00F50D54"/>
    <w:rsid w:val="00F528AD"/>
    <w:rsid w:val="00F52CFE"/>
    <w:rsid w:val="00F6311F"/>
    <w:rsid w:val="00F66861"/>
    <w:rsid w:val="00F908FF"/>
    <w:rsid w:val="00FD716F"/>
    <w:rsid w:val="18060A72"/>
    <w:rsid w:val="5A711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719</Words>
  <Characters>4100</Characters>
  <Lines>34</Lines>
  <Paragraphs>9</Paragraphs>
  <TotalTime>3</TotalTime>
  <ScaleCrop>false</ScaleCrop>
  <LinksUpToDate>false</LinksUpToDate>
  <CharactersWithSpaces>4810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2022-07-03T01:03:00Z</dcterms:created>
  <dc:creator>黄 汝群</dc:creator>
  <cp:lastModifiedBy>磉</cp:lastModifiedBy>
  <cp:lastPrinted>2022-08-18T03:43:00Z</cp:lastPrinted>
  <dcterms:modified xsi:type="dcterms:W3CDTF">2022-09-12T13:31:07Z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A459C745836047F4AE485CD8CEB8E4EC</vt:lpwstr>
  </property>
</Properties>
</file>