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李恬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师生关系融洽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容易与学生达成共鸣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理论联系实际能力缺乏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/>
                <w:sz w:val="24"/>
                <w:lang w:val="en-US" w:eastAsia="zh-Hans"/>
              </w:rPr>
              <w:t>理论联系实际能力缺乏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团队引领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骨干教师的示范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树立终身学习理念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1816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注重研究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发表</w:t>
            </w:r>
          </w:p>
        </w:tc>
      </w:tr>
      <w:tr>
        <w:trPr>
          <w:trHeight w:val="1743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课堂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注重反思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课堂更生动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1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注重思考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构建经验和理论的桥梁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多读书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rPr>
          <w:trHeight w:val="311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树立终身学习理念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注重自我行动研究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利用教学自我反思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FCDD"/>
    <w:multiLevelType w:val="singleLevel"/>
    <w:tmpl w:val="6179FC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EFF1B34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litian</cp:lastModifiedBy>
  <cp:lastPrinted>2018-09-19T12:22:00Z</cp:lastPrinted>
  <dcterms:modified xsi:type="dcterms:W3CDTF">2021-10-28T09:28:13Z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6E628943053F45368BEEE3901979D922</vt:lpwstr>
  </property>
</Properties>
</file>