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bookmarkStart w:id="0" w:name="_GoBack"/>
      <w:bookmarkEnd w:id="0"/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吴志鹏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适应期，作为刚工作两年的教师，还有许多需要学习的地方，从而来完善自己的教学。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特点：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课堂上较有耐心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，能关注学生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运动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行为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与习惯的培养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倾向：想成为研究型教师，更多想通过解读学生行为背后的意义来让教学与沟通更有效。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对于自己的专业技能方面的教学较为熟悉，基本技能掌握较为熟练。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教育教学能力还不够扎实，教学水平有待提升，科研水平需要加强。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主观：有畏难心理，不够坚定，学习动力不足。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客观：外出学习机会不多。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多参加教研活动，有学习的机会；有机会参与校级课题的研究。</w:t>
            </w: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认真上好每一节课，做好教学反思，多向组内有经验的教师请教，提高自己的教学水平，积极参加教研活动，抓住发展的机会，努力让自己的教育教学能力有所加强。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理论上：领会新课标概念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教学上：重心下移，心中有学生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教科研上：参与体育组课题开展工作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理论上：认真学习新课标标准，对照旧版仔细分析不同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教学上：向同伴听课，职教公开课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教科研上：学习相关课题理论，勤写教学反思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理论上：新课标学习笔记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教学上：执教区级公开课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教科研：发表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2篇及以上论文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理论上：深刻领悟新课标概念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教学上：提炼教学风格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教科研：进一步推进课题研究成果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理论上：选择新课标部分内容进行深度反思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教学上：学习相关理论，借用调查表等形式了解学情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教科研：学习相关理论，撰写教学反思</w:t>
            </w:r>
          </w:p>
        </w:tc>
        <w:tc>
          <w:tcPr>
            <w:tcW w:w="3561" w:type="dxa"/>
            <w:vAlign w:val="top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理论上：新课标论文发表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教学上：执教区、市公开课获得好评</w:t>
            </w:r>
          </w:p>
          <w:p>
            <w:pPr>
              <w:tabs>
                <w:tab w:val="left" w:pos="720"/>
              </w:tabs>
              <w:spacing w:line="300" w:lineRule="exact"/>
              <w:ind w:left="-60" w:leftChars="0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教科研：论文发表或获奖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理论上：提升教育评价能力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教学上：丰富教学风格内涵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教科研：梳理教育现象与对策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理论上：认真学习</w:t>
            </w:r>
            <w:r>
              <w:rPr>
                <w:rFonts w:hint="eastAsia"/>
                <w:sz w:val="24"/>
                <w:lang w:val="en-US" w:eastAsia="zh-CN"/>
              </w:rPr>
              <w:t>教研类</w:t>
            </w:r>
            <w:r>
              <w:rPr>
                <w:rFonts w:hint="eastAsia"/>
                <w:sz w:val="24"/>
                <w:lang w:eastAsia="zh-CN"/>
              </w:rPr>
              <w:t>书籍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教学上：学习相关理论，向名师请教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教科研：撰写教学反思，提炼教学风格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每周一篇读书心得，每周</w:t>
            </w:r>
            <w:r>
              <w:rPr>
                <w:rFonts w:hint="eastAsia"/>
                <w:sz w:val="24"/>
                <w:lang w:val="en-US" w:eastAsia="zh-CN"/>
              </w:rPr>
              <w:t>2次深度教学反思，每月一次开放课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参加“孙建顺乡村骨干体育教师培育站”，并进行一次公开课或一次讲座，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每周一篇读书心得，每月两篇学生观察记录分析。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加入学校“排球”课题的研究，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发表1篇论文。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带好田径社团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多读教研类书刊，丰富理论知识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一学期至少一篇论文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多听师傅的课，学习成长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6BF607"/>
    <w:multiLevelType w:val="singleLevel"/>
    <w:tmpl w:val="AD6BF6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C9C7EEB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78E2710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3</TotalTime>
  <ScaleCrop>false</ScaleCrop>
  <LinksUpToDate>false</LinksUpToDate>
  <CharactersWithSpaces>6916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过客</cp:lastModifiedBy>
  <cp:lastPrinted>2018-09-19T04:22:00Z</cp:lastPrinted>
  <dcterms:modified xsi:type="dcterms:W3CDTF">2021-10-24T23:49:49Z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7689E2805F5D4A959D7F3E4308208F39</vt:lpwstr>
  </property>
</Properties>
</file>