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b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eastAsia="zh-CN"/>
        </w:rPr>
        <w:t>说明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</w:rPr>
        <w:t>：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eastAsia="zh-CN"/>
        </w:rPr>
        <w:t>备课组长做全年级的分析，其他老师做任教班级的分析，然后以“教师姓名</w:t>
      </w:r>
      <w:r>
        <w:rPr>
          <w:rFonts w:hint="eastAsia" w:ascii="宋体" w:hAnsi="宋体" w:cs="宋体"/>
          <w:b/>
          <w:color w:val="FF0000"/>
          <w:kern w:val="0"/>
          <w:sz w:val="28"/>
          <w:szCs w:val="28"/>
          <w:lang w:val="en-US" w:eastAsia="zh-CN"/>
        </w:rPr>
        <w:t>+班级+学科”命名文件发课程中心。</w:t>
      </w:r>
    </w:p>
    <w:p>
      <w:pPr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常州市学科教学调研情况反馈表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 w:ascii="宋体" w:hAnsi="宋体"/>
          <w:b/>
          <w:color w:val="000000"/>
          <w:sz w:val="24"/>
        </w:rPr>
      </w:pPr>
      <w:r>
        <w:rPr>
          <w:rFonts w:hint="eastAsia"/>
          <w:color w:val="000000"/>
          <w:sz w:val="24"/>
        </w:rPr>
        <w:t>学校：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rFonts w:hint="eastAsia"/>
          <w:color w:val="000000"/>
          <w:sz w:val="24"/>
          <w:u w:val="single"/>
          <w:lang w:val="en-US" w:eastAsia="zh-CN"/>
        </w:rPr>
        <w:t>东青实验学校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 xml:space="preserve">  年级：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  <w:lang w:val="en-US" w:eastAsia="zh-CN"/>
        </w:rPr>
        <w:t>八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lang w:eastAsia="zh-CN"/>
        </w:rPr>
        <w:t>班级：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（5）  </w:t>
      </w:r>
      <w:r>
        <w:rPr>
          <w:rFonts w:hint="eastAsia"/>
          <w:color w:val="000000"/>
          <w:sz w:val="24"/>
        </w:rPr>
        <w:t xml:space="preserve"> 学科：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  <w:u w:val="single"/>
          <w:lang w:val="en-US" w:eastAsia="zh-CN"/>
        </w:rPr>
        <w:t>语文</w:t>
      </w:r>
      <w:r>
        <w:rPr>
          <w:rFonts w:hint="eastAsia"/>
          <w:color w:val="000000"/>
          <w:sz w:val="24"/>
          <w:u w:val="single"/>
        </w:rPr>
        <w:t xml:space="preserve">         </w:t>
      </w: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</w:t>
      </w:r>
      <w:r>
        <w:rPr>
          <w:rFonts w:ascii="宋体" w:hAnsi="宋体"/>
          <w:b/>
          <w:color w:val="000000"/>
          <w:szCs w:val="21"/>
        </w:rPr>
        <w:t>I</w:t>
      </w:r>
      <w:r>
        <w:rPr>
          <w:rFonts w:hint="eastAsia" w:ascii="宋体" w:hAnsi="宋体"/>
          <w:b/>
          <w:color w:val="000000"/>
          <w:szCs w:val="21"/>
        </w:rPr>
        <w:t>：调研基本情况统计表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试卷类型（A/B）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应考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缺考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均分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及格率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67.08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79.59%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最高分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最低分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149－140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139－130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129－120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119－110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109－100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99－90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89－80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79－70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69－60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59－50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49－40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39－30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1．试卷总分60%分值为及格线。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2．优秀率语文为试卷总分85%分值及以上，其他各科位试卷总分90%分值及以上。</w:t>
      </w: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表Ⅱ：各题难度统计（抽样统计，样本不少于100）</w:t>
      </w:r>
    </w:p>
    <w:tbl>
      <w:tblPr>
        <w:tblStyle w:val="3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0.93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ascii="宋体" w:hAnsi="宋体"/>
          <w:b/>
          <w:color w:val="00000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表Ⅲ：评价和建议（在相关栏目中打√或填上相关的数据）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对试卷的总体评价</w:t>
            </w:r>
          </w:p>
        </w:tc>
        <w:tc>
          <w:tcPr>
            <w:tcW w:w="250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是否符合课标、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教材的要求</w:t>
            </w:r>
          </w:p>
        </w:tc>
        <w:tc>
          <w:tcPr>
            <w:tcW w:w="301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 学 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完全符合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基本符合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基本不符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完全不符</w:t>
            </w: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错误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有科学性错误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（题数）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不够严谨，值得商榷的题数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导 向 性</w:t>
            </w:r>
          </w:p>
        </w:tc>
        <w:tc>
          <w:tcPr>
            <w:tcW w:w="250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  度</w:t>
            </w: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量</w:t>
            </w:r>
          </w:p>
        </w:tc>
        <w:tc>
          <w:tcPr>
            <w:tcW w:w="15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（主客观题比例）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较难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较易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易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偏多</w:t>
            </w: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偏少</w:t>
            </w: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适当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稍微失调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严重失调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√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7" w:hRule="atLeast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对本试卷的评价意见和建议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022" w:type="dxa"/>
            <w:gridSpan w:val="18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这张试卷覆盖知识面广，重难点突出，基础知识考察较全面，种种考察了学生对之时的积累和灵活运用能力。具体分析如下;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1.回归课本，强化基础。其中1、2、3、5、10、11和课内古文都紧扣课本，或是课内语段，或是课内专题、或是名著阅读，以利于课内基础知识基本技能的教学。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2.试题紧密联系社会，有部分题与冬奥有关，增强了时代感，也培养了语感。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3.作文，贴近生活，紧扣2022年重大事件，有开放性、选择性，又有限定性。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班级存在问题：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  <w:t>1.有些学生的卷面不够美观，影响了评卷时的印象分。 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  <w:t>2.学生对于基础知识掌握得不扎实。默写题本应是送分题，但是学生由于多字、漏字、错字现象招致失分。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  <w:t>    3.不会学以致用。阅读题做的练习量不够，学生拿到题束手无策。稍微灵活一点的题目，他们就只能望题兴叹了。（阅读） 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  <w:t>4.作文不会审题，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演讲稿文体不鲜明，叙事、记人</w:t>
            </w:r>
            <w:r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  <w:t>缺乏真情实感，泛泛而谈之作很多。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1．以校为单位逐项填写；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2．按通知规定时间报常州市教育学会办公室收。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2022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29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/>
          <w:color w:val="000000"/>
          <w:szCs w:val="21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YjEyODY5YjNkODMyODI0MjlhZDc3YjA3NGY3NmMifQ=="/>
  </w:docVars>
  <w:rsids>
    <w:rsidRoot w:val="2A310636"/>
    <w:rsid w:val="0D2C7836"/>
    <w:rsid w:val="0F7554C5"/>
    <w:rsid w:val="103C5FE2"/>
    <w:rsid w:val="179C380B"/>
    <w:rsid w:val="2A310636"/>
    <w:rsid w:val="31880C30"/>
    <w:rsid w:val="32FA790B"/>
    <w:rsid w:val="43244531"/>
    <w:rsid w:val="4A141C32"/>
    <w:rsid w:val="4F9B5B7A"/>
    <w:rsid w:val="53C03E02"/>
    <w:rsid w:val="54890697"/>
    <w:rsid w:val="586236D9"/>
    <w:rsid w:val="5EFF1C82"/>
    <w:rsid w:val="645C36D2"/>
    <w:rsid w:val="67AA29A7"/>
    <w:rsid w:val="6C3F7B62"/>
    <w:rsid w:val="6DD662A4"/>
    <w:rsid w:val="6FCD36D6"/>
    <w:rsid w:val="71B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1211</Characters>
  <Lines>0</Lines>
  <Paragraphs>0</Paragraphs>
  <TotalTime>11</TotalTime>
  <ScaleCrop>false</ScaleCrop>
  <LinksUpToDate>false</LinksUpToDate>
  <CharactersWithSpaces>1330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2022-06-29T07:16:00Z</dcterms:created>
  <dc:creator>覆盆子</dc:creator>
  <cp:lastModifiedBy>覆盆子</cp:lastModifiedBy>
  <dcterms:modified xsi:type="dcterms:W3CDTF">2022-06-29T07:28:00Z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4F3F92E6EBA944D5830FA30A891FB6A6</vt:lpwstr>
  </property>
</Properties>
</file>