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《小学高年级小组合作拓展阅读的实践研究》</w:t>
      </w:r>
    </w:p>
    <w:p>
      <w:pPr>
        <w:spacing w:line="360" w:lineRule="auto"/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Hans"/>
        </w:rPr>
        <w:t>小组合作分组方式理论学习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对于“小学高年级小组合作的分组策略研究”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课题组共同进行了理论学习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了解了要科学合理构建小组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主要包括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分组规模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分组原则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组内异质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组间同质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相对均衡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小组类型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异质小组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同质小组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自愿小组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随机小组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角色分配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（协调员、活跃分子、实施者、资源开发者、引导者、监测/评估员、合作者、完成者、专家）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座位安排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桌椅摆放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D字形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矩形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扇形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前后桌合并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）</w:t>
      </w:r>
    </w:p>
    <w:p>
      <w:pPr>
        <w:numPr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要积极进行小组建设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过程中要关注相互熟悉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小组认同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相互依赖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尊重差异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加强协作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还要高效开展多样合作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drawing>
          <wp:inline distT="0" distB="0" distL="114300" distR="114300">
            <wp:extent cx="4390390" cy="1080135"/>
            <wp:effectExtent l="0" t="0" r="3810" b="12065"/>
            <wp:docPr id="10" name="图片 10" descr="C7DE1FD8-37E8-4E31-9001-8E4BE9B52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7DE1FD8-37E8-4E31-9001-8E4BE9B526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图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 xml:space="preserve"> 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分组规模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drawing>
          <wp:inline distT="0" distB="0" distL="114300" distR="114300">
            <wp:extent cx="1300480" cy="1440180"/>
            <wp:effectExtent l="0" t="0" r="20320" b="7620"/>
            <wp:docPr id="11" name="图片 11" descr="90068272-FC6F-4971-A0EC-CE0603DF27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0068272-FC6F-4971-A0EC-CE0603DF27C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图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2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座位安排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Hans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ArialMT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校园怀旧体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k72REwIAABU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SJO9kRMCAAAV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73D3"/>
    <w:multiLevelType w:val="singleLevel"/>
    <w:tmpl w:val="62B973D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4D05F"/>
    <w:rsid w:val="0D7F6A5D"/>
    <w:rsid w:val="12EF53CE"/>
    <w:rsid w:val="177EFC1E"/>
    <w:rsid w:val="25D206A0"/>
    <w:rsid w:val="335F6C6C"/>
    <w:rsid w:val="3BDF858E"/>
    <w:rsid w:val="3BF4D05F"/>
    <w:rsid w:val="3EFFEECA"/>
    <w:rsid w:val="4FDB6D9F"/>
    <w:rsid w:val="577F0081"/>
    <w:rsid w:val="596F836F"/>
    <w:rsid w:val="5BBEC637"/>
    <w:rsid w:val="5FFFB83A"/>
    <w:rsid w:val="65DFE2F4"/>
    <w:rsid w:val="6ADB433C"/>
    <w:rsid w:val="6EBEAF3F"/>
    <w:rsid w:val="6FB67B9B"/>
    <w:rsid w:val="6FEA4C50"/>
    <w:rsid w:val="77FC4F7E"/>
    <w:rsid w:val="7DD65D8B"/>
    <w:rsid w:val="7E7B5468"/>
    <w:rsid w:val="7EF359DA"/>
    <w:rsid w:val="7F5FC53D"/>
    <w:rsid w:val="7F9C77C2"/>
    <w:rsid w:val="7FFEC6F5"/>
    <w:rsid w:val="89D853D4"/>
    <w:rsid w:val="97DFB684"/>
    <w:rsid w:val="9FF7444F"/>
    <w:rsid w:val="B7B7EE47"/>
    <w:rsid w:val="BFCFBFFD"/>
    <w:rsid w:val="BFFD95F3"/>
    <w:rsid w:val="DF7F537E"/>
    <w:rsid w:val="ED5D8010"/>
    <w:rsid w:val="EF509B3D"/>
    <w:rsid w:val="EFEFB2DD"/>
    <w:rsid w:val="F02FEEC5"/>
    <w:rsid w:val="F3A7EA0F"/>
    <w:rsid w:val="F3FE7FA0"/>
    <w:rsid w:val="F6BCB7DB"/>
    <w:rsid w:val="F7AE91F2"/>
    <w:rsid w:val="FBD7A4B6"/>
    <w:rsid w:val="FBFDE4CF"/>
    <w:rsid w:val="FBFF1139"/>
    <w:rsid w:val="FCBF39F7"/>
    <w:rsid w:val="FE7A153B"/>
    <w:rsid w:val="FF7F939B"/>
    <w:rsid w:val="FF87D1C4"/>
    <w:rsid w:val="FF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2022-06-06T02:54:00Z</dcterms:created>
  <dc:creator>vanessa</dc:creator>
  <cp:lastModifiedBy>vanessa</cp:lastModifiedBy>
  <dcterms:modified xsi:type="dcterms:W3CDTF">2022-06-27T16:58:59Z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