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吕倩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三下：混合运算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列综合算式解决问题。</w:t>
            </w:r>
          </w:p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商店中一件上衣76元，一件连衣裙22元，一顶帽子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元。</w:t>
            </w:r>
          </w:p>
          <w:p>
            <w:pPr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（1）买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条连衣裙比买1件上衣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少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花多少元？</w:t>
            </w:r>
          </w:p>
          <w:p>
            <w:pPr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（2）买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条连衣裙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  <w:lang w:val="en-US" w:eastAsia="zh-CN"/>
              </w:rPr>
              <w:t>和1件上衣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的钱，如果买帽子，能买几顶帽子？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解决问题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76-22×3      （2）76＋22÷7</w:t>
            </w:r>
          </w:p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 xml:space="preserve">              =54×3             =98÷7</w:t>
            </w:r>
          </w:p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 xml:space="preserve">              =162（元）         =14（元）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逻辑性错误□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策略性错误□   心理性错误□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没有读懂题意，没弄清楚先求什么，再求什么。或者在列带有小括号的综合算式时，忘记加上括号。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hint="default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数量关系；混合运算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先厘清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题目中的数量关系，最后看算式的运算顺序是否和解决实际问题的步骤一致，及时发现列式中的错误，保障问题能够正确解决。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76-22×3      （2）（76＋22）÷7</w:t>
            </w:r>
          </w:p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 xml:space="preserve">              =76-66              =98÷7</w:t>
            </w:r>
          </w:p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 xml:space="preserve">              =10（元）           =14（元）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小丽从图书室借一本《太空探险记》，共有132页。看了5天后还剩72页，平均每天看多少页?如果只能借阅9天，从第6天起，平均每天要看多少页?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</w:rPr>
              <w:t>通过练习，让学生进一步理解题目中的数量关系，并在解决问题的过程中增进对小括号作用的认识以及敏感性。可以让学生先独立练习，再交流自己的思考过程，从中感悟解决问题的基本思路，最后看算式的运算顺序是否和解决实际问题的步骤一致，及时发现列式中的错误，保障问题能够正确解决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535043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5</TotalTime>
  <ScaleCrop>false</ScaleCrop>
  <LinksUpToDate>false</LinksUpToDate>
  <CharactersWithSpaces>187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DELL</cp:lastModifiedBy>
  <dcterms:modified xsi:type="dcterms:W3CDTF">2022-04-22T07:30:29Z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4BC5858F7E524AB694E757F2BB70009A</vt:lpwstr>
  </property>
</Properties>
</file>