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79"/>
        </w:tabs>
        <w:spacing w:line="400" w:lineRule="exact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《篮球</w:t>
      </w:r>
      <w:r>
        <w:rPr>
          <w:rFonts w:hint="eastAsia"/>
          <w:b/>
          <w:bCs/>
          <w:sz w:val="36"/>
          <w:szCs w:val="44"/>
          <w:lang w:eastAsia="zh-CN"/>
        </w:rPr>
        <w:t>双手胸前传接球</w:t>
      </w:r>
      <w:r>
        <w:rPr>
          <w:rFonts w:hint="eastAsia"/>
          <w:b/>
          <w:bCs/>
          <w:sz w:val="36"/>
          <w:szCs w:val="44"/>
        </w:rPr>
        <w:t>》第一课时教学设计</w:t>
      </w:r>
    </w:p>
    <w:p>
      <w:pPr>
        <w:tabs>
          <w:tab w:val="left" w:pos="8679"/>
        </w:tabs>
        <w:spacing w:line="400" w:lineRule="exact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p>
      <w:pPr>
        <w:tabs>
          <w:tab w:val="left" w:pos="8679"/>
        </w:tabs>
        <w:spacing w:line="400" w:lineRule="exact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武进清英外国语学校  陈圆</w:t>
      </w:r>
    </w:p>
    <w:p>
      <w:pPr>
        <w:numPr>
          <w:ilvl w:val="0"/>
          <w:numId w:val="1"/>
        </w:num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指导思想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落实新课程的基本理念，从体现“健康第一”的指导思想、激发学生的运动兴趣、重视学生的主体地位和关注学生的个体差异的需求出发，结合</w:t>
      </w:r>
      <w:r>
        <w:rPr>
          <w:rFonts w:hint="eastAsia"/>
          <w:sz w:val="28"/>
          <w:szCs w:val="36"/>
          <w:lang w:eastAsia="zh-CN"/>
        </w:rPr>
        <w:t>五</w:t>
      </w:r>
      <w:r>
        <w:rPr>
          <w:rFonts w:hint="eastAsia"/>
          <w:sz w:val="28"/>
          <w:szCs w:val="36"/>
        </w:rPr>
        <w:t>年级学生喜欢篮球运动、爱玩的心理特点，选择篮球运球这个内容。根据学生已有原地运球基础，从玩球打开突破口，激发学生的篮球兴趣。</w:t>
      </w:r>
    </w:p>
    <w:p>
      <w:p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二、教材分析   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球类运动有着较为明显的互助与合作性。篮球运球属于水平三基本内容的主题教材之一。本课用“篮球</w:t>
      </w:r>
      <w:r>
        <w:rPr>
          <w:rFonts w:hint="eastAsia"/>
          <w:sz w:val="28"/>
          <w:szCs w:val="36"/>
          <w:lang w:eastAsia="zh-CN"/>
        </w:rPr>
        <w:t>传</w:t>
      </w:r>
      <w:r>
        <w:rPr>
          <w:rFonts w:hint="eastAsia"/>
          <w:sz w:val="28"/>
          <w:szCs w:val="36"/>
        </w:rPr>
        <w:t>球”作为教学内容，旨在它具有的游戏性、集体性、健身性等特点，为学生提供了促进学生身体、心理和社会适应和谐发展的生动而丰富的活动形式，是小学生最喜爱的活动内容。</w:t>
      </w:r>
    </w:p>
    <w:p>
      <w:p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三、学情分析   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本节课是借班上课，对象是</w:t>
      </w:r>
      <w:r>
        <w:rPr>
          <w:rFonts w:hint="eastAsia"/>
          <w:sz w:val="28"/>
          <w:szCs w:val="36"/>
          <w:lang w:eastAsia="zh-CN"/>
        </w:rPr>
        <w:t>马杭</w:t>
      </w:r>
      <w:r>
        <w:rPr>
          <w:rFonts w:hint="eastAsia"/>
          <w:sz w:val="28"/>
          <w:szCs w:val="36"/>
        </w:rPr>
        <w:t>小学五年级的学生。针对本次授课对象的特点，这个年龄段的学生活动能力强，求知欲强，好胜心强，思维敏捷，反应快。但是因为平时对篮球的接触不够多，所以篮球技术比较薄弱，在技术掌握上缺少持久性、连续性和稳定性。他们渴望通过学习掌握篮球的运球技术，这为教学的顺利开展提供了良好的保障。</w:t>
      </w:r>
    </w:p>
    <w:p>
      <w:pPr>
        <w:numPr>
          <w:ilvl w:val="0"/>
          <w:numId w:val="2"/>
        </w:num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设计思路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本课设计以教师为主导，学生为主体，身体练习为主线，以激发学生学习兴趣为出发点，并根据</w:t>
      </w:r>
      <w:r>
        <w:rPr>
          <w:rFonts w:hint="eastAsia"/>
          <w:sz w:val="28"/>
          <w:szCs w:val="36"/>
          <w:lang w:eastAsia="zh-CN"/>
        </w:rPr>
        <w:t>五</w:t>
      </w:r>
      <w:r>
        <w:rPr>
          <w:rFonts w:hint="eastAsia"/>
          <w:sz w:val="28"/>
          <w:szCs w:val="36"/>
        </w:rPr>
        <w:t>年级学生对篮球有新鲜感，好学的身心特点，确定了“</w:t>
      </w:r>
      <w:r>
        <w:rPr>
          <w:rFonts w:hint="eastAsia"/>
          <w:sz w:val="28"/>
          <w:szCs w:val="36"/>
          <w:lang w:eastAsia="zh-CN"/>
        </w:rPr>
        <w:t>双手胸前传接球</w:t>
      </w:r>
      <w:r>
        <w:rPr>
          <w:rFonts w:hint="eastAsia"/>
          <w:sz w:val="28"/>
          <w:szCs w:val="36"/>
        </w:rPr>
        <w:t>”为主教材，以比赛游戏为辅教材，来激发学生的学习兴趣。</w:t>
      </w:r>
    </w:p>
    <w:p>
      <w:p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五、教学目标</w:t>
      </w:r>
    </w:p>
    <w:p>
      <w:pPr>
        <w:tabs>
          <w:tab w:val="left" w:pos="8679"/>
        </w:tabs>
        <w:spacing w:line="400" w:lineRule="exact"/>
        <w:ind w:left="2519" w:leftChars="266" w:hanging="1960" w:hangingChars="7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认 知 目 标 ：通过本节课的学习使学生熟悉篮球的球性及初步掌握篮球</w:t>
      </w:r>
      <w:r>
        <w:rPr>
          <w:rFonts w:hint="eastAsia"/>
          <w:sz w:val="28"/>
          <w:szCs w:val="36"/>
          <w:lang w:eastAsia="zh-CN"/>
        </w:rPr>
        <w:t>双手胸前传接球</w:t>
      </w:r>
      <w:r>
        <w:rPr>
          <w:rFonts w:hint="eastAsia"/>
          <w:sz w:val="28"/>
          <w:szCs w:val="36"/>
        </w:rPr>
        <w:t>技术。</w:t>
      </w:r>
    </w:p>
    <w:p>
      <w:pPr>
        <w:tabs>
          <w:tab w:val="left" w:pos="8679"/>
        </w:tabs>
        <w:spacing w:line="400" w:lineRule="exact"/>
        <w:ind w:left="2519" w:leftChars="266" w:hanging="1960" w:hangingChars="7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技能参与目标：初步学习</w:t>
      </w:r>
      <w:r>
        <w:rPr>
          <w:rFonts w:hint="eastAsia"/>
          <w:sz w:val="28"/>
          <w:szCs w:val="36"/>
          <w:lang w:eastAsia="zh-CN"/>
        </w:rPr>
        <w:t>传接球</w:t>
      </w:r>
      <w:r>
        <w:rPr>
          <w:rFonts w:hint="eastAsia"/>
          <w:sz w:val="28"/>
          <w:szCs w:val="36"/>
        </w:rPr>
        <w:t>技术，让学生明白</w:t>
      </w:r>
      <w:r>
        <w:rPr>
          <w:rFonts w:hint="eastAsia"/>
          <w:sz w:val="28"/>
          <w:szCs w:val="36"/>
          <w:lang w:eastAsia="zh-CN"/>
        </w:rPr>
        <w:t>传接球</w:t>
      </w:r>
      <w:r>
        <w:rPr>
          <w:rFonts w:hint="eastAsia"/>
          <w:sz w:val="28"/>
          <w:szCs w:val="36"/>
        </w:rPr>
        <w:t>的动作技术及要领。</w:t>
      </w:r>
    </w:p>
    <w:p>
      <w:pPr>
        <w:tabs>
          <w:tab w:val="left" w:pos="8679"/>
        </w:tabs>
        <w:spacing w:line="400" w:lineRule="exact"/>
        <w:ind w:left="2519" w:leftChars="266" w:hanging="1960" w:hangingChars="7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心理健康目标：培养学生的遵守规则、团队合作能力，增强集体荣誉感及提高学生对篮球的兴趣。</w:t>
      </w:r>
    </w:p>
    <w:p>
      <w:p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六、教学重难点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重点：</w:t>
      </w:r>
      <w:r>
        <w:rPr>
          <w:rFonts w:hint="eastAsia"/>
          <w:sz w:val="28"/>
          <w:szCs w:val="36"/>
          <w:lang w:eastAsia="zh-CN"/>
        </w:rPr>
        <w:t>传球</w:t>
      </w:r>
      <w:r>
        <w:rPr>
          <w:rFonts w:hint="eastAsia"/>
          <w:sz w:val="28"/>
          <w:szCs w:val="36"/>
        </w:rPr>
        <w:t>的手型、</w:t>
      </w:r>
      <w:r>
        <w:rPr>
          <w:rFonts w:hint="eastAsia"/>
          <w:sz w:val="28"/>
          <w:szCs w:val="36"/>
          <w:lang w:eastAsia="zh-CN"/>
        </w:rPr>
        <w:t>接球手的</w:t>
      </w:r>
      <w:r>
        <w:rPr>
          <w:rFonts w:hint="eastAsia"/>
          <w:sz w:val="28"/>
          <w:szCs w:val="36"/>
        </w:rPr>
        <w:t>触球部位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难点：动作的协调连贯有节奏并保持稳定</w:t>
      </w: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</w:p>
    <w:p>
      <w:pPr>
        <w:tabs>
          <w:tab w:val="left" w:pos="8679"/>
        </w:tabs>
        <w:spacing w:line="400" w:lineRule="exact"/>
        <w:ind w:firstLine="560" w:firstLineChars="200"/>
        <w:rPr>
          <w:rFonts w:hint="eastAsia"/>
          <w:sz w:val="28"/>
          <w:szCs w:val="36"/>
        </w:rPr>
      </w:pPr>
    </w:p>
    <w:p>
      <w:p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</w:p>
    <w:tbl>
      <w:tblPr>
        <w:tblStyle w:val="2"/>
        <w:tblpPr w:leftFromText="180" w:rightFromText="180" w:vertAnchor="page" w:horzAnchor="page" w:tblpX="1254" w:tblpY="16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87"/>
        <w:gridCol w:w="1060"/>
        <w:gridCol w:w="233"/>
        <w:gridCol w:w="1143"/>
        <w:gridCol w:w="461"/>
        <w:gridCol w:w="995"/>
        <w:gridCol w:w="965"/>
        <w:gridCol w:w="124"/>
        <w:gridCol w:w="1525"/>
        <w:gridCol w:w="769"/>
        <w:gridCol w:w="60"/>
        <w:gridCol w:w="346"/>
        <w:gridCol w:w="690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学习阶段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五年级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40人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课次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第1次课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</w:t>
            </w:r>
          </w:p>
        </w:tc>
        <w:tc>
          <w:tcPr>
            <w:tcW w:w="9039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1．认知目标：通过教学，使学生懂得原地双手胸前传接球动作要领，领会全身协调用力；提高球性；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2．技能目标：通过教学，使95%以上的学生在初步掌握双手胸前传接球技术的同时， 50%左右的学生能在教师指导下完成双手胸前传接球动作，80%以上的学生能熟练地掌握原地双手胸前传接球动作；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3．情感目标：激发学生学习的积极性和创造性，增强学生团结协作和安全保健的意识，培养学生奋发向上的品质。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教学重难点</w:t>
            </w:r>
          </w:p>
        </w:tc>
        <w:tc>
          <w:tcPr>
            <w:tcW w:w="9039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重点：</w:t>
            </w:r>
            <w:r>
              <w:rPr>
                <w:rFonts w:hint="eastAsia"/>
                <w:lang w:eastAsia="zh-CN"/>
              </w:rPr>
              <w:t>传球</w:t>
            </w:r>
            <w:r>
              <w:rPr>
                <w:rFonts w:hint="eastAsia"/>
              </w:rPr>
              <w:t>的手型和触球部位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难点：动作的协调连贯有节奏并保持稳定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 全措 施</w:t>
            </w:r>
          </w:p>
        </w:tc>
        <w:tc>
          <w:tcPr>
            <w:tcW w:w="9039" w:type="dxa"/>
            <w:gridSpan w:val="14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在安全教育的基础上，注意运球节奏的快慢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利用教学器材，加强练习管理，避免人员碰撞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</w:t>
            </w:r>
          </w:p>
        </w:tc>
        <w:tc>
          <w:tcPr>
            <w:tcW w:w="13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83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教师指导策略</w:t>
            </w:r>
          </w:p>
        </w:tc>
        <w:tc>
          <w:tcPr>
            <w:tcW w:w="19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学生学练活动</w:t>
            </w:r>
          </w:p>
        </w:tc>
        <w:tc>
          <w:tcPr>
            <w:tcW w:w="241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组织队形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8" w:type="dxa"/>
            <w:vMerge w:val="continue"/>
            <w:noWrap w:val="0"/>
            <w:vAlign w:val="top"/>
          </w:tcPr>
          <w:p/>
        </w:tc>
        <w:tc>
          <w:tcPr>
            <w:tcW w:w="1347" w:type="dxa"/>
            <w:gridSpan w:val="2"/>
            <w:vMerge w:val="continue"/>
            <w:noWrap w:val="0"/>
            <w:vAlign w:val="top"/>
          </w:tcPr>
          <w:p/>
        </w:tc>
        <w:tc>
          <w:tcPr>
            <w:tcW w:w="1837" w:type="dxa"/>
            <w:gridSpan w:val="3"/>
            <w:vMerge w:val="continue"/>
            <w:noWrap w:val="0"/>
            <w:vAlign w:val="top"/>
          </w:tcPr>
          <w:p/>
        </w:tc>
        <w:tc>
          <w:tcPr>
            <w:tcW w:w="1960" w:type="dxa"/>
            <w:gridSpan w:val="2"/>
            <w:vMerge w:val="continue"/>
            <w:noWrap w:val="0"/>
            <w:vAlign w:val="top"/>
          </w:tcPr>
          <w:p/>
        </w:tc>
        <w:tc>
          <w:tcPr>
            <w:tcW w:w="2418" w:type="dxa"/>
            <w:gridSpan w:val="3"/>
            <w:vMerge w:val="continue"/>
            <w:noWrap w:val="0"/>
            <w:vAlign w:val="top"/>
          </w:tcPr>
          <w:p/>
        </w:tc>
        <w:tc>
          <w:tcPr>
            <w:tcW w:w="40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38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83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 始部 分</w:t>
            </w:r>
          </w:p>
          <w:p>
            <w:pPr>
              <w:jc w:val="center"/>
            </w:pPr>
            <w:r>
              <w:rPr>
                <w:rFonts w:hint="eastAsia"/>
              </w:rPr>
              <w:t>2’</w:t>
            </w: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1、课堂常规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集合整队、师生问好，宣布课的内容和要求</w:t>
            </w:r>
          </w:p>
        </w:tc>
        <w:tc>
          <w:tcPr>
            <w:tcW w:w="1837" w:type="dxa"/>
            <w:gridSpan w:val="3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组织学生四列横队站好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以篮球知识导入本节课的内容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教师提问，语言诱导，激发学生学习兴趣</w:t>
            </w:r>
          </w:p>
        </w:tc>
        <w:tc>
          <w:tcPr>
            <w:tcW w:w="1960" w:type="dxa"/>
            <w:gridSpan w:val="2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体育委员四列横队整队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要求：快、静、齐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集合队形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2418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/>
          <w:p>
            <w:pPr>
              <w:tabs>
                <w:tab w:val="left" w:pos="1755"/>
              </w:tabs>
              <w:rPr>
                <w:rFonts w:hint="eastAsia"/>
                <w:b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418590" cy="715645"/>
                  <wp:effectExtent l="0" t="0" r="10160" b="825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cs="Calibri"/>
              </w:rPr>
            </w:pPr>
          </w:p>
        </w:tc>
        <w:tc>
          <w:tcPr>
            <w:tcW w:w="406" w:type="dxa"/>
            <w:gridSpan w:val="2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</w:tc>
        <w:tc>
          <w:tcPr>
            <w:tcW w:w="381" w:type="dxa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83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 备部 分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6’</w:t>
            </w: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2、组织热身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热身慢跑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（1）手指、手腕弹拨球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（2）双手胸前抛接球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（3）球绕身体交换球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（4）“8”字绕球</w:t>
            </w:r>
          </w:p>
          <w:p>
            <w:r>
              <w:rPr>
                <w:rFonts w:hint="eastAsia"/>
              </w:rPr>
              <w:t>（5）左右手原地运球</w:t>
            </w:r>
          </w:p>
        </w:tc>
        <w:tc>
          <w:tcPr>
            <w:tcW w:w="1837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1、组织学生按要求进行慢跑</w:t>
            </w:r>
          </w:p>
          <w:p>
            <w:r>
              <w:rPr>
                <w:rFonts w:hint="eastAsia"/>
              </w:rPr>
              <w:t>2、教师带领学生做球性练习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手指拨球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左右脚绕球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两脚间左右拉球</w:t>
            </w:r>
          </w:p>
          <w:p/>
        </w:tc>
        <w:tc>
          <w:tcPr>
            <w:tcW w:w="19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学生跟随老师一起进行慢跑，注意保持前后距离，避免冲撞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认真听讲，按要求完成各项球性练习</w:t>
            </w:r>
          </w:p>
        </w:tc>
        <w:tc>
          <w:tcPr>
            <w:tcW w:w="2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kern w:val="21"/>
                <w:szCs w:val="21"/>
              </w:rPr>
            </w:pPr>
            <w:r>
              <w:rPr>
                <w:rFonts w:ascii="宋体" w:hAnsi="宋体"/>
                <w:b/>
                <w:bCs/>
                <w:kern w:val="21"/>
                <w:szCs w:val="21"/>
              </w:rPr>
              <w:drawing>
                <wp:inline distT="0" distB="0" distL="114300" distR="114300">
                  <wp:extent cx="1403350" cy="995045"/>
                  <wp:effectExtent l="0" t="0" r="6350" b="1460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39" w:leftChars="114"/>
            </w:pPr>
            <w:r>
              <w:rPr>
                <w:rFonts w:hint="eastAsia"/>
              </w:rPr>
              <w:t>目的：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热开身体，预防损伤，提高学生的积极性</w:t>
            </w:r>
          </w:p>
        </w:tc>
        <w:tc>
          <w:tcPr>
            <w:tcW w:w="406" w:type="dxa"/>
            <w:gridSpan w:val="2"/>
            <w:noWrap w:val="0"/>
            <w:vAlign w:val="top"/>
          </w:tcPr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4’</w:t>
            </w:r>
          </w:p>
        </w:tc>
        <w:tc>
          <w:tcPr>
            <w:tcW w:w="690" w:type="dxa"/>
            <w:noWrap w:val="0"/>
            <w:vAlign w:val="top"/>
          </w:tcPr>
          <w:p/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次</w:t>
            </w:r>
          </w:p>
        </w:tc>
        <w:tc>
          <w:tcPr>
            <w:tcW w:w="381" w:type="dxa"/>
            <w:noWrap w:val="0"/>
            <w:vAlign w:val="top"/>
          </w:tcPr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</w:tr>
    </w:tbl>
    <w:p>
      <w:pPr>
        <w:ind w:firstLine="720" w:firstLineChars="200"/>
        <w:jc w:val="center"/>
        <w:rPr>
          <w:rFonts w:hint="eastAsia"/>
          <w:sz w:val="36"/>
          <w:szCs w:val="44"/>
        </w:rPr>
        <w:sectPr>
          <w:pgSz w:w="11906" w:h="16838"/>
          <w:pgMar w:top="850" w:right="850" w:bottom="850" w:left="1134" w:header="851" w:footer="992" w:gutter="0"/>
          <w:cols w:space="720" w:num="1"/>
          <w:docGrid w:type="lines" w:linePitch="315" w:charSpace="0"/>
        </w:sectPr>
      </w:pPr>
      <w:r>
        <w:rPr>
          <w:rFonts w:hint="eastAsia"/>
          <w:sz w:val="36"/>
          <w:szCs w:val="44"/>
        </w:rPr>
        <w:t>水平三：《篮球</w:t>
      </w:r>
      <w:r>
        <w:rPr>
          <w:rFonts w:hint="eastAsia"/>
          <w:sz w:val="36"/>
          <w:szCs w:val="36"/>
        </w:rPr>
        <w:t>原地双手胸前传接球</w:t>
      </w:r>
      <w:r>
        <w:rPr>
          <w:rFonts w:hint="eastAsia"/>
          <w:sz w:val="36"/>
          <w:szCs w:val="44"/>
        </w:rPr>
        <w:t>》课时计划</w:t>
      </w:r>
    </w:p>
    <w:tbl>
      <w:tblPr>
        <w:tblStyle w:val="2"/>
        <w:tblpPr w:leftFromText="180" w:rightFromText="180" w:vertAnchor="page" w:horzAnchor="page" w:tblpX="1267" w:tblpY="16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38"/>
        <w:gridCol w:w="1827"/>
        <w:gridCol w:w="1949"/>
        <w:gridCol w:w="2405"/>
        <w:gridCol w:w="480"/>
        <w:gridCol w:w="480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50" w:hRule="atLeast"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 本部 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30’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3、学习原地双手胸前传接球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动作要点：持球动作正确，用力协调连贯，食指、中指拨球。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1827" w:type="dxa"/>
            <w:noWrap w:val="0"/>
            <w:vAlign w:val="top"/>
          </w:tcPr>
          <w:p>
            <w:r>
              <w:rPr>
                <w:rFonts w:hint="eastAsia"/>
              </w:rPr>
              <w:t>教师讲解示范动作要领：</w:t>
            </w:r>
            <w:r>
              <w:rPr>
                <w:rFonts w:hint="eastAsia"/>
                <w:b/>
                <w:bCs/>
              </w:rPr>
              <w:t>两脚左右（或前后）稍开列，双膝微曲，身体稍向前倾。两臂屈肘自然下垂，身体成基本站立姿势，眼平视传球目标。双手五指自然分开，大拇指成八字形，指根以上部位持球的两侧后下方，将球置于胸腹之间。传球时后脚蹬地发力，身体重心前移，双臂充分前伸，手腕随之内旋，拇指用力下压。食、中指用力拨球并将球传出。球出手后，两手略向外翻。</w:t>
            </w:r>
          </w:p>
          <w:p/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接球动作：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接球时，两眼注视来球，两臂迎球前伸，五指自然分开，拇指成八字形，其他手指向前上方伸，双手成半圆形，双手握球后两臂顺势屈肘后引缓冲来球力量。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一．接力组织：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分成两人一组，面对面传球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二．教法与步骤：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1）教师示范、讲解比赛方法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2）提出比赛规则</w:t>
            </w:r>
          </w:p>
          <w:p>
            <w:r>
              <w:rPr>
                <w:rFonts w:hint="eastAsia"/>
              </w:rPr>
              <w:t>3）组织学生比赛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一．学练法与步骤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 认真听讲、仔细观察示范、理解重点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  观察对比示范、回答教师提问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3．集体练习方法：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1学生先原地模仿双手胸前传球接球动作。（无球）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2原地持球练习双手胸前传接球动作。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  <w:lang w:eastAsia="zh-CN"/>
              </w:rPr>
              <w:t>两人</w:t>
            </w:r>
            <w:r>
              <w:rPr>
                <w:rFonts w:hint="eastAsia"/>
              </w:rPr>
              <w:t>练习双手胸前传球动作。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3.4迎面上步接球、双手胸前传球练习。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3.5.学生两人一组，间隔4米，练习双手胸前传接球。</w:t>
            </w:r>
          </w:p>
          <w:p>
            <w:pPr>
              <w:numPr>
                <w:ilvl w:val="0"/>
                <w:numId w:val="0"/>
              </w:numPr>
              <w:ind w:leftChars="0"/>
            </w:pPr>
          </w:p>
        </w:tc>
        <w:tc>
          <w:tcPr>
            <w:tcW w:w="2405" w:type="dxa"/>
            <w:noWrap w:val="0"/>
            <w:vAlign w:val="top"/>
          </w:tcPr>
          <w:p>
            <w:pPr>
              <w:ind w:left="239" w:leftChars="114"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418590" cy="715645"/>
                  <wp:effectExtent l="0" t="0" r="10160" b="825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39" w:leftChars="114" w:firstLine="1920" w:firstLineChars="8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×××××××</w:t>
            </w:r>
          </w:p>
          <w:p>
            <w:pPr>
              <w:ind w:left="239" w:leftChars="11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××××××××××××××××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128905</wp:posOffset>
                      </wp:positionV>
                      <wp:extent cx="180975" cy="171450"/>
                      <wp:effectExtent l="14605" t="15240" r="33020" b="22860"/>
                      <wp:wrapNone/>
                      <wp:docPr id="11" name="五角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9.05pt;margin-top:10.15pt;height:13.5pt;width:14.25pt;z-index:251659264;mso-width-relative:page;mso-height-relative:page;" fillcolor="#FFFFFF" filled="t" stroked="t" coordsize="21600,21600" o:gfxdata="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W0ItbWAAAACAEAAA8AAAAAAAAAAQAgAAAAIgAAAGRycy9k&#10;b3ducmV2LnhtbFBLAQIUABQAAAAIAIdO4kDufLOnBAIAACMEAAAOAAAAAAAAAAEAIAAAACUBAABk&#10;cnMvZTJvRG9jLnhtbFBLBQYAAAAABgAGAFkBAACbBQAAAAA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pPr>
              <w:ind w:left="239" w:leftChars="11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74930</wp:posOffset>
                      </wp:positionV>
                      <wp:extent cx="180975" cy="171450"/>
                      <wp:effectExtent l="14605" t="15240" r="33020" b="22860"/>
                      <wp:wrapNone/>
                      <wp:docPr id="12" name="五角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9.8pt;margin-top:5.9pt;height:13.5pt;width:14.25pt;z-index:251660288;mso-width-relative:page;mso-height-relative:page;" fillcolor="#FFFFFF" filled="t" stroked="t" coordsize="21600,21600" o:gfxdata="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olfR/VAAAACAEAAA8AAAAAAAAAAQAgAAAAIgAAAGRycy9k&#10;b3ducmV2LnhtbFBLAQIUABQAAAAIAIdO4kD57q35BQIAACMEAAAOAAAAAAAAAAEAIAAAACQBAABk&#10;cnMvZTJvRG9jLnhtbFBLBQYAAAAABgAGAFkBAACbBQAAAAA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647825" cy="934085"/>
                  <wp:effectExtent l="0" t="0" r="9525" b="18415"/>
                  <wp:docPr id="13" name="图片 8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未命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760095" cy="734060"/>
                  <wp:effectExtent l="0" t="0" r="1905" b="8890"/>
                  <wp:docPr id="1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  <w:tc>
          <w:tcPr>
            <w:tcW w:w="480" w:type="dxa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4’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’</w:t>
            </w:r>
          </w:p>
        </w:tc>
        <w:tc>
          <w:tcPr>
            <w:tcW w:w="480" w:type="dxa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15-20</w:t>
            </w:r>
            <w:r>
              <w:rPr>
                <w:rFonts w:hint="eastAsia"/>
              </w:rPr>
              <w:t>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t>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次</w:t>
            </w:r>
          </w:p>
          <w:p>
            <w:r>
              <w:rPr>
                <w:rFonts w:hint="eastAsia"/>
              </w:rPr>
              <w:t xml:space="preserve">         </w:t>
            </w:r>
          </w:p>
          <w:p>
            <w:r>
              <w:rPr>
                <w:rFonts w:hint="eastAsia"/>
              </w:rPr>
              <w:t xml:space="preserve">       </w:t>
            </w:r>
          </w:p>
        </w:tc>
        <w:tc>
          <w:tcPr>
            <w:tcW w:w="5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大</w:t>
            </w:r>
          </w:p>
        </w:tc>
      </w:tr>
    </w:tbl>
    <w:p>
      <w:pPr>
        <w:tabs>
          <w:tab w:val="left" w:pos="8679"/>
        </w:tabs>
        <w:spacing w:line="400" w:lineRule="exact"/>
        <w:rPr>
          <w:rFonts w:hint="eastAsia"/>
          <w:sz w:val="28"/>
          <w:szCs w:val="36"/>
        </w:rPr>
      </w:pPr>
    </w:p>
    <w:p>
      <w:pPr>
        <w:tabs>
          <w:tab w:val="left" w:pos="8679"/>
        </w:tabs>
        <w:rPr>
          <w:rFonts w:hint="eastAsia"/>
          <w:sz w:val="24"/>
          <w:szCs w:val="32"/>
        </w:rPr>
      </w:pPr>
    </w:p>
    <w:tbl>
      <w:tblPr>
        <w:tblStyle w:val="2"/>
        <w:tblpPr w:leftFromText="180" w:rightFromText="180" w:vertAnchor="page" w:horzAnchor="page" w:tblpX="1267" w:tblpY="16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50"/>
        <w:gridCol w:w="1842"/>
        <w:gridCol w:w="1965"/>
        <w:gridCol w:w="2425"/>
        <w:gridCol w:w="484"/>
        <w:gridCol w:w="484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7、体能练习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反应力</w:t>
            </w:r>
            <w:r>
              <w:rPr>
                <w:rFonts w:hint="eastAsia"/>
              </w:rPr>
              <w:t>比赛：：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规则：</w:t>
            </w:r>
            <w:r>
              <w:rPr>
                <w:rFonts w:hint="eastAsia"/>
                <w:sz w:val="18"/>
                <w:szCs w:val="18"/>
                <w:lang w:eastAsia="zh-CN"/>
              </w:rPr>
              <w:t>两人面对面站立，球在两人之间，听哨声做高抬腿，小步跑等素质练习，并根据教师口令进行摸身体部位及摸球比赛，没有摸到球的同学进行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10次深蹲练习。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．组织队形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．学练法与步骤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1.认真听讲，理解掌握游戏规则。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 xml:space="preserve"> 学生练习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．游戏目的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提高学生反应力及注意力练习。</w:t>
            </w:r>
          </w:p>
        </w:tc>
        <w:tc>
          <w:tcPr>
            <w:tcW w:w="2425" w:type="dxa"/>
            <w:noWrap w:val="0"/>
            <w:vAlign w:val="top"/>
          </w:tcPr>
          <w:p/>
          <w:p/>
          <w:p>
            <w:r>
              <w:drawing>
                <wp:inline distT="0" distB="0" distL="114300" distR="114300">
                  <wp:extent cx="1649730" cy="890270"/>
                  <wp:effectExtent l="0" t="0" r="7620" b="5080"/>
                  <wp:docPr id="15" name="图片 10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未命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’</w:t>
            </w:r>
          </w:p>
        </w:tc>
        <w:tc>
          <w:tcPr>
            <w:tcW w:w="4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7-10</w:t>
            </w:r>
            <w:r>
              <w:rPr>
                <w:rFonts w:hint="eastAsia"/>
              </w:rPr>
              <w:t>次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结束部分</w:t>
            </w:r>
          </w:p>
          <w:p>
            <w:pPr>
              <w:jc w:val="center"/>
            </w:pPr>
            <w:r>
              <w:rPr>
                <w:rFonts w:hint="eastAsia"/>
              </w:rPr>
              <w:t>2’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</w:rPr>
              <w:t>放松练习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小结讲评</w:t>
            </w:r>
          </w:p>
          <w:p/>
          <w:p/>
          <w:p/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教师带领学生进行放松练习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教师对本节课练习进行讲评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学生认真跟随教师放松身心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倾听老师的总结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pPr>
              <w:ind w:left="239" w:leftChars="11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××××××××××××××××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</w:t>
            </w:r>
          </w:p>
          <w:p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120015</wp:posOffset>
                      </wp:positionV>
                      <wp:extent cx="180975" cy="171450"/>
                      <wp:effectExtent l="14605" t="15240" r="33020" b="22860"/>
                      <wp:wrapTopAndBottom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95pt;margin-top:9.45pt;height:13.5pt;width:14.25pt;mso-wrap-distance-bottom:0pt;mso-wrap-distance-top:0pt;z-index:251661312;mso-width-relative:page;mso-height-relative:page;" fillcolor="#FFFFFF" filled="t" stroked="t" coordsize="21600,21600" o:gfxdata="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u/Q63WAAAACQEAAA8AAAAAAAAAAQAgAAAAIgAA&#10;AGRycy9kb3ducmV2LnhtbFBLAQIUABQAAAAIAIdO4kDLv+bcCgIAAC4EAAAOAAAAAAAAAAEAIAAA&#10;ACUBAABkcnMvZTJvRG9jLnhtbFBLBQYAAAAABgAGAFkBAAChBQAAAAA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bookmarkEnd w:id="0"/>
          </w:p>
        </w:tc>
        <w:tc>
          <w:tcPr>
            <w:tcW w:w="48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’</w:t>
            </w:r>
          </w:p>
        </w:tc>
        <w:tc>
          <w:tcPr>
            <w:tcW w:w="48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场地与器材</w:t>
            </w:r>
          </w:p>
        </w:tc>
        <w:tc>
          <w:tcPr>
            <w:tcW w:w="7711" w:type="dxa"/>
            <w:gridSpan w:val="6"/>
            <w:noWrap w:val="0"/>
            <w:vAlign w:val="top"/>
          </w:tcPr>
          <w:p>
            <w:r>
              <w:rPr>
                <w:rFonts w:hint="eastAsia"/>
              </w:rPr>
              <w:t>篮球×41，标志×41，音响×1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运动负荷预计</w:t>
            </w:r>
          </w:p>
        </w:tc>
        <w:tc>
          <w:tcPr>
            <w:tcW w:w="77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预计练习密度：60％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预计平均心率：120-130次/分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课后反思</w:t>
            </w:r>
          </w:p>
        </w:tc>
        <w:tc>
          <w:tcPr>
            <w:tcW w:w="77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8679"/>
        </w:tabs>
        <w:rPr>
          <w:rFonts w:hint="eastAsia"/>
          <w:sz w:val="28"/>
          <w:szCs w:val="36"/>
        </w:rPr>
      </w:pPr>
    </w:p>
    <w:p>
      <w:pPr>
        <w:tabs>
          <w:tab w:val="left" w:pos="8679"/>
        </w:tabs>
        <w:rPr>
          <w:rFonts w:hint="eastAsia"/>
          <w:sz w:val="28"/>
          <w:szCs w:val="36"/>
        </w:rPr>
      </w:pPr>
    </w:p>
    <w:p/>
    <w:sectPr>
      <w:pgSz w:w="11906" w:h="16838"/>
      <w:pgMar w:top="850" w:right="850" w:bottom="850" w:left="113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DC066"/>
    <w:multiLevelType w:val="singleLevel"/>
    <w:tmpl w:val="C95DC0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1A95A25"/>
    <w:multiLevelType w:val="singleLevel"/>
    <w:tmpl w:val="01A95A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B606AB"/>
    <w:multiLevelType w:val="singleLevel"/>
    <w:tmpl w:val="08B606A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5895CB"/>
    <w:multiLevelType w:val="singleLevel"/>
    <w:tmpl w:val="145895C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A178868"/>
    <w:multiLevelType w:val="singleLevel"/>
    <w:tmpl w:val="1A1788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6BE2D1B"/>
    <w:multiLevelType w:val="singleLevel"/>
    <w:tmpl w:val="36BE2D1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D217347"/>
    <w:multiLevelType w:val="singleLevel"/>
    <w:tmpl w:val="3D2173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ThiNTZhNTg0YTMwMjNkMDI3MmNkOTdhZDcyMjUifQ=="/>
  </w:docVars>
  <w:rsids>
    <w:rsidRoot w:val="00000000"/>
    <w:rsid w:val="54A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2022-05-21T22:38:19Z</dcterms:created>
  <dc:creator>Administrator</dc:creator>
  <cp:lastModifiedBy>WPS_1569714982</cp:lastModifiedBy>
  <dcterms:modified xsi:type="dcterms:W3CDTF">2022-05-21T22:40:32Z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DFC85967F47C4393828C6CE95A9C85D9</vt:lpwstr>
  </property>
</Properties>
</file>