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rPr>
      </w:pPr>
      <w:r>
        <w:rPr>
          <w:rFonts w:hint="eastAsia" w:ascii="黑体" w:hAnsi="黑体" w:eastAsia="黑体" w:cs="黑体"/>
          <w:bCs/>
          <w:sz w:val="32"/>
          <w:szCs w:val="32"/>
          <w:u w:val="none"/>
          <w:lang w:eastAsia="zh-CN"/>
        </w:rPr>
        <w:t>《</w:t>
      </w:r>
      <w:r>
        <w:rPr>
          <w:rFonts w:hint="eastAsia" w:ascii="黑体" w:hAnsi="黑体" w:eastAsia="黑体" w:cs="黑体"/>
          <w:bCs/>
          <w:sz w:val="32"/>
          <w:szCs w:val="32"/>
          <w:u w:val="none"/>
        </w:rPr>
        <w:t>幼儿足球游戏的开发与</w:t>
      </w:r>
      <w:r>
        <w:rPr>
          <w:rFonts w:hint="eastAsia" w:ascii="黑体" w:hAnsi="黑体" w:eastAsia="黑体" w:cs="黑体"/>
          <w:bCs/>
          <w:sz w:val="32"/>
          <w:szCs w:val="32"/>
          <w:u w:val="none"/>
          <w:lang w:val="en-US" w:eastAsia="zh-CN"/>
        </w:rPr>
        <w:t>实践</w:t>
      </w:r>
      <w:r>
        <w:rPr>
          <w:rFonts w:hint="eastAsia" w:ascii="黑体" w:hAnsi="黑体" w:eastAsia="黑体" w:cs="黑体"/>
          <w:bCs/>
          <w:sz w:val="32"/>
          <w:szCs w:val="32"/>
          <w:u w:val="none"/>
        </w:rPr>
        <w:t>研究</w:t>
      </w:r>
      <w:r>
        <w:rPr>
          <w:rFonts w:hint="eastAsia" w:ascii="黑体" w:hAnsi="黑体" w:eastAsia="黑体" w:cs="黑体"/>
          <w:bCs/>
          <w:sz w:val="32"/>
          <w:szCs w:val="32"/>
          <w:u w:val="none"/>
          <w:lang w:eastAsia="zh-CN"/>
        </w:rPr>
        <w:t>》</w:t>
      </w:r>
      <w:r>
        <w:rPr>
          <w:rFonts w:hint="eastAsia" w:ascii="黑体" w:hAnsi="黑体" w:eastAsia="黑体" w:cs="黑体"/>
          <w:bCs/>
          <w:sz w:val="32"/>
          <w:szCs w:val="32"/>
          <w:u w:val="none"/>
          <w:lang w:val="en-US" w:eastAsia="zh-CN"/>
        </w:rPr>
        <w:t>开题报告</w:t>
      </w:r>
    </w:p>
    <w:p>
      <w:pPr>
        <w:jc w:val="center"/>
        <w:rPr>
          <w:rFonts w:hint="default" w:ascii="华文楷体" w:hAnsi="华文楷体" w:eastAsia="华文楷体"/>
          <w:sz w:val="24"/>
          <w:szCs w:val="24"/>
          <w:lang w:val="en-US" w:eastAsia="zh-CN"/>
        </w:rPr>
      </w:pPr>
      <w:r>
        <w:rPr>
          <w:rFonts w:hint="eastAsia" w:ascii="华文楷体" w:hAnsi="华文楷体" w:eastAsia="华文楷体"/>
          <w:sz w:val="24"/>
          <w:szCs w:val="24"/>
          <w:lang w:val="en-US" w:eastAsia="zh-CN"/>
        </w:rPr>
        <w:t>常州市天宁区青龙中心幼儿园紫云分园</w:t>
      </w:r>
    </w:p>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一、核心概念及其界定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幼儿足球游戏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幼儿足球游戏</w:t>
      </w:r>
      <w:r>
        <w:rPr>
          <w:rFonts w:hint="eastAsia" w:ascii="宋体" w:hAnsi="宋体" w:eastAsia="宋体" w:cs="宋体"/>
          <w:sz w:val="24"/>
          <w:szCs w:val="24"/>
        </w:rPr>
        <w:t>是结合幼儿的年龄特征，将运动魅力融入游戏中，改编或创编成适宜幼儿身心发展的运动游戏。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幼儿足球游戏的目的是让孩子玩转足球，快乐踢球。让孩子动起来，发展动觉和平衡觉，释放孩子天性，参与团队合作竞争，增强动作、运动技能的灵敏度、协调性和平衡感，促进体能的发展。把枯燥的运动变成幼儿感兴趣的游戏，孩子们在快乐的游戏中感受足球，在足球活动中体验快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过程中研究幼儿足球游戏在幼儿园开展的适宜性、科学性、游戏性、情境性，探索其在幼儿园开展的教育价值，从幼儿园的实际出发，选择主题游戏中有关幼儿玩足球的游戏进行改编，研究适宜幼儿身心发展的足球游戏的教育方法和方式，同时注重幼儿足球游戏实施途径和方法的研究，开发成让孩子锻炼、竞赛、展示的足球游戏，使开发的足球游戏具有对抗性、挑战性、愉悦性、协作性等特征，进而培养幼儿对足球游戏的兴趣，促进其身心健康快乐地发展。</w:t>
      </w:r>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二、国内外</w:t>
      </w:r>
      <w:r>
        <w:rPr>
          <w:rFonts w:hint="eastAsia" w:ascii="宋体" w:hAnsi="宋体" w:eastAsia="宋体" w:cs="宋体"/>
          <w:b/>
          <w:bCs/>
          <w:sz w:val="24"/>
          <w:szCs w:val="24"/>
          <w:lang w:val="en-US" w:eastAsia="zh-CN"/>
        </w:rPr>
        <w:t>幼儿足球游戏开发的</w:t>
      </w:r>
      <w:r>
        <w:rPr>
          <w:rFonts w:hint="eastAsia" w:ascii="宋体" w:hAnsi="宋体" w:eastAsia="宋体" w:cs="宋体"/>
          <w:b/>
          <w:bCs/>
          <w:sz w:val="24"/>
          <w:szCs w:val="24"/>
        </w:rPr>
        <w:t>现状及本课题研究的价值</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幼儿足球游戏的价值与特征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2019年3月我国教育部发布《教育部办公厅关于开展足球特色幼儿园试点工作的通知》，要求各省级教育行政部门要加强分类指导，遵循幼儿年龄特点和身心发展规律，坚持以游戏为基本活动，带动校园足球更加广泛地普及和深入发展。各级各地幼儿园逐步开展校园足球活动、足球游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幼儿足球游戏具有以体健身、以体启德、以体促美和以体益智的重要价值。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幼儿园教育指导纲要》和《3-6岁儿童发展保教指南》中都强调要“以保护儿童生命健康”为首要任务，通过参加足球游戏，幼儿增强动作、运动技能的灵敏度、协调性和平衡感，促进体能发展，研究表明参与足球游戏的幼儿健康体检数据要远远优于城区的孩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国幼儿足球专家委员会游戏推广组委员、内蒙古自治区鄂尔多斯市东胜区康和丽舍幼儿园园长魏俊玲说：“游戏就是孩子的生命，足球属于平民运动，足球在幼儿园相对来说比较好操作，幼儿园足球游戏主要是培养幼儿的足球兴趣，足球会给孩子带来强健的体魄，使孩子通过参加足球，从性格、意志品质、学习品质各个方面都发生改变。”足球运动本身就是一项集体合作的运动，而现在的独身子女，大多自我为中心，与人协作的意识和能力比较欠缺。当下对于集众爱于一身的孩子来说，直面挫败的能力以及勇敢坚持的品质还远未养成，而足球运动却需要绝对的勇敢精神和持久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足球游戏还能够促进幼儿感受美和欣赏美的作用，幼儿在足球游戏中体会规则礼仪之美。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结合足球运动和游戏特征开发的足球游戏除了有游戏的趣味性外，还有对抗性、协作性、挑战性、愉悦性，让幼儿在游戏中感受足球独特的魅力和激情。</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幼儿足球游戏的实践路径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着素质教育的推进和对中国教育的反思，近几年来，幼儿足球游戏越来越火热地在中小学乃至幼儿园里开展，大家开始越来越重视足球运动给孩子们带来的独特作用，通过开展足球游戏锻炼身体、磨炼意志，培养团队意识等等。但幼儿园普遍开展足球游戏还为时较短，关于幼儿园足球游戏也有一些关于这方面的研究论文和教学案例，总结以往的经验，大家都认为根据幼儿身心发展特点，幼儿园足球游戏要区别于中小学足球活动，在教育教学方法上更加重视足球活动的游戏化和情景化，如《小足球活动游戏化教学的研究》《幼儿游戏化足球课程的建构研究》等。国外有些幼儿园和国内的(如上海,广州)某些幼儿园，近几年也开设足球兴趣班，足球队或开展一些足球游戏特色课程，对幼儿进行足球基本动作的训练，以增强幼儿的身体素质，进一步促进幼儿的身心健康发展。虽然这些幼儿园没有在全园范围内开展足球活动，但我们也可以借鉴和吸收他们成功的做法和经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全国并没有统一的幼儿足球课程，如何有效地组织开展足球游戏，几乎没有任何可以借鉴的研究经验。一直以来，谈到幼儿园足球，人们心中会存在这样的疑惑，即幼儿园开展足球运动合适吗？孩子们喜欢吗？会不会给他们带来负面的影响？幼儿园足球运动到底是什么定位，重技能训练还是重品质培养？……虞永平教授说“适宜的幼儿教育是我们幼教工作者长期的追求。”，所以我们拟定通过这个研究，能够清晰梳理出什么样的足球游戏是适合幼儿的，研究足球课程在幼儿园开展的适宜性，寻找适合幼儿足球运动的科学的教育方法和方式，为课程教育价值探索填补空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著名儿童心理与儿童足球教育专家殷红博说：“要让百万幼儿在关键期科学地踢足球。”我们将足球游戏纳入幼儿教育课程进行整体,系统,深入的研究,寻找足球游戏与幼儿健康活动相结合的最佳方式,筛选出大量的适合幼儿园开展的足球教育内容,将其与幼儿园教育教学的各个领域和幼儿的一日生活整合起来。我们的研究过程将为幼儿园体育教育改革丰富教育形式和内容，扩大研究的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对相关资料的查询、网络的搜索。幼儿的足球游戏活动开展得并不广泛，多数幼儿园开展的游戏活动都比较传统。并且出于幼儿的安全等方面的考虑，幼儿常被束缚在幼儿园狭小的空间中进行游戏，难以接触大的游戏空间感受奔跑的畅快乐趣。在课程游戏化背景下幼儿园的足球游戏活动需要进行创新和改革。足球游戏可以很好地提升儿童的学习兴趣，让其能够在快乐的游戏过程中体验不一样的足球课程的学习。因此，本课题对于幼儿足球游戏实施与组织策略的研究既符合时代背景下学前教育的理念特征，同时具有深度的研究价值。</w:t>
      </w:r>
    </w:p>
    <w:p>
      <w:pPr>
        <w:numPr>
          <w:ilvl w:val="0"/>
          <w:numId w:val="1"/>
        </w:num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研究目标</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通过课题研究，培养幼儿对足球运动的兴趣，掌握足球运动的基本理论和运动技能，发育良好的身体、愉快的情绪、强健的体质、协调的动作、良好的生活习惯和基本生活能力</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通过课题研究，探索推进足球游戏开展的有效途径与方法，开发适宜不同年龄段幼儿的足球游戏、归纳足球游戏组织策略。</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通过课题研究，提高教师的科学研究和课程开发的能力，提升幼儿园的办园层次，形成园本化的足球游戏。</w:t>
      </w:r>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四、研究内容</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幼儿足球游戏开发与实施的文献研究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通过互联网及专业教育期刊杂志搜集整理关于幼儿足球游戏开发与实施的相关论文论著等文献材料，学习幼儿园足球开发与实施的相关理论、厘清园内外足球游戏可利用的资源。形成本课题文献综述。</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本园幼儿体育运动和游戏活动现状的调查研究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用观察记录的方法，了解幼儿在园内一天的运动、户内户外活动时间、运动量、负荷度以及幼儿的兴趣度。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通过访谈向老师了解当前幼儿园在游戏活动开发与实施方面的问题和建议。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通过前期幼儿身体素质数据的分析，比照同年龄段幼儿身体素质的发育标准，了解我园幼儿运动技能水平和素质发展状况，为后续研究提供基础数据。</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3.足球游戏设计和组织策略的实践研究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区域自主玩足球，将区域自主游戏分成竞技型、对抗型、桌面型等，在不同类型、不同游戏情景中感受足球的魅力与比赛的快乐。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一小时体锻融足球，每周固定时间段的足球游戏活动，将足球游戏设置在周安排活动表中，晨间活动加入足球游戏，保证足球游戏时间。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游戏中展演足球，快乐“足球节”、快乐“足球操”、足球“手拉手”。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亲子同玩足球，亲子足球游戏、以班级为单位的足球交流赛、足球知识竞赛</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幼儿足球游戏实施的评价研究</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（1）观测性评价：通过观察、测量等多种方式，评价幼儿的发展。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档案袋评价：以照片的形式呈现，以此判断幼儿对足球游戏的兴趣度，以及对幼儿在游戏过程中的合</w:t>
      </w:r>
      <w:bookmarkStart w:id="0" w:name="_GoBack"/>
      <w:bookmarkEnd w:id="0"/>
      <w:r>
        <w:rPr>
          <w:rFonts w:hint="eastAsia" w:ascii="宋体" w:hAnsi="宋体" w:eastAsia="宋体" w:cs="宋体"/>
          <w:sz w:val="24"/>
          <w:szCs w:val="24"/>
        </w:rPr>
        <w:t>作状况、对运动的兴趣、对运动习惯的保持、与他人的合作等方面的评价。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通过赛事进行一些竞技类的、趣味性的评价，在赛事中对运动能力以及团队合作的情况进行评价。</w:t>
      </w:r>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五、研究方法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文献研究法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查阅有关幼儿课程游戏化习及足球游戏相关文献资料，了解相关研究现状，搜集、整理和阅读，并将其内容条理化，从中抽取与本课题相关的研究材料、实践状况，为本课题的研究提供研究依据。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案例研究法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课程游戏化理念践行下，幼儿园足球游戏的典型案例，探索适宜的推进措施和游戏内容。</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行动研究法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通过课程游戏化理念践行下，将反思与实践结合起来，并进行集体教研，在实践中探索总结，推进幼儿园足球课程体系的建构。</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观察法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随机选择若干幼儿，有目的、有计划地观察足球活动中幼儿的心理和行为表现，反思游戏中教师的教育行为是否适合，提升教师的专业能力。</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经验总结法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收集、整理、提炼幼儿园足球活动中的成功做法和有益经验，为课题的研究提供典型的范例，从实践上升到理论高度，推广研究成果。</w:t>
      </w:r>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六、主要观点与可能的创新之处</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主要观点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足球游戏的开展能让幼儿在自由、自主、愉悦、创造的情景中得到发展，能为幼儿健康行为素养发展提供有效支持。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提炼幼儿园足球游戏实施与组织策略，能有效提升幼儿的运动参与、运动技能、身体健康、心理健康、社会适应，促进幼儿健康发展。</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创新之处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幼儿足球游戏实施的理念创新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足球游戏补足足球运动只是对抗性的运动的传统观念，丰富足球运动的开展形式。通过践行课程游戏化精神，形成足球游戏案例。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幼儿足球游戏实施方法的创新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在对典型活动案例的研究中，形成一定的支持策略与方法，促进幼儿健康行为素养的养成。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幼儿足球游戏组织方式的创新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此研究对教师的课程游戏化理念的提升和游戏组织、推进能力的发展有积极的促进作用。</w:t>
      </w:r>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七、实施步骤</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准备阶段</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（2021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4-2021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成立课题研究领导工作小组，积极联系专家指导，制定研究方案。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学习、收集、整理相关研究资料，制定研究方案，确定人员具体分工。</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实施阶段</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（2021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8—2023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在园内组织开展各种形式的足球活动，实施本课题。如：足球主题活动、亲子活动、运动会等。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形成有典型性的足球教学活动与游戏的案例，课题组进行深入研讨，探索适宜的足球课程实施策略。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探寻幼儿足球游戏开展中的实施而略，并归纳整理，不断完善课题研究的实效性。</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总结阶段:（2023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9—2024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完成结题报告，申请课题结题。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认真做好研究过程性资料的整理，研究案例整理成册。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完成相关论文。</w:t>
      </w:r>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八、分工及预期成果</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1.成员及主要职责</w:t>
      </w:r>
    </w:p>
    <w:tbl>
      <w:tblPr>
        <w:tblStyle w:val="5"/>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392"/>
        <w:gridCol w:w="1408"/>
        <w:gridCol w:w="1158"/>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300" w:lineRule="exact"/>
              <w:ind w:left="-1008" w:leftChars="-480" w:firstLine="949" w:firstLineChars="450"/>
              <w:jc w:val="center"/>
              <w:rPr>
                <w:rFonts w:hint="eastAsia" w:ascii="宋体" w:hAnsi="宋体" w:eastAsiaTheme="minorEastAsia" w:cstheme="minorBidi"/>
                <w:b/>
                <w:bCs/>
                <w:kern w:val="2"/>
                <w:sz w:val="21"/>
                <w:szCs w:val="22"/>
                <w:lang w:val="en-US" w:eastAsia="zh-CN" w:bidi="ar-SA"/>
              </w:rPr>
            </w:pPr>
            <w:r>
              <w:rPr>
                <w:rFonts w:hint="eastAsia" w:ascii="宋体" w:hAnsi="宋体"/>
                <w:b/>
                <w:bCs/>
              </w:rPr>
              <w:t>姓  名</w:t>
            </w:r>
          </w:p>
        </w:tc>
        <w:tc>
          <w:tcPr>
            <w:tcW w:w="2392" w:type="dxa"/>
            <w:vAlign w:val="center"/>
          </w:tcPr>
          <w:p>
            <w:pPr>
              <w:spacing w:line="300" w:lineRule="exact"/>
              <w:jc w:val="center"/>
              <w:rPr>
                <w:rFonts w:hint="eastAsia" w:ascii="宋体" w:hAnsi="宋体" w:eastAsiaTheme="minorEastAsia" w:cstheme="minorBidi"/>
                <w:b/>
                <w:bCs/>
                <w:kern w:val="2"/>
                <w:sz w:val="21"/>
                <w:szCs w:val="22"/>
                <w:lang w:val="en-US" w:eastAsia="zh-CN" w:bidi="ar-SA"/>
              </w:rPr>
            </w:pPr>
            <w:r>
              <w:rPr>
                <w:rFonts w:hint="eastAsia" w:ascii="宋体" w:hAnsi="宋体"/>
                <w:b/>
                <w:bCs/>
              </w:rPr>
              <w:t>工 作 单 位</w:t>
            </w:r>
          </w:p>
        </w:tc>
        <w:tc>
          <w:tcPr>
            <w:tcW w:w="1408" w:type="dxa"/>
            <w:vAlign w:val="center"/>
          </w:tcPr>
          <w:p>
            <w:pPr>
              <w:spacing w:line="300" w:lineRule="exact"/>
              <w:jc w:val="center"/>
              <w:rPr>
                <w:rFonts w:hint="eastAsia" w:ascii="宋体" w:hAnsi="宋体" w:eastAsiaTheme="minorEastAsia" w:cstheme="minorBidi"/>
                <w:b/>
                <w:bCs/>
                <w:kern w:val="2"/>
                <w:sz w:val="21"/>
                <w:szCs w:val="22"/>
                <w:lang w:val="en-US" w:eastAsia="zh-CN" w:bidi="ar-SA"/>
              </w:rPr>
            </w:pPr>
            <w:r>
              <w:rPr>
                <w:rFonts w:hint="eastAsia" w:ascii="宋体" w:hAnsi="宋体"/>
                <w:b/>
                <w:bCs/>
              </w:rPr>
              <w:t>专业技术职称</w:t>
            </w:r>
          </w:p>
        </w:tc>
        <w:tc>
          <w:tcPr>
            <w:tcW w:w="1158" w:type="dxa"/>
            <w:vAlign w:val="center"/>
          </w:tcPr>
          <w:p>
            <w:pPr>
              <w:spacing w:line="300" w:lineRule="exact"/>
              <w:jc w:val="center"/>
              <w:rPr>
                <w:rFonts w:hint="eastAsia" w:ascii="宋体" w:hAnsi="宋体" w:eastAsia="宋体" w:cstheme="minorBidi"/>
                <w:b/>
                <w:bCs/>
                <w:kern w:val="2"/>
                <w:sz w:val="21"/>
                <w:szCs w:val="22"/>
                <w:lang w:val="en-US" w:eastAsia="zh-CN" w:bidi="ar-SA"/>
              </w:rPr>
            </w:pPr>
            <w:r>
              <w:rPr>
                <w:rFonts w:hint="eastAsia" w:ascii="宋体" w:hAnsi="宋体"/>
                <w:b/>
                <w:bCs/>
              </w:rPr>
              <w:t>研究专</w:t>
            </w:r>
            <w:r>
              <w:rPr>
                <w:rFonts w:hint="eastAsia" w:ascii="宋体" w:hAnsi="宋体"/>
                <w:b/>
                <w:bCs/>
                <w:lang w:val="en-US" w:eastAsia="zh-CN"/>
              </w:rPr>
              <w:t>长</w:t>
            </w:r>
          </w:p>
        </w:tc>
        <w:tc>
          <w:tcPr>
            <w:tcW w:w="3334" w:type="dxa"/>
            <w:vAlign w:val="center"/>
          </w:tcPr>
          <w:p>
            <w:pPr>
              <w:spacing w:line="300" w:lineRule="exact"/>
              <w:jc w:val="center"/>
              <w:rPr>
                <w:rFonts w:hint="eastAsia" w:ascii="宋体" w:hAnsi="宋体" w:eastAsiaTheme="minorEastAsia" w:cstheme="minorBidi"/>
                <w:b/>
                <w:bCs/>
                <w:kern w:val="2"/>
                <w:sz w:val="21"/>
                <w:szCs w:val="22"/>
                <w:lang w:val="en-US" w:eastAsia="zh-CN" w:bidi="ar-SA"/>
              </w:rPr>
            </w:pPr>
            <w:r>
              <w:rPr>
                <w:rFonts w:hint="eastAsia" w:ascii="宋体" w:hAnsi="宋体"/>
                <w:b/>
                <w:bCs/>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Theme="minorEastAsia"/>
                <w:bCs/>
                <w:szCs w:val="21"/>
                <w:lang w:val="en-US" w:eastAsia="zh-CN"/>
              </w:rPr>
            </w:pPr>
            <w:r>
              <w:rPr>
                <w:rFonts w:hint="eastAsia" w:ascii="宋体" w:hAnsi="宋体"/>
                <w:bCs/>
                <w:szCs w:val="21"/>
                <w:lang w:val="en-US" w:eastAsia="zh-CN"/>
              </w:rPr>
              <w:t>陶露</w:t>
            </w:r>
          </w:p>
        </w:tc>
        <w:tc>
          <w:tcPr>
            <w:tcW w:w="2392" w:type="dxa"/>
            <w:vAlign w:val="center"/>
          </w:tcPr>
          <w:p>
            <w:pPr>
              <w:spacing w:line="240" w:lineRule="auto"/>
              <w:jc w:val="center"/>
              <w:rPr>
                <w:rFonts w:hint="eastAsia" w:ascii="宋体" w:hAnsi="宋体"/>
                <w:bCs/>
                <w:szCs w:val="21"/>
              </w:rPr>
            </w:pPr>
            <w:r>
              <w:rPr>
                <w:rFonts w:hint="eastAsia" w:ascii="宋体" w:hAnsi="宋体"/>
                <w:bCs/>
                <w:szCs w:val="21"/>
              </w:rPr>
              <w:t>常州市天宁区青龙中心幼儿园紫云分园</w:t>
            </w:r>
          </w:p>
        </w:tc>
        <w:tc>
          <w:tcPr>
            <w:tcW w:w="1408" w:type="dxa"/>
            <w:vAlign w:val="center"/>
          </w:tcPr>
          <w:p>
            <w:pPr>
              <w:spacing w:line="240" w:lineRule="auto"/>
              <w:ind w:left="-1008" w:leftChars="-480" w:firstLine="945" w:firstLineChars="450"/>
              <w:jc w:val="center"/>
              <w:rPr>
                <w:rFonts w:hint="default" w:ascii="宋体" w:hAnsi="宋体" w:eastAsiaTheme="minorEastAsia"/>
                <w:bCs/>
                <w:szCs w:val="21"/>
                <w:lang w:val="en-US" w:eastAsia="zh-CN"/>
              </w:rPr>
            </w:pPr>
            <w:r>
              <w:rPr>
                <w:rFonts w:hint="eastAsia" w:ascii="宋体" w:hAnsi="宋体"/>
                <w:bCs/>
                <w:szCs w:val="21"/>
                <w:lang w:val="en-US" w:eastAsia="zh-CN"/>
              </w:rPr>
              <w:t>幼儿园二级</w:t>
            </w:r>
          </w:p>
        </w:tc>
        <w:tc>
          <w:tcPr>
            <w:tcW w:w="1158" w:type="dxa"/>
            <w:vAlign w:val="center"/>
          </w:tcPr>
          <w:p>
            <w:pPr>
              <w:spacing w:line="240" w:lineRule="auto"/>
              <w:jc w:val="center"/>
              <w:rPr>
                <w:rFonts w:hint="default" w:ascii="宋体" w:hAnsi="宋体"/>
                <w:bCs/>
                <w:szCs w:val="21"/>
                <w:lang w:val="en-US" w:eastAsia="zh-CN"/>
              </w:rPr>
            </w:pPr>
            <w:r>
              <w:rPr>
                <w:rFonts w:hint="eastAsia" w:ascii="宋体" w:hAnsi="宋体"/>
                <w:bCs/>
                <w:szCs w:val="21"/>
                <w:lang w:val="en-US" w:eastAsia="zh-CN"/>
              </w:rPr>
              <w:t>学前教育</w:t>
            </w:r>
          </w:p>
        </w:tc>
        <w:tc>
          <w:tcPr>
            <w:tcW w:w="3334" w:type="dxa"/>
            <w:vAlign w:val="center"/>
          </w:tcPr>
          <w:p>
            <w:pPr>
              <w:spacing w:line="240" w:lineRule="auto"/>
              <w:ind w:left="-1008" w:leftChars="-480" w:firstLine="945" w:firstLineChars="450"/>
              <w:jc w:val="center"/>
              <w:rPr>
                <w:rFonts w:hint="eastAsia" w:ascii="宋体" w:hAnsi="宋体" w:eastAsiaTheme="minorEastAsia"/>
                <w:szCs w:val="21"/>
                <w:lang w:val="en-US" w:eastAsia="zh-CN"/>
              </w:rPr>
            </w:pPr>
            <w:r>
              <w:rPr>
                <w:rFonts w:hint="eastAsia" w:ascii="宋体" w:hAnsi="宋体"/>
                <w:szCs w:val="21"/>
                <w:lang w:val="en-US" w:eastAsia="zh-CN"/>
              </w:rPr>
              <w:t>课题组织、推进及足</w:t>
            </w:r>
            <w:r>
              <w:rPr>
                <w:rFonts w:hint="eastAsia" w:ascii="宋体" w:hAnsi="宋体"/>
                <w:szCs w:val="21"/>
              </w:rPr>
              <w:t>球游戏开发与实施的行动研</w:t>
            </w:r>
            <w:r>
              <w:rPr>
                <w:rFonts w:hint="eastAsia" w:ascii="宋体" w:hAnsi="宋体"/>
                <w:szCs w:val="21"/>
                <w:lang w:val="en-US" w:eastAsia="zh-CN"/>
              </w:rPr>
              <w:t>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default" w:ascii="宋体" w:hAnsi="宋体" w:eastAsiaTheme="minorEastAsia"/>
                <w:bCs/>
                <w:szCs w:val="21"/>
                <w:lang w:val="en-US" w:eastAsia="zh-CN"/>
              </w:rPr>
            </w:pPr>
            <w:r>
              <w:rPr>
                <w:rFonts w:hint="eastAsia" w:ascii="宋体" w:hAnsi="宋体"/>
                <w:bCs/>
                <w:szCs w:val="21"/>
                <w:lang w:val="en-US" w:eastAsia="zh-CN"/>
              </w:rPr>
              <w:t>张文彬</w:t>
            </w:r>
          </w:p>
        </w:tc>
        <w:tc>
          <w:tcPr>
            <w:tcW w:w="2392" w:type="dxa"/>
            <w:vAlign w:val="center"/>
          </w:tcPr>
          <w:p>
            <w:pPr>
              <w:spacing w:line="240" w:lineRule="auto"/>
              <w:jc w:val="center"/>
              <w:rPr>
                <w:rFonts w:hint="eastAsia" w:ascii="宋体" w:hAnsi="宋体"/>
                <w:bCs/>
                <w:szCs w:val="21"/>
              </w:rPr>
            </w:pPr>
            <w:r>
              <w:rPr>
                <w:rFonts w:hint="eastAsia" w:ascii="宋体" w:hAnsi="宋体"/>
                <w:bCs/>
                <w:szCs w:val="21"/>
              </w:rPr>
              <w:t>常州市天宁区青龙中心幼儿园紫云分园</w:t>
            </w:r>
          </w:p>
        </w:tc>
        <w:tc>
          <w:tcPr>
            <w:tcW w:w="1408" w:type="dxa"/>
            <w:vAlign w:val="center"/>
          </w:tcPr>
          <w:p>
            <w:pPr>
              <w:spacing w:line="240" w:lineRule="auto"/>
              <w:ind w:left="-1008" w:leftChars="-480" w:firstLine="945" w:firstLineChars="450"/>
              <w:jc w:val="center"/>
              <w:rPr>
                <w:rFonts w:hint="default" w:ascii="宋体" w:hAnsi="宋体" w:eastAsiaTheme="minorEastAsia"/>
                <w:bCs/>
                <w:szCs w:val="21"/>
                <w:lang w:val="en-US" w:eastAsia="zh-CN"/>
              </w:rPr>
            </w:pPr>
            <w:r>
              <w:rPr>
                <w:rFonts w:hint="eastAsia" w:ascii="宋体" w:hAnsi="宋体"/>
                <w:bCs/>
                <w:szCs w:val="21"/>
                <w:lang w:val="en-US" w:eastAsia="zh-CN"/>
              </w:rPr>
              <w:t>幼儿园二级</w:t>
            </w:r>
          </w:p>
        </w:tc>
        <w:tc>
          <w:tcPr>
            <w:tcW w:w="1158" w:type="dxa"/>
            <w:vAlign w:val="center"/>
          </w:tcPr>
          <w:p>
            <w:pPr>
              <w:spacing w:line="240" w:lineRule="auto"/>
              <w:ind w:left="-1008" w:leftChars="-480" w:firstLine="945" w:firstLineChars="450"/>
              <w:jc w:val="center"/>
              <w:rPr>
                <w:rFonts w:hint="default" w:ascii="宋体" w:hAnsi="宋体" w:eastAsiaTheme="minorEastAsia"/>
                <w:bCs/>
                <w:szCs w:val="21"/>
                <w:lang w:val="en-US" w:eastAsia="zh-CN"/>
              </w:rPr>
            </w:pPr>
            <w:r>
              <w:rPr>
                <w:rFonts w:hint="eastAsia" w:ascii="宋体" w:hAnsi="宋体"/>
                <w:bCs/>
                <w:szCs w:val="21"/>
                <w:lang w:val="en-US" w:eastAsia="zh-CN"/>
              </w:rPr>
              <w:t>学前教育</w:t>
            </w:r>
          </w:p>
        </w:tc>
        <w:tc>
          <w:tcPr>
            <w:tcW w:w="3334" w:type="dxa"/>
            <w:vAlign w:val="center"/>
          </w:tcPr>
          <w:p>
            <w:pPr>
              <w:spacing w:line="240" w:lineRule="auto"/>
              <w:ind w:left="-1008" w:leftChars="-480" w:firstLine="945" w:firstLineChars="450"/>
              <w:jc w:val="center"/>
              <w:rPr>
                <w:rFonts w:hint="eastAsia" w:ascii="宋体" w:hAnsi="宋体"/>
                <w:szCs w:val="21"/>
              </w:rPr>
            </w:pPr>
            <w:r>
              <w:rPr>
                <w:rFonts w:hint="eastAsia" w:ascii="宋体" w:hAnsi="宋体"/>
                <w:szCs w:val="21"/>
                <w:lang w:val="en-US" w:eastAsia="zh-CN"/>
              </w:rPr>
              <w:t>课题组织、推进及足</w:t>
            </w:r>
            <w:r>
              <w:rPr>
                <w:rFonts w:hint="eastAsia" w:ascii="宋体" w:hAnsi="宋体"/>
                <w:szCs w:val="21"/>
              </w:rPr>
              <w:t>球游戏开发与实施的行动研</w:t>
            </w:r>
            <w:r>
              <w:rPr>
                <w:rFonts w:hint="eastAsia" w:ascii="宋体" w:hAnsi="宋体"/>
                <w:szCs w:val="21"/>
                <w:lang w:val="en-US" w:eastAsia="zh-CN"/>
              </w:rPr>
              <w:t>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林红妹</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幼儿园高级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szCs w:val="21"/>
              </w:rPr>
              <w:t>足球游戏开展现状的分析研究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bCs/>
                <w:szCs w:val="21"/>
              </w:rPr>
            </w:pPr>
            <w:r>
              <w:rPr>
                <w:rFonts w:hint="eastAsia" w:ascii="宋体" w:hAnsi="宋体"/>
                <w:bCs/>
                <w:szCs w:val="21"/>
              </w:rPr>
              <w:t>陈</w:t>
            </w:r>
            <w:r>
              <w:rPr>
                <w:rFonts w:hint="eastAsia" w:ascii="宋体" w:hAnsi="宋体"/>
                <w:bCs/>
                <w:szCs w:val="21"/>
                <w:lang w:val="en-US" w:eastAsia="zh-CN"/>
              </w:rPr>
              <w:t xml:space="preserve">  </w:t>
            </w:r>
            <w:r>
              <w:rPr>
                <w:rFonts w:hint="eastAsia" w:ascii="宋体" w:hAnsi="宋体"/>
                <w:bCs/>
                <w:szCs w:val="21"/>
              </w:rPr>
              <w:t>涛</w:t>
            </w:r>
          </w:p>
          <w:p>
            <w:pPr>
              <w:spacing w:line="240" w:lineRule="auto"/>
              <w:jc w:val="center"/>
              <w:rPr>
                <w:rFonts w:hint="eastAsia" w:ascii="宋体" w:hAnsi="宋体" w:eastAsiaTheme="minorEastAsia" w:cstheme="minorBidi"/>
                <w:bCs/>
                <w:kern w:val="2"/>
                <w:sz w:val="21"/>
                <w:szCs w:val="21"/>
                <w:lang w:val="en-US" w:eastAsia="zh-CN" w:bidi="ar-SA"/>
              </w:rPr>
            </w:pP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常州市天宁区青龙中心幼儿园紫云分园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幼儿园二级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szCs w:val="21"/>
              </w:rPr>
              <w:t>足球游戏开展现状的分析研究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朱霞玉</w:t>
            </w:r>
          </w:p>
        </w:tc>
        <w:tc>
          <w:tcPr>
            <w:tcW w:w="2392" w:type="dxa"/>
            <w:vAlign w:val="center"/>
          </w:tcPr>
          <w:p>
            <w:pPr>
              <w:spacing w:line="240" w:lineRule="auto"/>
              <w:ind w:left="-1008" w:leftChars="-480" w:firstLine="945" w:firstLineChars="450"/>
              <w:jc w:val="center"/>
              <w:rPr>
                <w:rFonts w:hint="eastAsia" w:ascii="宋体" w:hAnsi="宋体" w:eastAsia="宋体" w:cstheme="minorBidi"/>
                <w:bCs/>
                <w:kern w:val="2"/>
                <w:sz w:val="21"/>
                <w:szCs w:val="21"/>
                <w:lang w:val="en-US" w:eastAsia="zh-CN" w:bidi="ar-SA"/>
              </w:rPr>
            </w:pPr>
            <w:r>
              <w:rPr>
                <w:rFonts w:hint="eastAsia" w:ascii="宋体" w:hAnsi="宋体" w:eastAsia="宋体" w:cs="Times New Roman"/>
                <w:bCs/>
                <w:szCs w:val="21"/>
              </w:rPr>
              <w:t>常州市天宁区爱德美幼儿</w:t>
            </w:r>
            <w:r>
              <w:rPr>
                <w:rFonts w:hint="eastAsia" w:ascii="宋体" w:hAnsi="宋体" w:eastAsia="宋体" w:cs="Times New Roman"/>
                <w:bCs/>
                <w:szCs w:val="21"/>
                <w:lang w:val="en-US" w:eastAsia="zh-CN"/>
              </w:rPr>
              <w:t>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w:t>
            </w:r>
            <w:r>
              <w:rPr>
                <w:rFonts w:hint="eastAsia" w:ascii="宋体" w:hAnsi="宋体"/>
                <w:bCs/>
                <w:szCs w:val="21"/>
                <w:lang w:val="en-US" w:eastAsia="zh-CN"/>
              </w:rPr>
              <w:t>一</w:t>
            </w:r>
            <w:r>
              <w:rPr>
                <w:rFonts w:hint="eastAsia" w:ascii="宋体" w:hAnsi="宋体"/>
                <w:bCs/>
                <w:szCs w:val="21"/>
              </w:rPr>
              <w:t>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szCs w:val="21"/>
              </w:rPr>
              <w:t>足球游戏开展现状的分析研究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lang w:val="en-US" w:eastAsia="zh-CN"/>
              </w:rPr>
              <w:t>沈丽娜</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常州市天宁区青龙中心幼儿园青竹分园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幼儿园二级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szCs w:val="21"/>
              </w:rPr>
              <w:t>足球游戏开发与实施的行动研究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lang w:val="en-US" w:eastAsia="zh-CN"/>
              </w:rPr>
              <w:t>郭其杭</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幼儿园二级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宋体" w:cstheme="minorBidi"/>
                <w:bCs/>
                <w:kern w:val="2"/>
                <w:sz w:val="21"/>
                <w:szCs w:val="21"/>
                <w:lang w:val="en-US" w:eastAsia="zh-CN" w:bidi="ar-SA"/>
              </w:rPr>
            </w:pPr>
            <w:r>
              <w:rPr>
                <w:rFonts w:hint="eastAsia" w:ascii="宋体" w:hAnsi="宋体"/>
                <w:szCs w:val="21"/>
              </w:rPr>
              <w:t>足球游戏资源包</w:t>
            </w:r>
            <w:r>
              <w:rPr>
                <w:rFonts w:hint="eastAsia" w:ascii="宋体" w:hAnsi="宋体"/>
                <w:szCs w:val="21"/>
                <w:lang w:val="en-US" w:eastAsia="zh-CN"/>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宋体" w:cstheme="minorBidi"/>
                <w:bCs/>
                <w:kern w:val="2"/>
                <w:sz w:val="21"/>
                <w:szCs w:val="21"/>
                <w:lang w:val="en-US" w:eastAsia="zh-CN" w:bidi="ar-SA"/>
              </w:rPr>
            </w:pPr>
            <w:r>
              <w:rPr>
                <w:rFonts w:hint="eastAsia" w:ascii="宋体" w:hAnsi="宋体"/>
                <w:bCs/>
                <w:szCs w:val="21"/>
                <w:lang w:val="en-US" w:eastAsia="zh-CN"/>
              </w:rPr>
              <w:t>张  臻</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常州市天宁区青龙中心幼儿园青竹分园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w:t>
            </w:r>
            <w:r>
              <w:rPr>
                <w:rFonts w:hint="eastAsia" w:ascii="宋体" w:hAnsi="宋体"/>
                <w:bCs/>
                <w:szCs w:val="21"/>
                <w:lang w:val="en-US" w:eastAsia="zh-CN"/>
              </w:rPr>
              <w:t>二</w:t>
            </w:r>
            <w:r>
              <w:rPr>
                <w:rFonts w:hint="eastAsia" w:ascii="宋体" w:hAnsi="宋体"/>
                <w:bCs/>
                <w:szCs w:val="21"/>
              </w:rPr>
              <w:t>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宋体" w:cstheme="minorBidi"/>
                <w:bCs/>
                <w:kern w:val="2"/>
                <w:sz w:val="21"/>
                <w:szCs w:val="21"/>
                <w:lang w:val="en-US" w:eastAsia="zh-CN" w:bidi="ar-SA"/>
              </w:rPr>
            </w:pPr>
            <w:r>
              <w:rPr>
                <w:rFonts w:hint="eastAsia" w:ascii="宋体" w:hAnsi="宋体"/>
                <w:szCs w:val="21"/>
              </w:rPr>
              <w:t>足球游戏资源包</w:t>
            </w:r>
            <w:r>
              <w:rPr>
                <w:rFonts w:hint="eastAsia" w:ascii="宋体" w:hAnsi="宋体"/>
                <w:szCs w:val="21"/>
                <w:lang w:val="en-US" w:eastAsia="zh-CN"/>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0"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周慧鸣</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常州市天宁区青龙中心幼儿园紫云分园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幼儿园二级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宋体" w:cstheme="minorBidi"/>
                <w:bCs/>
                <w:kern w:val="2"/>
                <w:sz w:val="21"/>
                <w:szCs w:val="21"/>
                <w:lang w:val="en-US" w:eastAsia="zh-CN" w:bidi="ar-SA"/>
              </w:rPr>
            </w:pPr>
            <w:r>
              <w:rPr>
                <w:rFonts w:hint="eastAsia" w:ascii="宋体" w:hAnsi="宋体"/>
                <w:szCs w:val="21"/>
              </w:rPr>
              <w:t>足球游戏</w:t>
            </w:r>
            <w:r>
              <w:rPr>
                <w:rFonts w:hint="eastAsia" w:ascii="宋体" w:hAnsi="宋体" w:cs="宋体"/>
                <w:color w:val="000000"/>
                <w:szCs w:val="21"/>
              </w:rPr>
              <w:t>开展的途径与方法研究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lang w:val="en-US" w:eastAsia="zh-CN"/>
              </w:rPr>
              <w:t>谢知澄</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常州市天宁区青龙中心幼儿园紫云分园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幼儿园二级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szCs w:val="21"/>
              </w:rPr>
              <w:t>足球游戏</w:t>
            </w:r>
            <w:r>
              <w:rPr>
                <w:rFonts w:hint="eastAsia" w:ascii="宋体" w:hAnsi="宋体" w:cs="宋体"/>
                <w:color w:val="000000"/>
                <w:szCs w:val="21"/>
              </w:rPr>
              <w:t>开展的途径与方法研究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ind w:left="-1008" w:leftChars="-480" w:firstLine="945" w:firstLineChars="450"/>
              <w:jc w:val="center"/>
              <w:rPr>
                <w:rFonts w:hint="eastAsia" w:ascii="宋体" w:hAnsi="宋体" w:eastAsia="宋体" w:cstheme="minorBidi"/>
                <w:bCs/>
                <w:kern w:val="2"/>
                <w:sz w:val="21"/>
                <w:szCs w:val="21"/>
                <w:lang w:val="en-US" w:eastAsia="zh-CN" w:bidi="ar-SA"/>
              </w:rPr>
            </w:pPr>
            <w:r>
              <w:rPr>
                <w:rFonts w:hint="eastAsia" w:ascii="宋体" w:hAnsi="宋体"/>
                <w:bCs/>
                <w:szCs w:val="21"/>
                <w:lang w:val="en-US" w:eastAsia="zh-CN"/>
              </w:rPr>
              <w:t>李  佳</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常州市天宁区青龙中心幼儿园紫云分园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幼儿园二级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宋体" w:cstheme="minorBidi"/>
                <w:bCs/>
                <w:kern w:val="2"/>
                <w:sz w:val="21"/>
                <w:szCs w:val="21"/>
                <w:lang w:val="en-US" w:eastAsia="zh-CN" w:bidi="ar-SA"/>
              </w:rPr>
            </w:pPr>
            <w:r>
              <w:rPr>
                <w:rFonts w:hint="eastAsia" w:ascii="宋体" w:hAnsi="宋体"/>
                <w:szCs w:val="21"/>
                <w:lang w:val="en-US" w:eastAsia="zh-CN"/>
              </w:rPr>
              <w:t>观察</w:t>
            </w:r>
            <w:r>
              <w:rPr>
                <w:rFonts w:hint="eastAsia" w:ascii="宋体" w:hAnsi="宋体"/>
                <w:szCs w:val="21"/>
              </w:rPr>
              <w:t>记录、课程故事集</w:t>
            </w:r>
            <w:r>
              <w:rPr>
                <w:rFonts w:hint="eastAsia" w:ascii="宋体" w:hAnsi="宋体"/>
                <w:szCs w:val="21"/>
                <w:lang w:val="en-US" w:eastAsia="zh-CN"/>
              </w:rPr>
              <w:t>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line="240" w:lineRule="auto"/>
              <w:jc w:val="center"/>
              <w:rPr>
                <w:rFonts w:hint="eastAsia" w:ascii="宋体" w:hAnsi="宋体" w:eastAsia="宋体" w:cstheme="minorBidi"/>
                <w:bCs/>
                <w:kern w:val="2"/>
                <w:sz w:val="21"/>
                <w:szCs w:val="21"/>
                <w:lang w:val="en-US" w:eastAsia="zh-CN" w:bidi="ar-SA"/>
              </w:rPr>
            </w:pPr>
            <w:r>
              <w:rPr>
                <w:rFonts w:hint="eastAsia" w:ascii="宋体" w:hAnsi="宋体"/>
                <w:bCs/>
                <w:szCs w:val="21"/>
                <w:lang w:val="en-US" w:eastAsia="zh-CN"/>
              </w:rPr>
              <w:t>周 静</w:t>
            </w:r>
          </w:p>
        </w:tc>
        <w:tc>
          <w:tcPr>
            <w:tcW w:w="2392" w:type="dxa"/>
            <w:vAlign w:val="center"/>
          </w:tcPr>
          <w:p>
            <w:pPr>
              <w:spacing w:line="240" w:lineRule="auto"/>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常州市天宁区青龙中心幼儿园紫云分园</w:t>
            </w:r>
          </w:p>
        </w:tc>
        <w:tc>
          <w:tcPr>
            <w:tcW w:w="140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幼儿园二级</w:t>
            </w:r>
          </w:p>
        </w:tc>
        <w:tc>
          <w:tcPr>
            <w:tcW w:w="1158"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学前教育</w:t>
            </w:r>
          </w:p>
        </w:tc>
        <w:tc>
          <w:tcPr>
            <w:tcW w:w="3334" w:type="dxa"/>
            <w:vAlign w:val="center"/>
          </w:tcPr>
          <w:p>
            <w:pPr>
              <w:spacing w:line="240" w:lineRule="auto"/>
              <w:ind w:left="-1008" w:leftChars="-480" w:firstLine="945" w:firstLineChars="450"/>
              <w:jc w:val="center"/>
              <w:rPr>
                <w:rFonts w:hint="eastAsia" w:ascii="宋体" w:hAnsi="宋体" w:eastAsiaTheme="minorEastAsia" w:cstheme="minorBidi"/>
                <w:bCs/>
                <w:kern w:val="2"/>
                <w:sz w:val="21"/>
                <w:szCs w:val="21"/>
                <w:lang w:val="en-US" w:eastAsia="zh-CN" w:bidi="ar-SA"/>
              </w:rPr>
            </w:pPr>
            <w:r>
              <w:rPr>
                <w:rFonts w:hint="eastAsia" w:ascii="宋体" w:hAnsi="宋体"/>
                <w:szCs w:val="21"/>
              </w:rPr>
              <w:t>足球游戏开发与实施的行动研究</w:t>
            </w:r>
          </w:p>
        </w:tc>
      </w:tr>
    </w:tbl>
    <w:p>
      <w:pPr>
        <w:spacing w:line="360" w:lineRule="auto"/>
        <w:ind w:firstLine="482" w:firstLineChars="200"/>
        <w:rPr>
          <w:rFonts w:hint="eastAsia" w:ascii="宋体" w:hAnsi="宋体" w:eastAsia="宋体" w:cs="宋体"/>
          <w:b/>
          <w:bCs/>
          <w:sz w:val="24"/>
          <w:szCs w:val="24"/>
          <w:lang w:val="en-US" w:eastAsia="zh-CN"/>
        </w:rPr>
      </w:pP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2.预期成果</w:t>
      </w:r>
    </w:p>
    <w:tbl>
      <w:tblPr>
        <w:tblStyle w:val="4"/>
        <w:tblW w:w="9364" w:type="dxa"/>
        <w:tblInd w:w="24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094"/>
        <w:gridCol w:w="3434"/>
        <w:gridCol w:w="1075"/>
        <w:gridCol w:w="1570"/>
        <w:gridCol w:w="119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2094" w:type="dxa"/>
            <w:tcBorders>
              <w:top w:val="single" w:color="auto" w:sz="4" w:space="0"/>
              <w:left w:val="single" w:color="auto" w:sz="4" w:space="0"/>
              <w:bottom w:val="dotted" w:color="auto" w:sz="4" w:space="0"/>
              <w:right w:val="dotted" w:color="auto" w:sz="4" w:space="0"/>
            </w:tcBorders>
            <w:noWrap w:val="0"/>
            <w:vAlign w:val="top"/>
          </w:tcPr>
          <w:p>
            <w:pPr>
              <w:spacing w:line="360" w:lineRule="auto"/>
              <w:ind w:right="-107" w:rightChars="-51"/>
              <w:jc w:val="center"/>
              <w:rPr>
                <w:rFonts w:hint="eastAsia" w:ascii="宋体" w:hAnsi="宋体" w:eastAsia="宋体" w:cs="宋体"/>
                <w:b/>
                <w:sz w:val="24"/>
                <w:szCs w:val="24"/>
              </w:rPr>
            </w:pPr>
          </w:p>
        </w:tc>
        <w:tc>
          <w:tcPr>
            <w:tcW w:w="3434" w:type="dxa"/>
            <w:tcBorders>
              <w:top w:val="single"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成果名称</w:t>
            </w:r>
          </w:p>
        </w:tc>
        <w:tc>
          <w:tcPr>
            <w:tcW w:w="1075" w:type="dxa"/>
            <w:tcBorders>
              <w:top w:val="single"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1570"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完成时间</w:t>
            </w:r>
          </w:p>
        </w:tc>
        <w:tc>
          <w:tcPr>
            <w:tcW w:w="119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2094" w:type="dxa"/>
            <w:vMerge w:val="restart"/>
            <w:tcBorders>
              <w:top w:val="dotted" w:color="auto" w:sz="4" w:space="0"/>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阶段成果（限5项）</w:t>
            </w:r>
          </w:p>
        </w:tc>
        <w:tc>
          <w:tcPr>
            <w:tcW w:w="3434"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幼儿园足球游戏开展现状的分析研究</w:t>
            </w:r>
          </w:p>
        </w:tc>
        <w:tc>
          <w:tcPr>
            <w:tcW w:w="107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研究报告</w:t>
            </w:r>
          </w:p>
        </w:tc>
        <w:tc>
          <w:tcPr>
            <w:tcW w:w="1570"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2022年11月</w:t>
            </w:r>
          </w:p>
        </w:tc>
        <w:tc>
          <w:tcPr>
            <w:tcW w:w="119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涛</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617" w:hRule="atLeast"/>
        </w:trPr>
        <w:tc>
          <w:tcPr>
            <w:tcW w:w="2094"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3434"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足球游戏开发与实施的行动研究</w:t>
            </w:r>
          </w:p>
        </w:tc>
        <w:tc>
          <w:tcPr>
            <w:tcW w:w="107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论文集</w:t>
            </w:r>
          </w:p>
        </w:tc>
        <w:tc>
          <w:tcPr>
            <w:tcW w:w="1570"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2022年11月</w:t>
            </w:r>
          </w:p>
        </w:tc>
        <w:tc>
          <w:tcPr>
            <w:tcW w:w="119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张文彬</w:t>
            </w:r>
          </w:p>
          <w:p>
            <w:pPr>
              <w:spacing w:line="360" w:lineRule="auto"/>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  静</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2094"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3434"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足球</w:t>
            </w:r>
            <w:r>
              <w:rPr>
                <w:rFonts w:hint="eastAsia" w:ascii="宋体" w:hAnsi="宋体" w:eastAsia="宋体" w:cs="宋体"/>
                <w:sz w:val="24"/>
                <w:szCs w:val="24"/>
                <w:lang w:val="en-US" w:eastAsia="zh-CN"/>
              </w:rPr>
              <w:t>游戏</w:t>
            </w:r>
            <w:r>
              <w:rPr>
                <w:rFonts w:hint="eastAsia" w:ascii="宋体" w:hAnsi="宋体" w:eastAsia="宋体" w:cs="宋体"/>
                <w:sz w:val="24"/>
                <w:szCs w:val="24"/>
              </w:rPr>
              <w:t>幼儿观察行为与记录、课程故事集</w:t>
            </w:r>
          </w:p>
        </w:tc>
        <w:tc>
          <w:tcPr>
            <w:tcW w:w="107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案例集</w:t>
            </w:r>
          </w:p>
        </w:tc>
        <w:tc>
          <w:tcPr>
            <w:tcW w:w="1570"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2022年11月</w:t>
            </w:r>
          </w:p>
        </w:tc>
        <w:tc>
          <w:tcPr>
            <w:tcW w:w="119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露</w:t>
            </w:r>
          </w:p>
          <w:p>
            <w:pPr>
              <w:spacing w:line="360" w:lineRule="auto"/>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  佳</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2094" w:type="dxa"/>
            <w:vMerge w:val="restart"/>
            <w:tcBorders>
              <w:top w:val="dotted" w:color="auto" w:sz="4" w:space="0"/>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最终成果（限3项）</w:t>
            </w:r>
          </w:p>
        </w:tc>
        <w:tc>
          <w:tcPr>
            <w:tcW w:w="3434"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足球游戏资源包</w:t>
            </w:r>
          </w:p>
        </w:tc>
        <w:tc>
          <w:tcPr>
            <w:tcW w:w="107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资源库</w:t>
            </w:r>
          </w:p>
        </w:tc>
        <w:tc>
          <w:tcPr>
            <w:tcW w:w="1570"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2024年5月</w:t>
            </w:r>
          </w:p>
        </w:tc>
        <w:tc>
          <w:tcPr>
            <w:tcW w:w="119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郭其杭</w:t>
            </w:r>
          </w:p>
          <w:p>
            <w:pPr>
              <w:spacing w:line="360" w:lineRule="auto"/>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  臻</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2094"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3434"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幼儿园足球游戏</w:t>
            </w:r>
            <w:r>
              <w:rPr>
                <w:rFonts w:hint="eastAsia" w:ascii="宋体" w:hAnsi="宋体" w:eastAsia="宋体" w:cs="宋体"/>
                <w:color w:val="000000"/>
                <w:sz w:val="24"/>
                <w:szCs w:val="24"/>
              </w:rPr>
              <w:t>开展的有效途径与方法研究</w:t>
            </w:r>
          </w:p>
        </w:tc>
        <w:tc>
          <w:tcPr>
            <w:tcW w:w="107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论文集</w:t>
            </w:r>
          </w:p>
        </w:tc>
        <w:tc>
          <w:tcPr>
            <w:tcW w:w="1570"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2024年5月</w:t>
            </w:r>
          </w:p>
        </w:tc>
        <w:tc>
          <w:tcPr>
            <w:tcW w:w="119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谢知澄</w:t>
            </w:r>
          </w:p>
          <w:p>
            <w:pPr>
              <w:spacing w:line="360" w:lineRule="auto"/>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周慧鸣</w:t>
            </w:r>
          </w:p>
        </w:tc>
      </w:tr>
    </w:tbl>
    <w:p>
      <w:pPr>
        <w:spacing w:line="360" w:lineRule="auto"/>
        <w:rPr>
          <w:rFonts w:hint="eastAsia" w:ascii="宋体" w:hAnsi="宋体" w:eastAsia="宋体" w:cs="宋体"/>
          <w:sz w:val="24"/>
          <w:szCs w:val="24"/>
        </w:rPr>
      </w:pPr>
    </w:p>
    <w:p>
      <w:pPr>
        <w:spacing w:line="24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九、保障措施</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能力保障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课题组是一支团结精干、专业突出、优势互补的研究团队。课题负责人参与完成了1项省级课题，目前有一项市级课题在研究中。核心成员均有较强的教育研究学术背景，多数成员都有较长的教师岗位工作历史，成员结构丰富，1名园长，3名幼儿园中层，8名成员来自一线教师，最近五年来，课题组成员在各类学术期刊发表论文10余篇，均具有较强的研究能力和较多的研究成果。在申报本课题之前，我们查阅和收集了大量的资料，这些资料收集和研究，开阔了我们的研究视野，丰富了我们的理论基础，同时也使我们更热切地感受到“特殊需要儿童个别化教育支持”的重要性和必要性。</w:t>
      </w:r>
    </w:p>
    <w:p>
      <w:pPr>
        <w:numPr>
          <w:ilvl w:val="0"/>
          <w:numId w:val="0"/>
        </w:numPr>
        <w:spacing w:line="360" w:lineRule="auto"/>
        <w:ind w:right="-107" w:rightChars="-51"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时间</w:t>
      </w:r>
      <w:r>
        <w:rPr>
          <w:rFonts w:hint="eastAsia" w:ascii="宋体" w:hAnsi="宋体" w:eastAsia="宋体" w:cs="宋体"/>
          <w:b/>
          <w:bCs w:val="0"/>
          <w:sz w:val="24"/>
          <w:szCs w:val="24"/>
          <w:lang w:val="en-US" w:eastAsia="zh-CN"/>
        </w:rPr>
        <w:t>保障</w:t>
      </w:r>
    </w:p>
    <w:p>
      <w:pPr>
        <w:numPr>
          <w:ilvl w:val="0"/>
          <w:numId w:val="0"/>
        </w:numPr>
        <w:spacing w:line="360" w:lineRule="auto"/>
        <w:ind w:right="-107" w:rightChars="-51"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课题成员在完成本单位岗位的工作任务后，需要有自主开展活动的时间，也需要有更多的时间外出交流学习，领衔人及成员所在单位要给予充分支持，适当减轻工作负担，保障成员的集中活动时间。 </w:t>
      </w:r>
    </w:p>
    <w:p>
      <w:pPr>
        <w:numPr>
          <w:ilvl w:val="0"/>
          <w:numId w:val="0"/>
        </w:numPr>
        <w:spacing w:line="360" w:lineRule="auto"/>
        <w:ind w:right="-107" w:rightChars="-51"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经费保障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本课题对幼儿、教师、园所发展均有助益</w:t>
      </w:r>
      <w:r>
        <w:rPr>
          <w:rFonts w:hint="eastAsia" w:ascii="宋体" w:hAnsi="宋体" w:eastAsia="宋体" w:cs="宋体"/>
          <w:sz w:val="24"/>
          <w:szCs w:val="24"/>
        </w:rPr>
        <w:t>。因此，</w:t>
      </w:r>
      <w:r>
        <w:rPr>
          <w:rFonts w:hint="eastAsia" w:ascii="宋体" w:hAnsi="宋体" w:eastAsia="宋体" w:cs="宋体"/>
          <w:sz w:val="24"/>
          <w:szCs w:val="24"/>
          <w:lang w:val="en-US" w:eastAsia="zh-CN"/>
        </w:rPr>
        <w:t>领衔人及成员单位均</w:t>
      </w:r>
      <w:r>
        <w:rPr>
          <w:rFonts w:hint="eastAsia" w:ascii="宋体" w:hAnsi="宋体" w:eastAsia="宋体" w:cs="宋体"/>
          <w:sz w:val="24"/>
          <w:szCs w:val="24"/>
        </w:rPr>
        <w:t>将在课题研究过程中提供充分资金保障，用于课题论证、研讨、研究和评估，用于成果推广和发表等。</w:t>
      </w:r>
    </w:p>
    <w:p>
      <w:pPr>
        <w:spacing w:line="360" w:lineRule="auto"/>
        <w:ind w:right="-107" w:rightChars="-51"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空间保障</w:t>
      </w:r>
    </w:p>
    <w:p>
      <w:pPr>
        <w:spacing w:line="360" w:lineRule="auto"/>
        <w:ind w:right="-107" w:rightChars="-51" w:firstLine="480" w:firstLineChars="200"/>
        <w:rPr>
          <w:rFonts w:hint="eastAsia" w:ascii="宋体" w:hAnsi="宋体" w:eastAsia="宋体" w:cs="宋体"/>
          <w:bCs/>
          <w:sz w:val="24"/>
          <w:szCs w:val="24"/>
        </w:rPr>
      </w:pPr>
      <w:r>
        <w:rPr>
          <w:rFonts w:hint="eastAsia" w:ascii="宋体" w:hAnsi="宋体" w:eastAsia="宋体" w:cs="宋体"/>
          <w:bCs/>
          <w:sz w:val="24"/>
          <w:szCs w:val="24"/>
        </w:rPr>
        <w:t>无论是领衔人还是成员所在单位，能够为课题的活动提供活动场所。</w:t>
      </w:r>
    </w:p>
    <w:p>
      <w:pPr>
        <w:numPr>
          <w:ilvl w:val="0"/>
          <w:numId w:val="0"/>
        </w:numPr>
        <w:spacing w:line="360" w:lineRule="auto"/>
        <w:ind w:right="-107" w:rightChars="-51"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情感支持</w:t>
      </w:r>
    </w:p>
    <w:p>
      <w:pPr>
        <w:numPr>
          <w:ilvl w:val="0"/>
          <w:numId w:val="0"/>
        </w:numPr>
        <w:spacing w:line="360" w:lineRule="auto"/>
        <w:ind w:right="-107" w:rightChars="-51" w:firstLine="720" w:firstLineChars="300"/>
        <w:rPr>
          <w:rFonts w:hint="eastAsia" w:ascii="宋体" w:hAnsi="宋体" w:eastAsia="宋体" w:cs="宋体"/>
          <w:sz w:val="24"/>
          <w:szCs w:val="24"/>
        </w:rPr>
      </w:pPr>
      <w:r>
        <w:rPr>
          <w:rFonts w:hint="eastAsia" w:ascii="宋体" w:hAnsi="宋体" w:eastAsia="宋体" w:cs="宋体"/>
          <w:bCs/>
          <w:sz w:val="24"/>
          <w:szCs w:val="24"/>
        </w:rPr>
        <w:t>无论是课题领衔人还是课题成员均需要得到所在单位领导和教师的认可，认同这项工作的价值，创设支持性的情感氛围。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18622"/>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9CB70"/>
    <w:multiLevelType w:val="singleLevel"/>
    <w:tmpl w:val="A929CB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99"/>
    <w:rsid w:val="00020E86"/>
    <w:rsid w:val="00055E0F"/>
    <w:rsid w:val="0016547A"/>
    <w:rsid w:val="001E4787"/>
    <w:rsid w:val="0026119D"/>
    <w:rsid w:val="00351179"/>
    <w:rsid w:val="0042688A"/>
    <w:rsid w:val="004340A3"/>
    <w:rsid w:val="005A0BE5"/>
    <w:rsid w:val="00602644"/>
    <w:rsid w:val="0071642D"/>
    <w:rsid w:val="00736FF2"/>
    <w:rsid w:val="00791C16"/>
    <w:rsid w:val="007D5584"/>
    <w:rsid w:val="007E08C6"/>
    <w:rsid w:val="0083445F"/>
    <w:rsid w:val="00945D3A"/>
    <w:rsid w:val="00A10E94"/>
    <w:rsid w:val="00A627D8"/>
    <w:rsid w:val="00AA6A7E"/>
    <w:rsid w:val="00AE47D3"/>
    <w:rsid w:val="00B451EA"/>
    <w:rsid w:val="00BB72FF"/>
    <w:rsid w:val="00C018C6"/>
    <w:rsid w:val="00C1388D"/>
    <w:rsid w:val="00C443BA"/>
    <w:rsid w:val="00C67499"/>
    <w:rsid w:val="00CE7FFB"/>
    <w:rsid w:val="00D43336"/>
    <w:rsid w:val="00DF63A9"/>
    <w:rsid w:val="00DF7F1A"/>
    <w:rsid w:val="00F423D5"/>
    <w:rsid w:val="2DB32BE2"/>
    <w:rsid w:val="3A174953"/>
    <w:rsid w:val="5A012EA1"/>
    <w:rsid w:val="5C7165E3"/>
    <w:rsid w:val="671F41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642</Words>
  <Characters>3666</Characters>
  <Lines>30</Lines>
  <Paragraphs>8</Paragraphs>
  <TotalTime>1</TotalTime>
  <ScaleCrop>false</ScaleCrop>
  <LinksUpToDate>false</LinksUpToDate>
  <CharactersWithSpaces>4300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2018-12-25T01:08:00Z</dcterms:created>
  <dc:creator>Windows 用户</dc:creator>
  <cp:lastModifiedBy>binloy彬</cp:lastModifiedBy>
  <cp:lastPrinted>2018-12-29T00:21:00Z</cp:lastPrinted>
  <dcterms:modified xsi:type="dcterms:W3CDTF">2021-10-20T13:07:46Z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7FE4C8565A7C461898AA6976EE887D71</vt:lpwstr>
  </property>
</Properties>
</file>