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hd w:val="clear" w:fill="FFFFFF"/>
        <w:spacing w:before="0" w:beforeAutospacing="1" w:after="0" w:afterAutospacing="1" w:line="525" w:lineRule="atLeast"/>
        <w:ind w:left="0" w:firstLine="0"/>
        <w:jc w:val="center"/>
        <w:rPr>
          <w:rFonts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323E32"/>
          <w:spacing w:val="0"/>
          <w:sz w:val="36"/>
          <w:szCs w:val="36"/>
          <w:shd w:val="clear" w:fill="FFFFFF"/>
        </w:rPr>
        <w:t>采菱小学市级备案课题理论学习记录表</w:t>
      </w:r>
    </w:p>
    <w:tbl>
      <w:tblPr>
        <w:tblStyle w:val="4"/>
        <w:tblW w:w="0" w:type="auto"/>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365"/>
        <w:gridCol w:w="2880"/>
        <w:gridCol w:w="1440"/>
        <w:gridCol w:w="24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5" w:hRule="atLeast"/>
          <w:tblCellSpacing w:w="0" w:type="dxa"/>
        </w:trPr>
        <w:tc>
          <w:tcPr>
            <w:tcW w:w="136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spacing w:before="0" w:beforeAutospacing="1" w:after="0" w:afterAutospacing="1" w:line="360" w:lineRule="atLeast"/>
              <w:jc w:val="center"/>
            </w:pPr>
            <w:r>
              <w:rPr>
                <w:rFonts w:hint="eastAsia" w:ascii="宋体" w:hAnsi="宋体" w:eastAsia="宋体" w:cs="宋体"/>
                <w:i w:val="0"/>
                <w:iCs w:val="0"/>
                <w:caps w:val="0"/>
                <w:color w:val="323E32"/>
                <w:spacing w:val="0"/>
                <w:sz w:val="28"/>
                <w:szCs w:val="28"/>
              </w:rPr>
              <w:t>课题名称</w:t>
            </w:r>
          </w:p>
        </w:tc>
        <w:tc>
          <w:tcPr>
            <w:tcW w:w="6735" w:type="dxa"/>
            <w:gridSpan w:val="3"/>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spacing w:before="0" w:beforeAutospacing="1" w:after="0" w:afterAutospacing="1" w:line="360" w:lineRule="atLeast"/>
              <w:jc w:val="center"/>
            </w:pPr>
            <w:r>
              <w:rPr>
                <w:rFonts w:hint="eastAsia" w:ascii="宋体" w:hAnsi="宋体" w:eastAsia="宋体" w:cs="宋体"/>
                <w:i w:val="0"/>
                <w:iCs w:val="0"/>
                <w:caps w:val="0"/>
                <w:color w:val="323E32"/>
                <w:spacing w:val="0"/>
                <w:sz w:val="28"/>
                <w:szCs w:val="28"/>
              </w:rPr>
              <w:fldChar w:fldCharType="begin"/>
            </w:r>
            <w:r>
              <w:rPr>
                <w:rFonts w:hint="eastAsia" w:ascii="宋体" w:hAnsi="宋体" w:eastAsia="宋体" w:cs="宋体"/>
                <w:i w:val="0"/>
                <w:iCs w:val="0"/>
                <w:caps w:val="0"/>
                <w:color w:val="323E32"/>
                <w:spacing w:val="0"/>
                <w:sz w:val="28"/>
                <w:szCs w:val="28"/>
              </w:rPr>
              <w:instrText xml:space="preserve"> HYPERLINK "http://www.clxx.wj.czedu.cn/html/node210650.html" \t "http://www.clxx.wj.czedu.cn/html/_blank" </w:instrText>
            </w:r>
            <w:r>
              <w:rPr>
                <w:rFonts w:hint="eastAsia" w:ascii="宋体" w:hAnsi="宋体" w:eastAsia="宋体" w:cs="宋体"/>
                <w:i w:val="0"/>
                <w:iCs w:val="0"/>
                <w:caps w:val="0"/>
                <w:color w:val="323E32"/>
                <w:spacing w:val="0"/>
                <w:sz w:val="28"/>
                <w:szCs w:val="28"/>
              </w:rPr>
              <w:fldChar w:fldCharType="separate"/>
            </w:r>
            <w:r>
              <w:rPr>
                <w:rFonts w:hint="eastAsia" w:ascii="宋体" w:hAnsi="宋体" w:eastAsia="宋体" w:cs="宋体"/>
                <w:i w:val="0"/>
                <w:iCs w:val="0"/>
                <w:caps w:val="0"/>
                <w:color w:val="323E32"/>
                <w:spacing w:val="0"/>
                <w:sz w:val="28"/>
                <w:szCs w:val="28"/>
              </w:rPr>
              <w:t>游戏化翻转学习：小学英语教学新探索</w:t>
            </w:r>
            <w:r>
              <w:rPr>
                <w:rFonts w:hint="eastAsia" w:ascii="宋体" w:hAnsi="宋体" w:eastAsia="宋体" w:cs="宋体"/>
                <w:i w:val="0"/>
                <w:iCs w:val="0"/>
                <w:caps w:val="0"/>
                <w:color w:val="323E32"/>
                <w:spacing w:val="0"/>
                <w:sz w:val="28"/>
                <w:szCs w:val="28"/>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tblCellSpacing w:w="0" w:type="dxa"/>
        </w:trPr>
        <w:tc>
          <w:tcPr>
            <w:tcW w:w="136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spacing w:before="0" w:beforeAutospacing="1" w:after="0" w:afterAutospacing="1" w:line="360" w:lineRule="atLeast"/>
              <w:jc w:val="center"/>
            </w:pPr>
            <w:r>
              <w:rPr>
                <w:rFonts w:hint="eastAsia" w:ascii="宋体" w:hAnsi="宋体" w:eastAsia="宋体" w:cs="宋体"/>
                <w:i w:val="0"/>
                <w:iCs w:val="0"/>
                <w:caps w:val="0"/>
                <w:color w:val="323E32"/>
                <w:spacing w:val="0"/>
                <w:sz w:val="28"/>
                <w:szCs w:val="28"/>
              </w:rPr>
              <w:t>记录人</w:t>
            </w:r>
          </w:p>
        </w:tc>
        <w:tc>
          <w:tcPr>
            <w:tcW w:w="288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spacing w:before="0" w:beforeAutospacing="1" w:after="0" w:afterAutospacing="1" w:line="360" w:lineRule="atLeast"/>
              <w:ind w:left="0" w:firstLine="555"/>
              <w:jc w:val="center"/>
              <w:rPr>
                <w:rFonts w:hint="eastAsia" w:eastAsiaTheme="minorEastAsia"/>
                <w:lang w:eastAsia="zh-CN"/>
              </w:rPr>
            </w:pPr>
            <w:r>
              <w:rPr>
                <w:rFonts w:hint="eastAsia"/>
                <w:lang w:eastAsia="zh-CN"/>
              </w:rPr>
              <w:t>仇伟红</w:t>
            </w:r>
          </w:p>
        </w:tc>
        <w:tc>
          <w:tcPr>
            <w:tcW w:w="144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spacing w:before="0" w:beforeAutospacing="1" w:after="0" w:afterAutospacing="1" w:line="360" w:lineRule="atLeast"/>
              <w:jc w:val="center"/>
            </w:pPr>
            <w:r>
              <w:rPr>
                <w:rFonts w:hint="eastAsia" w:ascii="宋体" w:hAnsi="宋体" w:eastAsia="宋体" w:cs="宋体"/>
                <w:i w:val="0"/>
                <w:iCs w:val="0"/>
                <w:caps w:val="0"/>
                <w:color w:val="323E32"/>
                <w:spacing w:val="0"/>
                <w:sz w:val="28"/>
                <w:szCs w:val="28"/>
              </w:rPr>
              <w:t>学习时间</w:t>
            </w:r>
          </w:p>
        </w:tc>
        <w:tc>
          <w:tcPr>
            <w:tcW w:w="241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spacing w:before="0" w:beforeAutospacing="1" w:after="0" w:afterAutospacing="1" w:line="360" w:lineRule="atLeast"/>
              <w:jc w:val="center"/>
              <w:rPr>
                <w:rFonts w:hint="default" w:eastAsiaTheme="minorEastAsia"/>
                <w:lang w:val="en-US" w:eastAsia="zh-CN"/>
              </w:rPr>
            </w:pPr>
            <w:r>
              <w:rPr>
                <w:rFonts w:hint="eastAsia"/>
                <w:lang w:val="en-US" w:eastAsia="zh-CN"/>
              </w:rPr>
              <w:t>2022.3</w:t>
            </w:r>
            <w:bookmarkStart w:id="1" w:name="_GoBack"/>
            <w:bookmarkEnd w:id="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0" w:type="dxa"/>
        </w:trPr>
        <w:tc>
          <w:tcPr>
            <w:tcW w:w="136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spacing w:before="0" w:beforeAutospacing="1" w:after="0" w:afterAutospacing="1" w:line="360" w:lineRule="atLeast"/>
              <w:jc w:val="center"/>
            </w:pPr>
            <w:r>
              <w:rPr>
                <w:rFonts w:hint="eastAsia" w:ascii="宋体" w:hAnsi="宋体" w:eastAsia="宋体" w:cs="宋体"/>
                <w:i w:val="0"/>
                <w:iCs w:val="0"/>
                <w:caps w:val="0"/>
                <w:color w:val="323E32"/>
                <w:spacing w:val="0"/>
                <w:sz w:val="28"/>
                <w:szCs w:val="28"/>
              </w:rPr>
              <w:t>标题</w:t>
            </w:r>
          </w:p>
        </w:tc>
        <w:tc>
          <w:tcPr>
            <w:tcW w:w="6735"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2"/>
            </w:pPr>
            <w:bookmarkStart w:id="0" w:name="_Toc1"/>
            <w:r>
              <w:rPr>
                <w:rFonts w:hint="eastAsia" w:asciiTheme="minorHAnsi" w:hAnsiTheme="minorHAnsi" w:eastAsiaTheme="minorEastAsia" w:cstheme="minorBidi"/>
                <w:b w:val="0"/>
                <w:bCs w:val="0"/>
                <w:kern w:val="0"/>
                <w:sz w:val="24"/>
                <w:szCs w:val="24"/>
                <w:lang w:val="en-US" w:eastAsia="zh-CN" w:bidi="ar"/>
              </w:rPr>
              <w:t>游戏化学习理念在翻转课堂教学中的应用研究</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0" w:type="dxa"/>
        </w:trPr>
        <w:tc>
          <w:tcPr>
            <w:tcW w:w="1365" w:type="dxa"/>
            <w:tcBorders>
              <w:top w:val="nil"/>
              <w:left w:val="single" w:color="auto" w:sz="6" w:space="0"/>
              <w:bottom w:val="nil"/>
              <w:right w:val="single" w:color="auto" w:sz="6" w:space="0"/>
            </w:tcBorders>
            <w:shd w:val="clear" w:color="auto" w:fill="FFFFFF"/>
            <w:tcMar>
              <w:left w:w="105" w:type="dxa"/>
              <w:right w:w="105" w:type="dxa"/>
            </w:tcMar>
            <w:vAlign w:val="center"/>
          </w:tcPr>
          <w:p>
            <w:pPr>
              <w:pStyle w:val="3"/>
              <w:keepNext w:val="0"/>
              <w:keepLines w:val="0"/>
              <w:widowControl/>
              <w:suppressLineNumbers w:val="0"/>
              <w:spacing w:before="0" w:beforeAutospacing="1" w:after="0" w:afterAutospacing="1" w:line="360" w:lineRule="atLeast"/>
              <w:jc w:val="center"/>
            </w:pPr>
            <w:r>
              <w:rPr>
                <w:rFonts w:hint="eastAsia" w:ascii="宋体" w:hAnsi="宋体" w:eastAsia="宋体" w:cs="宋体"/>
                <w:i w:val="0"/>
                <w:iCs w:val="0"/>
                <w:caps w:val="0"/>
                <w:color w:val="323E32"/>
                <w:spacing w:val="0"/>
                <w:sz w:val="28"/>
                <w:szCs w:val="28"/>
              </w:rPr>
              <w:t>来源</w:t>
            </w:r>
          </w:p>
        </w:tc>
        <w:tc>
          <w:tcPr>
            <w:tcW w:w="6735" w:type="dxa"/>
            <w:gridSpan w:val="3"/>
            <w:tcBorders>
              <w:top w:val="nil"/>
              <w:left w:val="nil"/>
              <w:bottom w:val="nil"/>
              <w:right w:val="single" w:color="auto" w:sz="6" w:space="0"/>
            </w:tcBorders>
            <w:shd w:val="clear" w:color="auto" w:fill="FFFFFF"/>
            <w:tcMar>
              <w:left w:w="105" w:type="dxa"/>
              <w:right w:w="105" w:type="dxa"/>
            </w:tcMar>
            <w:vAlign w:val="center"/>
          </w:tcPr>
          <w:p>
            <w:pPr>
              <w:pStyle w:val="3"/>
              <w:keepNext w:val="0"/>
              <w:keepLines w:val="0"/>
              <w:widowControl/>
              <w:suppressLineNumbers w:val="0"/>
              <w:spacing w:before="0" w:beforeAutospacing="1" w:after="0" w:afterAutospacing="1" w:line="360" w:lineRule="atLeast"/>
              <w:jc w:val="center"/>
              <w:rPr>
                <w:rFonts w:hint="eastAsia" w:eastAsiaTheme="minorEastAsia"/>
                <w:lang w:eastAsia="zh-CN"/>
              </w:rPr>
            </w:pPr>
            <w:r>
              <w:rPr>
                <w:rFonts w:hint="eastAsia"/>
                <w:lang w:eastAsia="zh-CN"/>
              </w:rPr>
              <w:t>教育教学论坛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blCellSpacing w:w="0" w:type="dxa"/>
        </w:trPr>
        <w:tc>
          <w:tcPr>
            <w:tcW w:w="1365" w:type="dxa"/>
            <w:tcBorders>
              <w:top w:val="nil"/>
              <w:left w:val="single" w:color="auto" w:sz="6" w:space="0"/>
              <w:bottom w:val="nil"/>
              <w:right w:val="single" w:color="auto" w:sz="6" w:space="0"/>
            </w:tcBorders>
            <w:shd w:val="clear" w:color="auto" w:fill="FFFFFF"/>
            <w:tcMar>
              <w:left w:w="105" w:type="dxa"/>
              <w:right w:w="105" w:type="dxa"/>
            </w:tcMar>
            <w:vAlign w:val="center"/>
          </w:tcPr>
          <w:p>
            <w:pPr>
              <w:pStyle w:val="3"/>
              <w:keepNext w:val="0"/>
              <w:keepLines w:val="0"/>
              <w:widowControl/>
              <w:suppressLineNumbers w:val="0"/>
              <w:spacing w:before="0" w:beforeAutospacing="1" w:after="0" w:afterAutospacing="1" w:line="360" w:lineRule="atLeast"/>
              <w:jc w:val="center"/>
              <w:rPr>
                <w:rFonts w:hint="eastAsia" w:ascii="宋体" w:hAnsi="宋体" w:eastAsia="宋体" w:cs="宋体"/>
                <w:i w:val="0"/>
                <w:iCs w:val="0"/>
                <w:caps w:val="0"/>
                <w:color w:val="323E32"/>
                <w:spacing w:val="0"/>
                <w:sz w:val="28"/>
                <w:szCs w:val="28"/>
                <w:lang w:eastAsia="zh-CN"/>
              </w:rPr>
            </w:pPr>
            <w:r>
              <w:rPr>
                <w:rFonts w:hint="eastAsia" w:ascii="宋体" w:hAnsi="宋体" w:eastAsia="宋体" w:cs="宋体"/>
                <w:i w:val="0"/>
                <w:iCs w:val="0"/>
                <w:caps w:val="0"/>
                <w:color w:val="323E32"/>
                <w:spacing w:val="0"/>
                <w:sz w:val="28"/>
                <w:szCs w:val="28"/>
                <w:lang w:eastAsia="zh-CN"/>
              </w:rPr>
              <w:t>主要内容</w:t>
            </w:r>
          </w:p>
        </w:tc>
        <w:tc>
          <w:tcPr>
            <w:tcW w:w="6735" w:type="dxa"/>
            <w:gridSpan w:val="3"/>
            <w:tcBorders>
              <w:top w:val="nil"/>
              <w:left w:val="nil"/>
              <w:bottom w:val="nil"/>
              <w:right w:val="single" w:color="auto" w:sz="6" w:space="0"/>
            </w:tcBorders>
            <w:shd w:val="clear" w:color="auto" w:fill="FFFFFF"/>
            <w:tcMar>
              <w:left w:w="105" w:type="dxa"/>
              <w:right w:w="105" w:type="dxa"/>
            </w:tcMar>
            <w:vAlign w:val="center"/>
          </w:tcPr>
          <w:p>
            <w:pPr>
              <w:pStyle w:val="3"/>
              <w:keepNext w:val="0"/>
              <w:keepLines w:val="0"/>
              <w:widowControl/>
              <w:suppressLineNumbers w:val="0"/>
              <w:spacing w:before="0" w:beforeAutospacing="1" w:after="0" w:afterAutospacing="1" w:line="360" w:lineRule="atLeast"/>
              <w:jc w:val="center"/>
              <w:rPr>
                <w:rFonts w:hint="eastAsia" w:eastAsiaTheme="minorEastAsia"/>
                <w:lang w:eastAsia="zh-CN"/>
              </w:rPr>
            </w:pPr>
            <w:r>
              <w:rPr>
                <w:rFonts w:hint="eastAsia"/>
              </w:rPr>
              <w:t>在翻转课堂教学中应用游戏化学习理念时，教师必须对自己在这个过程中的作用有正确的认识，最大化的发挥自己在教学中的指导和推动作用。要实现这一目标，教师必须要转变传统的教学理念，遵循素质教育中以学生为主导的理念，要积极引导学生把掌握的知识构建成完整的知识体系，从而实现学生自身的协调发展，这有助于提高学生的自控能力。通过运用游戏化学习理念，引导学生将注意力从游戏上转移到学习中，借助对教学目标的层层分解，促进学生技能的运用、情感态度、学习过程等各方面的提升，使学生脱离游戏对自身发展的影响，合理分配学习和游戏时间。在进行目标分层设计时，教师要充分考虑学生的实际情况，根据学生的个体差异进行区别设计，更加合理地安排教学内容，从而实现更过目标的完成。对游戏化学习目标进行分层设计，可以让学生对所学知识更好地进行巩固，还利于学生掌握新知识</w:t>
            </w:r>
            <w:r>
              <w:rPr>
                <w:rFonts w:hint="eastAsia"/>
                <w:lang w:eastAsia="zh-CN"/>
              </w:rPr>
              <w:t>。</w:t>
            </w:r>
          </w:p>
          <w:p>
            <w:pPr>
              <w:pStyle w:val="3"/>
              <w:keepNext w:val="0"/>
              <w:keepLines w:val="0"/>
              <w:widowControl/>
              <w:suppressLineNumbers w:val="0"/>
              <w:spacing w:before="0" w:beforeAutospacing="1" w:after="0" w:afterAutospacing="1" w:line="360" w:lineRule="atLeast"/>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0" w:type="dxa"/>
        </w:trPr>
        <w:tc>
          <w:tcPr>
            <w:tcW w:w="136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spacing w:before="0" w:beforeAutospacing="1" w:after="0" w:afterAutospacing="1" w:line="360" w:lineRule="atLeast"/>
              <w:jc w:val="center"/>
              <w:rPr>
                <w:rFonts w:hint="eastAsia" w:ascii="宋体" w:hAnsi="宋体" w:eastAsia="宋体" w:cs="宋体"/>
                <w:i w:val="0"/>
                <w:iCs w:val="0"/>
                <w:caps w:val="0"/>
                <w:color w:val="323E32"/>
                <w:spacing w:val="0"/>
                <w:sz w:val="28"/>
                <w:szCs w:val="28"/>
                <w:lang w:eastAsia="zh-CN"/>
              </w:rPr>
            </w:pPr>
            <w:r>
              <w:rPr>
                <w:rFonts w:hint="eastAsia" w:ascii="宋体" w:hAnsi="宋体" w:eastAsia="宋体" w:cs="宋体"/>
                <w:i w:val="0"/>
                <w:iCs w:val="0"/>
                <w:caps w:val="0"/>
                <w:color w:val="323E32"/>
                <w:spacing w:val="0"/>
                <w:sz w:val="28"/>
                <w:szCs w:val="28"/>
                <w:lang w:eastAsia="zh-CN"/>
              </w:rPr>
              <w:t>心得体会</w:t>
            </w:r>
          </w:p>
        </w:tc>
        <w:tc>
          <w:tcPr>
            <w:tcW w:w="6735"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spacing w:before="0" w:beforeAutospacing="1" w:after="0" w:afterAutospacing="1" w:line="360" w:lineRule="atLeast"/>
              <w:jc w:val="center"/>
            </w:pPr>
            <w:r>
              <w:rPr>
                <w:rFonts w:hint="eastAsia"/>
              </w:rPr>
              <w:t>反转课堂可以有效实现传统课堂中知识传授和知识内化两个重要阶段的颠倒。教师通过对学生进行翻转式教学，可以脱离知识传授者的角色，并根据学科特点、学生的个体特征以及自己的教学理念，设计和安排有效的课堂活动。良好的课堂活动环节能够让学生进行有效的知识内化，能够有效提高学生的学习效果。游戏化学习则指的是教师在设计教学环节时，融入趣味性强的游戏设计策略，让学生能够在轻快愉悦的环境下通过游戏活动的方式完成对课程的学习，有利于培养学生学习的主动性和创造性。</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124A61"/>
    <w:rsid w:val="38342418"/>
    <w:rsid w:val="4105478E"/>
    <w:rsid w:val="418446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uiPriority w:val="0"/>
    <w:rPr>
      <w:rFonts w:ascii="宋体" w:hAnsi="宋体" w:eastAsia="宋体" w:cs="宋体"/>
      <w:b/>
      <w:bCs/>
      <w:sz w:val="45"/>
      <w:szCs w:val="45"/>
      <w:lang w:val="en-US"/>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去留无意</cp:lastModifiedBy>
  <dcterms:modified xsi:type="dcterms:W3CDTF">2022-04-22T09:02:18Z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35BA64D551CA4E8287149B734A6C01B1</vt:lpwstr>
  </property>
</Properties>
</file>