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spacing w:val="-5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5"/>
          <w:sz w:val="44"/>
          <w:szCs w:val="44"/>
        </w:rPr>
        <w:t>硬笔字、毛笔字、粉笔字</w:t>
      </w:r>
    </w:p>
    <w:p>
      <w:pPr>
        <w:spacing w:line="700" w:lineRule="exact"/>
        <w:jc w:val="center"/>
        <w:rPr>
          <w:rFonts w:ascii="方正小标宋简体" w:hAnsi="黑体" w:eastAsia="方正小标宋简体" w:cs="Times New Roman"/>
          <w:color w:val="000000"/>
          <w:spacing w:val="-5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5"/>
          <w:sz w:val="44"/>
          <w:szCs w:val="44"/>
        </w:rPr>
        <w:t>竞赛内容、形式和报送要求</w:t>
      </w:r>
    </w:p>
    <w:p>
      <w:pPr>
        <w:spacing w:line="4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一、作品内容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作品应围绕“奋进新征程，建功新时代，一起向未来”主题，文体不限。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二、作品形式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）硬笔作品：书体限篆、隶、楷、行，作品尺寸最大不超过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A3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，最小不小于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16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开，横竖皆可，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篆书作品应附释文。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）毛笔作品：书体限篆、隶、楷、行，作品尺寸最大不超过四尺整张（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68cm*138cm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最小不小于四尺三开（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46cm*69cm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）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一律竖式，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篆书作品应附释文。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）粉笔作品：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以楷书、行书为主，结构不限，拍照后一律用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70g/m</w:t>
      </w:r>
      <w:r>
        <w:rPr>
          <w:rFonts w:hint="eastAsia"/>
          <w:color w:val="000000"/>
          <w:sz w:val="32"/>
          <w:szCs w:val="32"/>
        </w:rPr>
        <w:t>²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A4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纸张彩色打印，横竖皆可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。同时请作者保留粉笔作品高清照片原图。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三、报送要求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所有作品无需装裱，不得出现错、漏字和繁简字混杂。凡不符合以上要求的作品，一律不予评审。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报送市级决赛的作品，一律按照分配表规定数量，由辖市（区）教育工会或局属学校工会统一报送，组委会不接受个人报送的作品。</w:t>
      </w:r>
    </w:p>
    <w:p>
      <w:pPr>
        <w:jc w:val="center"/>
        <w:rPr>
          <w:rFonts w:ascii="方正小标宋简体" w:hAnsi="仿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普通话竞赛内容、形式和报送要求</w:t>
      </w:r>
    </w:p>
    <w:p>
      <w:pPr>
        <w:spacing w:line="4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一、竞赛内容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地各校应围绕“奋进新征程，建功新时代，一起向未来”主题，以提高教师国家通用语言文字核心素养和教学能力为重点，结合教师在课堂内外发生的真实教育情境，以赛促训，赛训结合，提升教师运用语言技巧增进师生交流、家校沟通的实效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二、竞赛形式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市级决赛主要采取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“主题演讲</w:t>
      </w:r>
      <w:r>
        <w:rPr>
          <w:rFonts w:ascii="仿宋_GB2312" w:hAnsi="仿宋" w:eastAsia="仿宋_GB2312" w:cs="仿宋_GB2312"/>
          <w:b/>
          <w:bCs/>
          <w:color w:val="000000"/>
          <w:sz w:val="32"/>
          <w:szCs w:val="32"/>
        </w:rPr>
        <w:t>+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情境问答”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的形式开展，具体要求另行通知。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建议各地各校结合学校实际和不同年龄段教师特点，采用手机“畅言普通话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APP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”语音测试、主题演讲、经典诵读、诗词飞花令、现场模拟教学、情境问答、配音等多种形式，丰富活动成效，调动全体老师参与竞赛的积极性、主动性，推动形成规范运用通用语言文字的良好氛围。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三、报送要求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各校在初赛、复赛的基础上，按照分配名额，择优上报参加市级决赛的名单。市级决赛名单由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教育工会审核后报送，不接受个人报名。</w:t>
      </w:r>
    </w:p>
    <w:p>
      <w:pPr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普通话市级决赛名单与“三字”作品一同报送。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rFonts w:ascii="Times New Roman" w:hAnsi="Times New Roman" w:cs="Times New Roman"/>
        <w:sz w:val="28"/>
        <w:szCs w:val="28"/>
      </w:rPr>
    </w:pPr>
    <w:r>
      <w:rPr>
        <w:rStyle w:val="6"/>
        <w:rFonts w:ascii="Times New Roman" w:hAnsi="Times New Roman" w:cs="Times New Roman"/>
        <w:sz w:val="28"/>
        <w:szCs w:val="28"/>
      </w:rPr>
      <w:fldChar w:fldCharType="begin"/>
    </w:r>
    <w:r>
      <w:rPr>
        <w:rStyle w:val="6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 w:cs="Times New Roman"/>
        <w:sz w:val="28"/>
        <w:szCs w:val="28"/>
      </w:rPr>
      <w:fldChar w:fldCharType="separate"/>
    </w:r>
    <w:r>
      <w:rPr>
        <w:rStyle w:val="6"/>
        <w:rFonts w:ascii="Times New Roman" w:hAnsi="Times New Roman" w:cs="Times New Roman"/>
        <w:sz w:val="28"/>
        <w:szCs w:val="28"/>
      </w:rPr>
      <w:t>- 6 -</w:t>
    </w:r>
    <w:r>
      <w:rPr>
        <w:rStyle w:val="6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ABE"/>
    <w:rsid w:val="00016E0A"/>
    <w:rsid w:val="000C00DA"/>
    <w:rsid w:val="000C6F07"/>
    <w:rsid w:val="000D1D3D"/>
    <w:rsid w:val="00152529"/>
    <w:rsid w:val="00190D0E"/>
    <w:rsid w:val="001951B8"/>
    <w:rsid w:val="001F5B4D"/>
    <w:rsid w:val="002169BE"/>
    <w:rsid w:val="002D06DC"/>
    <w:rsid w:val="00302871"/>
    <w:rsid w:val="00335741"/>
    <w:rsid w:val="00391638"/>
    <w:rsid w:val="003A232C"/>
    <w:rsid w:val="003B3BAD"/>
    <w:rsid w:val="00412880"/>
    <w:rsid w:val="004322F6"/>
    <w:rsid w:val="004A278B"/>
    <w:rsid w:val="004D7FD1"/>
    <w:rsid w:val="004F368E"/>
    <w:rsid w:val="00501097"/>
    <w:rsid w:val="00512BBE"/>
    <w:rsid w:val="00526ECB"/>
    <w:rsid w:val="005557EA"/>
    <w:rsid w:val="00560A34"/>
    <w:rsid w:val="00562216"/>
    <w:rsid w:val="005A1BB8"/>
    <w:rsid w:val="005D2EF3"/>
    <w:rsid w:val="00634B93"/>
    <w:rsid w:val="00641ABE"/>
    <w:rsid w:val="006E4317"/>
    <w:rsid w:val="007671E8"/>
    <w:rsid w:val="007C67A8"/>
    <w:rsid w:val="007D04F6"/>
    <w:rsid w:val="00811554"/>
    <w:rsid w:val="009A038A"/>
    <w:rsid w:val="009F6A50"/>
    <w:rsid w:val="00A5021B"/>
    <w:rsid w:val="00A8139B"/>
    <w:rsid w:val="00AA78E8"/>
    <w:rsid w:val="00AD2493"/>
    <w:rsid w:val="00B02C30"/>
    <w:rsid w:val="00B37A57"/>
    <w:rsid w:val="00B42AD8"/>
    <w:rsid w:val="00B563E7"/>
    <w:rsid w:val="00C03A74"/>
    <w:rsid w:val="00D9616B"/>
    <w:rsid w:val="00E07A1D"/>
    <w:rsid w:val="00EF50AC"/>
    <w:rsid w:val="00F2155D"/>
    <w:rsid w:val="00F228A3"/>
    <w:rsid w:val="00F40F35"/>
    <w:rsid w:val="00F748A8"/>
    <w:rsid w:val="177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14"/>
      <w:szCs w:val="1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2"/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920</Words>
  <Characters>1008</Characters>
  <Lines>7</Lines>
  <Paragraphs>2</Paragraphs>
  <TotalTime>123</TotalTime>
  <ScaleCrop>false</ScaleCrop>
  <LinksUpToDate>false</LinksUpToDate>
  <CharactersWithSpaces>1008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2022-03-08T08:32:00Z</dcterms:created>
  <dc:creator>王建强</dc:creator>
  <cp:lastModifiedBy>张立</cp:lastModifiedBy>
  <dcterms:modified xsi:type="dcterms:W3CDTF">2022-04-08T03:23:06Z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672DE319A21640D7BBB9B3E5AC89F1EB</vt:lpwstr>
  </property>
</Properties>
</file>