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44" w:rsidRPr="000A20A6" w:rsidRDefault="000E2844" w:rsidP="000E2844">
      <w:pPr>
        <w:spacing w:line="440" w:lineRule="exact"/>
        <w:jc w:val="center"/>
        <w:rPr>
          <w:rFonts w:ascii="黑体" w:eastAsia="黑体" w:hAnsi="黑体" w:cs="黑体" w:hint="eastAsia"/>
          <w:sz w:val="36"/>
          <w:szCs w:val="44"/>
        </w:rPr>
      </w:pPr>
      <w:r w:rsidRPr="000A20A6">
        <w:rPr>
          <w:rFonts w:ascii="黑体" w:eastAsia="黑体" w:hAnsi="黑体" w:cs="黑体" w:hint="eastAsia"/>
          <w:sz w:val="36"/>
          <w:szCs w:val="44"/>
        </w:rPr>
        <w:t>新优质  指方向  共行动  再出发</w:t>
      </w:r>
    </w:p>
    <w:p w:rsidR="000E2844" w:rsidRDefault="000E2844" w:rsidP="000E2844">
      <w:pPr>
        <w:spacing w:line="440" w:lineRule="exact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常州市新北区薛家实验小学2020—2021学年第一学期课程与教学计划</w:t>
      </w:r>
    </w:p>
    <w:p w:rsidR="000E2844" w:rsidRDefault="000E2844" w:rsidP="000E2844">
      <w:pPr>
        <w:spacing w:line="440" w:lineRule="exact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0E2844" w:rsidRPr="000E2844" w:rsidRDefault="000E2844" w:rsidP="000E2844">
      <w:pPr>
        <w:spacing w:line="440" w:lineRule="exact"/>
        <w:ind w:firstLineChars="200" w:firstLine="482"/>
        <w:jc w:val="left"/>
        <w:rPr>
          <w:rFonts w:asciiTheme="majorEastAsia" w:eastAsiaTheme="majorEastAsia" w:hAnsiTheme="majorEastAsia" w:cs="黑体" w:hint="eastAsia"/>
          <w:b/>
          <w:bCs/>
          <w:sz w:val="24"/>
        </w:rPr>
      </w:pPr>
      <w:r w:rsidRPr="000E2844">
        <w:rPr>
          <w:rFonts w:asciiTheme="majorEastAsia" w:eastAsiaTheme="majorEastAsia" w:hAnsiTheme="majorEastAsia" w:cs="黑体" w:hint="eastAsia"/>
          <w:b/>
          <w:bCs/>
          <w:sz w:val="24"/>
        </w:rPr>
        <w:t>工作思路</w:t>
      </w:r>
    </w:p>
    <w:p w:rsidR="000E2844" w:rsidRPr="000E2844" w:rsidRDefault="000E2844" w:rsidP="000E2844">
      <w:pPr>
        <w:adjustRightInd w:val="0"/>
        <w:snapToGrid w:val="0"/>
        <w:spacing w:line="440" w:lineRule="exact"/>
        <w:ind w:firstLineChars="200" w:firstLine="480"/>
        <w:jc w:val="left"/>
        <w:rPr>
          <w:rFonts w:asciiTheme="majorEastAsia" w:eastAsiaTheme="majorEastAsia" w:hAnsiTheme="majorEastAsia" w:hint="eastAsia"/>
          <w:sz w:val="24"/>
        </w:rPr>
      </w:pPr>
      <w:r w:rsidRPr="000E2844">
        <w:rPr>
          <w:rFonts w:asciiTheme="majorEastAsia" w:eastAsiaTheme="majorEastAsia" w:hAnsiTheme="majorEastAsia" w:hint="eastAsia"/>
          <w:sz w:val="24"/>
        </w:rPr>
        <w:t>本学期</w:t>
      </w:r>
      <w:r>
        <w:rPr>
          <w:rFonts w:asciiTheme="majorEastAsia" w:eastAsiaTheme="majorEastAsia" w:hAnsiTheme="majorEastAsia" w:hint="eastAsia"/>
          <w:sz w:val="24"/>
        </w:rPr>
        <w:t>，</w:t>
      </w:r>
      <w:r w:rsidRPr="000E2844">
        <w:rPr>
          <w:rFonts w:asciiTheme="majorEastAsia" w:eastAsiaTheme="majorEastAsia" w:hAnsiTheme="majorEastAsia" w:hint="eastAsia"/>
          <w:sz w:val="24"/>
        </w:rPr>
        <w:t>我校将继续积极贯彻落实市、区有关精神，</w:t>
      </w:r>
      <w:r w:rsidRPr="000E2844">
        <w:rPr>
          <w:rFonts w:asciiTheme="majorEastAsia" w:eastAsiaTheme="majorEastAsia" w:hAnsiTheme="majorEastAsia" w:cs="宋体" w:hint="eastAsia"/>
          <w:sz w:val="24"/>
        </w:rPr>
        <w:t>对照</w:t>
      </w:r>
      <w:r w:rsidR="00513ABF">
        <w:rPr>
          <w:rFonts w:asciiTheme="majorEastAsia" w:eastAsiaTheme="majorEastAsia" w:hAnsiTheme="majorEastAsia" w:cs="宋体" w:hint="eastAsia"/>
          <w:sz w:val="24"/>
        </w:rPr>
        <w:t>三年主动发展规划和</w:t>
      </w:r>
      <w:r w:rsidRPr="000E2844">
        <w:rPr>
          <w:rFonts w:asciiTheme="majorEastAsia" w:eastAsiaTheme="majorEastAsia" w:hAnsiTheme="majorEastAsia" w:cs="宋体" w:hint="eastAsia"/>
          <w:sz w:val="24"/>
        </w:rPr>
        <w:t>创“新优质”学校的各项标准</w:t>
      </w:r>
      <w:r w:rsidR="00513ABF">
        <w:rPr>
          <w:rFonts w:asciiTheme="majorEastAsia" w:eastAsiaTheme="majorEastAsia" w:hAnsiTheme="majorEastAsia" w:cs="宋体" w:hint="eastAsia"/>
          <w:sz w:val="24"/>
        </w:rPr>
        <w:t>明方向，</w:t>
      </w:r>
      <w:r w:rsidRPr="000E2844">
        <w:rPr>
          <w:rFonts w:asciiTheme="majorEastAsia" w:eastAsiaTheme="majorEastAsia" w:hAnsiTheme="majorEastAsia" w:cs="宋体" w:hint="eastAsia"/>
          <w:sz w:val="24"/>
        </w:rPr>
        <w:t>找差距，不断完善</w:t>
      </w:r>
      <w:r>
        <w:rPr>
          <w:rFonts w:asciiTheme="majorEastAsia" w:eastAsiaTheme="majorEastAsia" w:hAnsiTheme="majorEastAsia" w:cs="宋体" w:hint="eastAsia"/>
          <w:sz w:val="24"/>
        </w:rPr>
        <w:t>课程建设与教学</w:t>
      </w:r>
      <w:r w:rsidRPr="000E2844">
        <w:rPr>
          <w:rFonts w:asciiTheme="majorEastAsia" w:eastAsiaTheme="majorEastAsia" w:hAnsiTheme="majorEastAsia" w:cs="宋体" w:hint="eastAsia"/>
          <w:sz w:val="24"/>
        </w:rPr>
        <w:t>工作。</w:t>
      </w:r>
      <w:r w:rsidRPr="000E2844">
        <w:rPr>
          <w:rFonts w:asciiTheme="majorEastAsia" w:eastAsiaTheme="majorEastAsia" w:hAnsiTheme="majorEastAsia"/>
          <w:sz w:val="24"/>
        </w:rPr>
        <w:t>以课题研究为</w:t>
      </w:r>
      <w:r w:rsidRPr="000E2844">
        <w:rPr>
          <w:rFonts w:asciiTheme="majorEastAsia" w:eastAsiaTheme="majorEastAsia" w:hAnsiTheme="majorEastAsia" w:hint="eastAsia"/>
          <w:sz w:val="24"/>
        </w:rPr>
        <w:t>抓</w:t>
      </w:r>
      <w:r w:rsidRPr="000E2844">
        <w:rPr>
          <w:rFonts w:asciiTheme="majorEastAsia" w:eastAsiaTheme="majorEastAsia" w:hAnsiTheme="majorEastAsia"/>
          <w:sz w:val="24"/>
        </w:rPr>
        <w:t>手，</w:t>
      </w:r>
      <w:r w:rsidRPr="000E2844">
        <w:rPr>
          <w:rFonts w:asciiTheme="majorEastAsia" w:eastAsiaTheme="majorEastAsia" w:hAnsiTheme="majorEastAsia" w:hint="eastAsia"/>
          <w:sz w:val="24"/>
        </w:rPr>
        <w:t>课堂教学为阵地，提高师资整体素质为核心，提高课堂教学效率为重点，加强教学研究，不断解决教学中的新问题，努力提高学生的</w:t>
      </w:r>
      <w:r>
        <w:rPr>
          <w:rFonts w:asciiTheme="majorEastAsia" w:eastAsiaTheme="majorEastAsia" w:hAnsiTheme="majorEastAsia" w:hint="eastAsia"/>
          <w:sz w:val="24"/>
        </w:rPr>
        <w:t>核心</w:t>
      </w:r>
      <w:r w:rsidRPr="000E2844">
        <w:rPr>
          <w:rFonts w:asciiTheme="majorEastAsia" w:eastAsiaTheme="majorEastAsia" w:hAnsiTheme="majorEastAsia" w:hint="eastAsia"/>
          <w:sz w:val="24"/>
        </w:rPr>
        <w:t>素养，全面提高教学质量，使我校</w:t>
      </w:r>
      <w:r>
        <w:rPr>
          <w:rFonts w:asciiTheme="majorEastAsia" w:eastAsiaTheme="majorEastAsia" w:hAnsiTheme="majorEastAsia" w:hint="eastAsia"/>
          <w:sz w:val="24"/>
        </w:rPr>
        <w:t>各学科都</w:t>
      </w:r>
      <w:r w:rsidRPr="000E2844">
        <w:rPr>
          <w:rFonts w:asciiTheme="majorEastAsia" w:eastAsiaTheme="majorEastAsia" w:hAnsiTheme="majorEastAsia" w:hint="eastAsia"/>
          <w:sz w:val="24"/>
        </w:rPr>
        <w:t>再上新台阶。</w:t>
      </w:r>
    </w:p>
    <w:p w:rsidR="000E2844" w:rsidRPr="000E2844" w:rsidRDefault="000E2844" w:rsidP="000E2844">
      <w:pPr>
        <w:adjustRightInd w:val="0"/>
        <w:snapToGrid w:val="0"/>
        <w:spacing w:line="440" w:lineRule="exact"/>
        <w:ind w:firstLineChars="200" w:firstLine="482"/>
        <w:jc w:val="left"/>
        <w:rPr>
          <w:rFonts w:asciiTheme="majorEastAsia" w:eastAsiaTheme="majorEastAsia" w:hAnsiTheme="majorEastAsia" w:cs="黑体" w:hint="eastAsia"/>
          <w:b/>
          <w:bCs/>
          <w:sz w:val="24"/>
        </w:rPr>
      </w:pPr>
      <w:r w:rsidRPr="000E2844">
        <w:rPr>
          <w:rFonts w:asciiTheme="majorEastAsia" w:eastAsiaTheme="majorEastAsia" w:hAnsiTheme="majorEastAsia" w:cs="黑体" w:hint="eastAsia"/>
          <w:b/>
          <w:bCs/>
          <w:sz w:val="24"/>
        </w:rPr>
        <w:t>工作目标</w:t>
      </w:r>
    </w:p>
    <w:p w:rsidR="000E2844" w:rsidRPr="000E2844" w:rsidRDefault="000E2844" w:rsidP="000E2844">
      <w:pPr>
        <w:pStyle w:val="a3"/>
        <w:numPr>
          <w:ilvl w:val="0"/>
          <w:numId w:val="1"/>
        </w:numPr>
        <w:tabs>
          <w:tab w:val="left" w:pos="312"/>
        </w:tabs>
        <w:spacing w:line="440" w:lineRule="exact"/>
        <w:ind w:firstLine="480"/>
        <w:jc w:val="left"/>
        <w:rPr>
          <w:rFonts w:asciiTheme="majorEastAsia" w:eastAsiaTheme="majorEastAsia" w:hAnsiTheme="majorEastAsia" w:cs="宋体" w:hint="eastAsia"/>
          <w:sz w:val="24"/>
        </w:rPr>
      </w:pPr>
      <w:r w:rsidRPr="000E2844">
        <w:rPr>
          <w:rFonts w:asciiTheme="majorEastAsia" w:eastAsiaTheme="majorEastAsia" w:hAnsiTheme="majorEastAsia" w:cs="宋体" w:hint="eastAsia"/>
          <w:sz w:val="24"/>
        </w:rPr>
        <w:t>剖析学科组阶段发展短板，确立日常提升新目标</w:t>
      </w:r>
      <w:r w:rsidR="00ED5FF9">
        <w:rPr>
          <w:rFonts w:asciiTheme="majorEastAsia" w:eastAsiaTheme="majorEastAsia" w:hAnsiTheme="majorEastAsia" w:cs="宋体" w:hint="eastAsia"/>
          <w:sz w:val="24"/>
        </w:rPr>
        <w:t>。</w:t>
      </w:r>
    </w:p>
    <w:p w:rsidR="00ED5FF9" w:rsidRDefault="000E2844" w:rsidP="00ED5FF9">
      <w:pPr>
        <w:pStyle w:val="a3"/>
        <w:numPr>
          <w:ilvl w:val="0"/>
          <w:numId w:val="1"/>
        </w:numPr>
        <w:tabs>
          <w:tab w:val="left" w:pos="312"/>
        </w:tabs>
        <w:spacing w:line="440" w:lineRule="exact"/>
        <w:ind w:firstLine="480"/>
        <w:jc w:val="left"/>
        <w:rPr>
          <w:rFonts w:asciiTheme="majorEastAsia" w:eastAsiaTheme="majorEastAsia" w:hAnsiTheme="majorEastAsia" w:cs="宋体" w:hint="eastAsia"/>
          <w:sz w:val="24"/>
        </w:rPr>
      </w:pPr>
      <w:r w:rsidRPr="000E2844">
        <w:rPr>
          <w:rFonts w:asciiTheme="majorEastAsia" w:eastAsiaTheme="majorEastAsia" w:hAnsiTheme="majorEastAsia" w:cs="宋体" w:hint="eastAsia"/>
          <w:sz w:val="24"/>
        </w:rPr>
        <w:t>构建</w:t>
      </w:r>
      <w:r w:rsidR="00ED5FF9">
        <w:rPr>
          <w:rFonts w:asciiTheme="majorEastAsia" w:eastAsiaTheme="majorEastAsia" w:hAnsiTheme="majorEastAsia" w:cs="宋体" w:hint="eastAsia"/>
          <w:sz w:val="24"/>
        </w:rPr>
        <w:t>各</w:t>
      </w:r>
      <w:r w:rsidRPr="000E2844">
        <w:rPr>
          <w:rFonts w:asciiTheme="majorEastAsia" w:eastAsiaTheme="majorEastAsia" w:hAnsiTheme="majorEastAsia" w:cs="宋体" w:hint="eastAsia"/>
          <w:sz w:val="24"/>
        </w:rPr>
        <w:t>学科特色教研文化，提升校本研训高品质</w:t>
      </w:r>
      <w:r w:rsidR="00ED5FF9">
        <w:rPr>
          <w:rFonts w:asciiTheme="majorEastAsia" w:eastAsiaTheme="majorEastAsia" w:hAnsiTheme="majorEastAsia" w:cs="宋体" w:hint="eastAsia"/>
          <w:sz w:val="24"/>
        </w:rPr>
        <w:t>。</w:t>
      </w:r>
    </w:p>
    <w:p w:rsidR="00ED5FF9" w:rsidRPr="000E2844" w:rsidRDefault="00ED5FF9" w:rsidP="00ED5FF9">
      <w:pPr>
        <w:pStyle w:val="a3"/>
        <w:numPr>
          <w:ilvl w:val="0"/>
          <w:numId w:val="1"/>
        </w:numPr>
        <w:tabs>
          <w:tab w:val="left" w:pos="312"/>
        </w:tabs>
        <w:spacing w:line="440" w:lineRule="exact"/>
        <w:ind w:firstLine="480"/>
        <w:jc w:val="left"/>
        <w:rPr>
          <w:rFonts w:asciiTheme="majorEastAsia" w:eastAsiaTheme="majorEastAsia" w:hAnsiTheme="majorEastAsia" w:cs="宋体" w:hint="eastAsia"/>
          <w:sz w:val="24"/>
        </w:rPr>
      </w:pPr>
      <w:r w:rsidRPr="000E2844">
        <w:rPr>
          <w:rFonts w:asciiTheme="majorEastAsia" w:eastAsiaTheme="majorEastAsia" w:hAnsiTheme="majorEastAsia" w:cs="宋体" w:hint="eastAsia"/>
          <w:sz w:val="24"/>
        </w:rPr>
        <w:t>打造</w:t>
      </w:r>
      <w:r>
        <w:rPr>
          <w:rFonts w:asciiTheme="majorEastAsia" w:eastAsiaTheme="majorEastAsia" w:hAnsiTheme="majorEastAsia" w:cs="宋体" w:hint="eastAsia"/>
          <w:sz w:val="24"/>
        </w:rPr>
        <w:t>课程建设</w:t>
      </w:r>
      <w:r w:rsidRPr="000E2844">
        <w:rPr>
          <w:rFonts w:asciiTheme="majorEastAsia" w:eastAsiaTheme="majorEastAsia" w:hAnsiTheme="majorEastAsia" w:cs="宋体" w:hint="eastAsia"/>
          <w:sz w:val="24"/>
        </w:rPr>
        <w:t>项目微团队，搭建</w:t>
      </w:r>
      <w:r>
        <w:rPr>
          <w:rFonts w:asciiTheme="majorEastAsia" w:eastAsiaTheme="majorEastAsia" w:hAnsiTheme="majorEastAsia" w:cs="宋体" w:hint="eastAsia"/>
          <w:sz w:val="24"/>
        </w:rPr>
        <w:t>育人</w:t>
      </w:r>
      <w:r w:rsidRPr="000E2844">
        <w:rPr>
          <w:rFonts w:asciiTheme="majorEastAsia" w:eastAsiaTheme="majorEastAsia" w:hAnsiTheme="majorEastAsia" w:cs="宋体" w:hint="eastAsia"/>
          <w:sz w:val="24"/>
        </w:rPr>
        <w:t>平台共发展</w:t>
      </w:r>
      <w:r>
        <w:rPr>
          <w:rFonts w:asciiTheme="majorEastAsia" w:eastAsiaTheme="majorEastAsia" w:hAnsiTheme="majorEastAsia" w:cs="宋体" w:hint="eastAsia"/>
          <w:sz w:val="24"/>
        </w:rPr>
        <w:t>。</w:t>
      </w:r>
    </w:p>
    <w:p w:rsidR="000E2844" w:rsidRPr="000E2844" w:rsidRDefault="000E2844" w:rsidP="005C1A39">
      <w:pPr>
        <w:pStyle w:val="a3"/>
        <w:spacing w:line="440" w:lineRule="exact"/>
        <w:ind w:left="480" w:firstLineChars="0" w:firstLine="0"/>
        <w:jc w:val="left"/>
        <w:rPr>
          <w:rFonts w:asciiTheme="majorEastAsia" w:eastAsiaTheme="majorEastAsia" w:hAnsiTheme="majorEastAsia" w:hint="eastAsia"/>
          <w:sz w:val="24"/>
        </w:rPr>
      </w:pPr>
    </w:p>
    <w:p w:rsidR="000E2844" w:rsidRPr="000E2844" w:rsidRDefault="000E2844" w:rsidP="000E2844">
      <w:pPr>
        <w:pStyle w:val="a3"/>
        <w:spacing w:line="440" w:lineRule="exact"/>
        <w:ind w:left="480" w:firstLineChars="0" w:firstLine="0"/>
        <w:jc w:val="left"/>
        <w:rPr>
          <w:rFonts w:asciiTheme="majorEastAsia" w:eastAsiaTheme="majorEastAsia" w:hAnsiTheme="majorEastAsia" w:hint="eastAsia"/>
          <w:b/>
          <w:sz w:val="24"/>
        </w:rPr>
      </w:pPr>
      <w:r w:rsidRPr="000E2844">
        <w:rPr>
          <w:rFonts w:asciiTheme="majorEastAsia" w:eastAsiaTheme="majorEastAsia" w:hAnsiTheme="majorEastAsia" w:cs="宋体" w:hint="eastAsia"/>
          <w:b/>
          <w:sz w:val="24"/>
        </w:rPr>
        <w:t>主要工作</w:t>
      </w:r>
    </w:p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一、多维落实，让学科常规成为教师职业习惯。</w:t>
      </w:r>
    </w:p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1.</w:t>
      </w:r>
      <w:r w:rsidR="00D57E48">
        <w:rPr>
          <w:rFonts w:ascii="宋体" w:hAnsi="宋体" w:hint="eastAsia"/>
          <w:b/>
          <w:bCs/>
          <w:sz w:val="24"/>
        </w:rPr>
        <w:t>实施</w:t>
      </w:r>
      <w:r>
        <w:rPr>
          <w:rFonts w:ascii="宋体" w:hAnsi="宋体" w:hint="eastAsia"/>
          <w:b/>
          <w:bCs/>
          <w:sz w:val="24"/>
        </w:rPr>
        <w:t>分层</w:t>
      </w:r>
      <w:r>
        <w:rPr>
          <w:rFonts w:ascii="宋体" w:hAnsi="宋体"/>
          <w:b/>
          <w:bCs/>
          <w:sz w:val="24"/>
        </w:rPr>
        <w:t>备课。</w:t>
      </w:r>
      <w:r>
        <w:rPr>
          <w:rFonts w:ascii="宋体" w:hAnsi="宋体"/>
          <w:sz w:val="24"/>
        </w:rPr>
        <w:t>体现备课格式的规范化，渠道的多元化，方法的个性化，风格的特色化。备课时，教师要把握年级的特点和目标，都要认真钻研教材，搞清教材的重点和难点，研究教材的前后联系，结合学校及本班学生的特点，创造性地备课，重视预设和生成的关系，没有充分的预设，就不可能有精彩的生成。</w:t>
      </w:r>
      <w:r>
        <w:rPr>
          <w:rFonts w:ascii="宋体" w:hAnsi="宋体" w:hint="eastAsia"/>
          <w:sz w:val="24"/>
        </w:rPr>
        <w:t>（至少提前2课时）</w:t>
      </w:r>
    </w:p>
    <w:tbl>
      <w:tblPr>
        <w:tblpPr w:leftFromText="180" w:rightFromText="180" w:vertAnchor="text" w:horzAnchor="page" w:tblpX="1797" w:tblpY="4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9"/>
        <w:gridCol w:w="2109"/>
        <w:gridCol w:w="2109"/>
        <w:gridCol w:w="2382"/>
      </w:tblGrid>
      <w:tr w:rsidR="00437409" w:rsidTr="00C41F73">
        <w:trPr>
          <w:trHeight w:val="406"/>
        </w:trPr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43740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1-3年新教师</w:t>
            </w:r>
          </w:p>
        </w:tc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35周岁以内教师</w:t>
            </w:r>
          </w:p>
        </w:tc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35-45周岁教师</w:t>
            </w:r>
          </w:p>
        </w:tc>
        <w:tc>
          <w:tcPr>
            <w:tcW w:w="238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45周岁以上教师</w:t>
            </w:r>
          </w:p>
        </w:tc>
      </w:tr>
      <w:tr w:rsidR="00437409" w:rsidTr="00C41F73">
        <w:trPr>
          <w:trHeight w:val="498"/>
        </w:trPr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手写教案</w:t>
            </w:r>
          </w:p>
        </w:tc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独立备详案</w:t>
            </w:r>
          </w:p>
        </w:tc>
        <w:tc>
          <w:tcPr>
            <w:tcW w:w="21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独立备课</w:t>
            </w:r>
          </w:p>
        </w:tc>
        <w:tc>
          <w:tcPr>
            <w:tcW w:w="238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二次重建已有教案</w:t>
            </w:r>
          </w:p>
        </w:tc>
      </w:tr>
    </w:tbl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 w:rsidR="00833D7F">
        <w:rPr>
          <w:rFonts w:ascii="宋体" w:hAnsi="宋体" w:hint="eastAsia"/>
          <w:b/>
          <w:bCs/>
          <w:sz w:val="24"/>
        </w:rPr>
        <w:t>推进</w:t>
      </w:r>
      <w:r w:rsidR="00F67AB8">
        <w:rPr>
          <w:rFonts w:ascii="宋体" w:hAnsi="宋体" w:hint="eastAsia"/>
          <w:b/>
          <w:bCs/>
          <w:sz w:val="24"/>
        </w:rPr>
        <w:t>三课联动</w:t>
      </w:r>
      <w:r>
        <w:rPr>
          <w:rFonts w:ascii="宋体" w:hAnsi="宋体"/>
          <w:b/>
          <w:bCs/>
          <w:sz w:val="24"/>
        </w:rPr>
        <w:t>。</w:t>
      </w:r>
    </w:p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 w:rsidRPr="00437409">
        <w:rPr>
          <w:rFonts w:ascii="宋体" w:hAnsi="宋体" w:hint="eastAsia"/>
          <w:b/>
          <w:sz w:val="24"/>
        </w:rPr>
        <w:t>（1）</w:t>
      </w:r>
      <w:r w:rsidRPr="00437409">
        <w:rPr>
          <w:rFonts w:ascii="宋体" w:hAnsi="宋体"/>
          <w:b/>
          <w:sz w:val="24"/>
        </w:rPr>
        <w:t>推门课。</w:t>
      </w:r>
      <w:r>
        <w:rPr>
          <w:rFonts w:ascii="宋体" w:hAnsi="宋体"/>
          <w:sz w:val="24"/>
        </w:rPr>
        <w:t>开学初，</w:t>
      </w:r>
      <w:r>
        <w:rPr>
          <w:rFonts w:ascii="宋体" w:hAnsi="宋体" w:hint="eastAsia"/>
          <w:sz w:val="24"/>
        </w:rPr>
        <w:t>校长室、教师发展处</w:t>
      </w:r>
      <w:r>
        <w:rPr>
          <w:rFonts w:ascii="宋体" w:hAnsi="宋体"/>
          <w:sz w:val="24"/>
        </w:rPr>
        <w:t>将随机进入课堂听课，了解教师在常态情况下的教学准备、教学水平和班级管理等情况，对教师的教学情况进行有效地监督和帮助。</w:t>
      </w:r>
    </w:p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 w:rsidRPr="00437409">
        <w:rPr>
          <w:rFonts w:ascii="宋体" w:hAnsi="宋体" w:hint="eastAsia"/>
          <w:b/>
          <w:sz w:val="24"/>
        </w:rPr>
        <w:t>（2）</w:t>
      </w:r>
      <w:r w:rsidRPr="00437409">
        <w:rPr>
          <w:rFonts w:ascii="宋体" w:hAnsi="宋体"/>
          <w:b/>
          <w:sz w:val="24"/>
        </w:rPr>
        <w:t>跟踪课。</w:t>
      </w:r>
      <w:r>
        <w:rPr>
          <w:rFonts w:ascii="宋体" w:hAnsi="宋体"/>
          <w:sz w:val="24"/>
        </w:rPr>
        <w:t>为了更好地培养青年教师，帮助其“一年过关，三年上路，五年成才”，将对工作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年内的青年教师实施跟踪听课。发现青年教师的教学特</w:t>
      </w:r>
      <w:r>
        <w:rPr>
          <w:rFonts w:ascii="宋体" w:hAnsi="宋体"/>
          <w:sz w:val="24"/>
        </w:rPr>
        <w:lastRenderedPageBreak/>
        <w:t>点、潜质，同时提出问题，调整教学。</w:t>
      </w:r>
    </w:p>
    <w:p w:rsidR="00437409" w:rsidRDefault="00437409" w:rsidP="00437409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437409">
        <w:rPr>
          <w:rFonts w:ascii="宋体" w:hAnsi="宋体" w:hint="eastAsia"/>
          <w:b/>
          <w:sz w:val="24"/>
        </w:rPr>
        <w:t>（3）</w:t>
      </w:r>
      <w:r w:rsidRPr="00437409">
        <w:rPr>
          <w:rFonts w:ascii="宋体" w:hAnsi="宋体"/>
          <w:b/>
          <w:sz w:val="24"/>
        </w:rPr>
        <w:t>研究课。</w:t>
      </w:r>
      <w:r>
        <w:rPr>
          <w:rFonts w:ascii="宋体" w:hAnsi="宋体" w:hint="eastAsia"/>
          <w:sz w:val="24"/>
        </w:rPr>
        <w:t>新</w:t>
      </w:r>
      <w:r>
        <w:rPr>
          <w:rFonts w:ascii="宋体" w:hAnsi="宋体"/>
          <w:sz w:val="24"/>
        </w:rPr>
        <w:t>学期，进一步加大</w:t>
      </w:r>
      <w:r>
        <w:rPr>
          <w:rFonts w:ascii="宋体" w:hAnsi="宋体" w:hint="eastAsia"/>
          <w:sz w:val="24"/>
        </w:rPr>
        <w:t>各学科</w:t>
      </w:r>
      <w:r>
        <w:rPr>
          <w:rFonts w:ascii="宋体" w:hAnsi="宋体"/>
          <w:sz w:val="24"/>
        </w:rPr>
        <w:t>组的教研力度，使教研氛围更浓郁，各教研组</w:t>
      </w:r>
      <w:r>
        <w:rPr>
          <w:rFonts w:ascii="宋体" w:hAnsi="宋体" w:hint="eastAsia"/>
          <w:sz w:val="24"/>
        </w:rPr>
        <w:t>推荐两节课</w:t>
      </w:r>
      <w:r>
        <w:rPr>
          <w:rFonts w:ascii="宋体" w:hAnsi="宋体"/>
          <w:sz w:val="24"/>
        </w:rPr>
        <w:t>，参加</w:t>
      </w:r>
      <w:r>
        <w:rPr>
          <w:rFonts w:ascii="宋体" w:hAnsi="宋体" w:hint="eastAsia"/>
          <w:sz w:val="24"/>
        </w:rPr>
        <w:t>学科大组</w:t>
      </w:r>
      <w:r>
        <w:rPr>
          <w:rFonts w:ascii="宋体" w:hAnsi="宋体"/>
          <w:sz w:val="24"/>
        </w:rPr>
        <w:t>展示。组内将有计划地上好研究课，体现研究课的研究性、合作性，使年级组内的老教师、青年教师共同提高。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127"/>
        <w:gridCol w:w="2551"/>
        <w:gridCol w:w="2552"/>
      </w:tblGrid>
      <w:tr w:rsidR="00437409" w:rsidTr="000A20A6">
        <w:tc>
          <w:tcPr>
            <w:tcW w:w="124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833D7F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学科组开放形式</w:t>
            </w:r>
          </w:p>
        </w:tc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833D7F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各年级推荐2节课</w:t>
            </w:r>
          </w:p>
        </w:tc>
        <w:tc>
          <w:tcPr>
            <w:tcW w:w="25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833D7F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课题组汇报课（6节）</w:t>
            </w:r>
          </w:p>
        </w:tc>
        <w:tc>
          <w:tcPr>
            <w:tcW w:w="255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833D7F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青年教师优秀课例展示（2节）</w:t>
            </w:r>
          </w:p>
        </w:tc>
      </w:tr>
      <w:tr w:rsidR="00437409" w:rsidTr="000A20A6">
        <w:tc>
          <w:tcPr>
            <w:tcW w:w="124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执教</w:t>
            </w:r>
          </w:p>
        </w:tc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0A20A6">
        <w:tc>
          <w:tcPr>
            <w:tcW w:w="124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九月份（示范月）</w:t>
            </w:r>
          </w:p>
        </w:tc>
        <w:tc>
          <w:tcPr>
            <w:tcW w:w="25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833D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十、十一月份（研究月）</w:t>
            </w:r>
          </w:p>
        </w:tc>
        <w:tc>
          <w:tcPr>
            <w:tcW w:w="255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十二</w:t>
            </w:r>
            <w:r w:rsidR="00833D7F">
              <w:rPr>
                <w:rFonts w:ascii="宋体" w:hAnsi="宋体" w:hint="eastAsia"/>
                <w:sz w:val="24"/>
              </w:rPr>
              <w:t>、一</w:t>
            </w:r>
            <w:r>
              <w:rPr>
                <w:rFonts w:ascii="宋体" w:hAnsi="宋体" w:hint="eastAsia"/>
                <w:sz w:val="24"/>
              </w:rPr>
              <w:t>月份（汇报月）</w:t>
            </w:r>
          </w:p>
        </w:tc>
      </w:tr>
    </w:tbl>
    <w:p w:rsidR="00437409" w:rsidRDefault="00D57E48" w:rsidP="000A20A6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3</w:t>
      </w:r>
      <w:r w:rsidR="00833D7F">
        <w:rPr>
          <w:rFonts w:ascii="宋体" w:hAnsi="宋体" w:hint="eastAsia"/>
          <w:b/>
          <w:bCs/>
          <w:sz w:val="24"/>
        </w:rPr>
        <w:t>.精心设计练习</w:t>
      </w:r>
      <w:r w:rsidR="00437409">
        <w:rPr>
          <w:rFonts w:ascii="宋体" w:hAnsi="宋体"/>
          <w:b/>
          <w:bCs/>
          <w:sz w:val="24"/>
        </w:rPr>
        <w:t>。</w:t>
      </w:r>
      <w:r w:rsidR="00437409">
        <w:rPr>
          <w:rFonts w:ascii="宋体" w:hAnsi="宋体"/>
          <w:sz w:val="24"/>
        </w:rPr>
        <w:t>倡导人文化作业、互动式作业、自主性作业、弹性作业、实践性作业、过程性作业，体现作业的创新性和对学生能力的发展性。</w:t>
      </w:r>
      <w:r w:rsidR="00833D7F">
        <w:rPr>
          <w:rFonts w:ascii="宋体" w:hAnsi="宋体" w:hint="eastAsia"/>
          <w:sz w:val="24"/>
        </w:rPr>
        <w:t>新</w:t>
      </w:r>
      <w:r w:rsidR="00437409">
        <w:rPr>
          <w:rFonts w:ascii="宋体" w:hAnsi="宋体"/>
          <w:sz w:val="24"/>
        </w:rPr>
        <w:t>学期，贯彻课堂作业的新思路：即每次作业都应该做到“双基加扩展，知识加能力，课内加课外”。要求</w:t>
      </w:r>
      <w:r w:rsidR="00437409">
        <w:rPr>
          <w:rFonts w:ascii="宋体" w:hAnsi="宋体" w:hint="eastAsia"/>
          <w:sz w:val="24"/>
        </w:rPr>
        <w:t>各</w:t>
      </w:r>
      <w:r w:rsidR="00833D7F">
        <w:rPr>
          <w:rFonts w:ascii="宋体" w:hAnsi="宋体" w:hint="eastAsia"/>
          <w:sz w:val="24"/>
        </w:rPr>
        <w:t>教研</w:t>
      </w:r>
      <w:r w:rsidR="00437409">
        <w:rPr>
          <w:rFonts w:ascii="宋体" w:hAnsi="宋体"/>
          <w:sz w:val="24"/>
        </w:rPr>
        <w:t>组能展开研究，反对机械重复，努力减轻学生过重的课业负担。在作业批改上，要及时认真，鼓励教师进行等第加评语</w:t>
      </w:r>
      <w:r w:rsidR="00437409">
        <w:rPr>
          <w:rFonts w:ascii="宋体" w:hAnsi="宋体" w:hint="eastAsia"/>
          <w:sz w:val="24"/>
        </w:rPr>
        <w:t>等</w:t>
      </w:r>
      <w:r w:rsidR="00437409">
        <w:rPr>
          <w:rFonts w:ascii="宋体" w:hAnsi="宋体"/>
          <w:sz w:val="24"/>
        </w:rPr>
        <w:t>批改方式，调动学生作业的积极性，教师要认真分析学生在作业中出现的问题，及时改进教学。</w:t>
      </w:r>
      <w:r w:rsidR="00BB4626">
        <w:rPr>
          <w:rFonts w:ascii="宋体" w:hAnsi="宋体" w:hint="eastAsia"/>
          <w:sz w:val="24"/>
        </w:rPr>
        <w:t>各学科组提前规划好一学期作业批改的检查安排，可以是整班查，也可以是抽样查，检查形式采用随机加集中相结合的形式。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126"/>
        <w:gridCol w:w="3827"/>
        <w:gridCol w:w="993"/>
      </w:tblGrid>
      <w:tr w:rsidR="00437409" w:rsidTr="00833D7F">
        <w:trPr>
          <w:trHeight w:val="461"/>
        </w:trPr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检查时间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检查内容</w:t>
            </w:r>
          </w:p>
        </w:tc>
        <w:tc>
          <w:tcPr>
            <w:tcW w:w="38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检查形式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437409" w:rsidTr="00833D7F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九月份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437409" w:rsidTr="00833D7F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整个学期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A20A6" w:rsidRDefault="00D57E48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</w:t>
      </w:r>
      <w:r w:rsidR="00437409">
        <w:rPr>
          <w:rFonts w:ascii="宋体" w:hAnsi="宋体" w:hint="eastAsia"/>
          <w:b/>
          <w:bCs/>
          <w:sz w:val="24"/>
        </w:rPr>
        <w:t>.规范</w:t>
      </w:r>
      <w:r w:rsidR="00437409">
        <w:rPr>
          <w:rFonts w:ascii="宋体" w:hAnsi="宋体"/>
          <w:b/>
          <w:bCs/>
          <w:sz w:val="24"/>
        </w:rPr>
        <w:t>质量监控。</w:t>
      </w:r>
    </w:p>
    <w:p w:rsidR="00437409" w:rsidRDefault="00437409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 w:rsidRPr="00833D7F">
        <w:rPr>
          <w:rFonts w:ascii="宋体" w:hAnsi="宋体" w:hint="eastAsia"/>
          <w:b/>
          <w:sz w:val="24"/>
        </w:rPr>
        <w:t>（1）</w:t>
      </w:r>
      <w:r w:rsidR="00833D7F" w:rsidRPr="00833D7F">
        <w:rPr>
          <w:rFonts w:ascii="宋体" w:hAnsi="宋体" w:hint="eastAsia"/>
          <w:b/>
          <w:sz w:val="24"/>
        </w:rPr>
        <w:t>合力开展命题研究：</w:t>
      </w:r>
      <w:r w:rsidR="00833D7F">
        <w:rPr>
          <w:rFonts w:ascii="宋体" w:hAnsi="宋体" w:hint="eastAsia"/>
          <w:sz w:val="24"/>
        </w:rPr>
        <w:t>各学科进一步完善</w:t>
      </w:r>
      <w:r>
        <w:rPr>
          <w:rFonts w:ascii="宋体" w:hAnsi="宋体" w:hint="eastAsia"/>
          <w:sz w:val="24"/>
        </w:rPr>
        <w:t>命题组（如下表）</w:t>
      </w:r>
      <w:r w:rsidR="00833D7F">
        <w:rPr>
          <w:rFonts w:ascii="宋体" w:hAnsi="宋体" w:hint="eastAsia"/>
          <w:sz w:val="24"/>
        </w:rPr>
        <w:t>，定时间、定人员、定职责</w:t>
      </w:r>
      <w:r>
        <w:rPr>
          <w:rFonts w:ascii="宋体" w:hAnsi="宋体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1751"/>
        <w:gridCol w:w="1701"/>
        <w:gridCol w:w="2102"/>
        <w:gridCol w:w="2009"/>
      </w:tblGrid>
      <w:tr w:rsidR="00437409" w:rsidTr="00833D7F">
        <w:trPr>
          <w:trHeight w:val="273"/>
        </w:trPr>
        <w:tc>
          <w:tcPr>
            <w:tcW w:w="909" w:type="dxa"/>
            <w:vMerge w:val="restart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3452" w:type="dxa"/>
            <w:gridSpan w:val="2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阶段性作业</w:t>
            </w:r>
          </w:p>
        </w:tc>
        <w:tc>
          <w:tcPr>
            <w:tcW w:w="4111" w:type="dxa"/>
            <w:gridSpan w:val="2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期末测试</w:t>
            </w:r>
          </w:p>
        </w:tc>
      </w:tr>
      <w:tr w:rsidR="00437409" w:rsidTr="00833D7F">
        <w:trPr>
          <w:trHeight w:val="203"/>
        </w:trPr>
        <w:tc>
          <w:tcPr>
            <w:tcW w:w="909" w:type="dxa"/>
            <w:vMerge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1" w:type="dxa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命题</w:t>
            </w:r>
          </w:p>
        </w:tc>
        <w:tc>
          <w:tcPr>
            <w:tcW w:w="1701" w:type="dxa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2102" w:type="dxa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命题</w:t>
            </w:r>
          </w:p>
        </w:tc>
        <w:tc>
          <w:tcPr>
            <w:tcW w:w="2009" w:type="dxa"/>
            <w:shd w:val="clear" w:color="auto" w:fill="E5B8B7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7409" w:rsidTr="00833D7F">
        <w:tc>
          <w:tcPr>
            <w:tcW w:w="9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六</w:t>
            </w:r>
          </w:p>
        </w:tc>
        <w:tc>
          <w:tcPr>
            <w:tcW w:w="175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9" w:type="dxa"/>
            <w:vAlign w:val="center"/>
          </w:tcPr>
          <w:p w:rsidR="00437409" w:rsidRDefault="00437409" w:rsidP="00B636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2041"/>
        <w:gridCol w:w="1863"/>
        <w:gridCol w:w="1863"/>
        <w:gridCol w:w="1882"/>
      </w:tblGrid>
      <w:tr w:rsidR="00C41F73" w:rsidRPr="00447D7F" w:rsidTr="00C41F73">
        <w:tc>
          <w:tcPr>
            <w:tcW w:w="873" w:type="dxa"/>
            <w:vMerge w:val="restart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 w:rsidRPr="00447D7F">
              <w:rPr>
                <w:rFonts w:ascii="宋体" w:hAnsi="宋体" w:hint="eastAsia"/>
                <w:b/>
                <w:sz w:val="24"/>
              </w:rPr>
              <w:t>年段</w:t>
            </w:r>
          </w:p>
        </w:tc>
        <w:tc>
          <w:tcPr>
            <w:tcW w:w="7649" w:type="dxa"/>
            <w:gridSpan w:val="4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学科</w:t>
            </w:r>
            <w:r w:rsidRPr="00447D7F">
              <w:rPr>
                <w:rFonts w:ascii="宋体" w:hAnsi="宋体" w:hint="eastAsia"/>
                <w:b/>
                <w:sz w:val="24"/>
              </w:rPr>
              <w:t>专项能力考核内容及考核形式</w:t>
            </w:r>
          </w:p>
        </w:tc>
      </w:tr>
      <w:tr w:rsidR="00C41F73" w:rsidRPr="00447D7F" w:rsidTr="00C41F73">
        <w:tc>
          <w:tcPr>
            <w:tcW w:w="873" w:type="dxa"/>
            <w:vMerge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 w:rsidRPr="00447D7F">
              <w:rPr>
                <w:rFonts w:ascii="宋体" w:hAnsi="宋体" w:hint="eastAsia"/>
                <w:b/>
                <w:sz w:val="24"/>
              </w:rPr>
              <w:t>月份</w:t>
            </w: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  <w:r w:rsidRPr="00447D7F">
              <w:rPr>
                <w:rFonts w:ascii="宋体" w:hAnsi="宋体" w:hint="eastAsia"/>
                <w:b/>
                <w:sz w:val="24"/>
              </w:rPr>
              <w:t>月份</w:t>
            </w: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  <w:r w:rsidRPr="00447D7F">
              <w:rPr>
                <w:rFonts w:ascii="宋体" w:hAnsi="宋体" w:hint="eastAsia"/>
                <w:b/>
                <w:sz w:val="24"/>
              </w:rPr>
              <w:t>月份</w:t>
            </w: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200" w:firstLine="48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  <w:r w:rsidRPr="00447D7F">
              <w:rPr>
                <w:rFonts w:ascii="宋体" w:hAnsi="宋体" w:hint="eastAsia"/>
                <w:b/>
                <w:sz w:val="24"/>
              </w:rPr>
              <w:t>月份</w:t>
            </w:r>
          </w:p>
        </w:tc>
      </w:tr>
      <w:tr w:rsidR="00C41F73" w:rsidRPr="00447D7F" w:rsidTr="00C41F73">
        <w:tc>
          <w:tcPr>
            <w:tcW w:w="87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C41F73" w:rsidRPr="00447D7F" w:rsidTr="00C41F73">
        <w:tc>
          <w:tcPr>
            <w:tcW w:w="87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C41F73" w:rsidRPr="00447D7F" w:rsidTr="00C41F73">
        <w:tc>
          <w:tcPr>
            <w:tcW w:w="87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C41F73" w:rsidRPr="00447D7F" w:rsidTr="00C41F73">
        <w:trPr>
          <w:trHeight w:val="363"/>
        </w:trPr>
        <w:tc>
          <w:tcPr>
            <w:tcW w:w="87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C41F73" w:rsidRPr="00447D7F" w:rsidTr="00C41F73">
        <w:trPr>
          <w:trHeight w:val="363"/>
        </w:trPr>
        <w:tc>
          <w:tcPr>
            <w:tcW w:w="87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C41F73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C41F73" w:rsidRPr="00447D7F" w:rsidTr="00C41F73">
        <w:trPr>
          <w:trHeight w:val="363"/>
        </w:trPr>
        <w:tc>
          <w:tcPr>
            <w:tcW w:w="873" w:type="dxa"/>
            <w:vAlign w:val="center"/>
          </w:tcPr>
          <w:p w:rsidR="00C41F73" w:rsidRPr="00447D7F" w:rsidRDefault="00C41F73" w:rsidP="000A20A6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2041" w:type="dxa"/>
            <w:vAlign w:val="center"/>
          </w:tcPr>
          <w:p w:rsidR="00C41F73" w:rsidRPr="00447D7F" w:rsidRDefault="00C41F73" w:rsidP="000A20A6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0A20A6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C41F73" w:rsidRPr="00447D7F" w:rsidRDefault="00C41F73" w:rsidP="000A20A6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C41F73" w:rsidRPr="00447D7F" w:rsidRDefault="00C41F73" w:rsidP="000A20A6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</w:tr>
    </w:tbl>
    <w:p w:rsidR="00C41F73" w:rsidRDefault="00437409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 w:rsidRPr="00833D7F">
        <w:rPr>
          <w:rFonts w:ascii="宋体" w:hAnsi="宋体" w:hint="eastAsia"/>
          <w:b/>
          <w:sz w:val="24"/>
        </w:rPr>
        <w:t>（2）规范撰写质量分析：</w:t>
      </w:r>
      <w:r>
        <w:rPr>
          <w:rFonts w:ascii="宋体" w:hAnsi="宋体" w:hint="eastAsia"/>
          <w:sz w:val="24"/>
        </w:rPr>
        <w:t>各</w:t>
      </w:r>
      <w:r>
        <w:rPr>
          <w:rFonts w:ascii="宋体" w:hAnsi="宋体"/>
          <w:sz w:val="24"/>
        </w:rPr>
        <w:t>教师要对期末试卷进行认真分析，针对问题</w:t>
      </w:r>
      <w:r>
        <w:rPr>
          <w:rFonts w:ascii="宋体" w:hAnsi="宋体" w:hint="eastAsia"/>
          <w:sz w:val="24"/>
        </w:rPr>
        <w:t>寻原因找策略，完成本班的高质量期末质量分析，要求从逐题分析到整体分析；从</w:t>
      </w:r>
      <w:r w:rsidR="00833D7F">
        <w:rPr>
          <w:rFonts w:ascii="宋体" w:hAnsi="宋体" w:hint="eastAsia"/>
          <w:sz w:val="24"/>
        </w:rPr>
        <w:t>定量的</w:t>
      </w:r>
      <w:r>
        <w:rPr>
          <w:rFonts w:ascii="宋体" w:hAnsi="宋体" w:hint="eastAsia"/>
          <w:sz w:val="24"/>
        </w:rPr>
        <w:t>数</w:t>
      </w:r>
      <w:r w:rsidR="00833D7F">
        <w:rPr>
          <w:rFonts w:ascii="宋体" w:hAnsi="宋体" w:hint="eastAsia"/>
          <w:sz w:val="24"/>
        </w:rPr>
        <w:t>据</w:t>
      </w:r>
      <w:r>
        <w:rPr>
          <w:rFonts w:ascii="宋体" w:hAnsi="宋体" w:hint="eastAsia"/>
          <w:sz w:val="24"/>
        </w:rPr>
        <w:t>分析到</w:t>
      </w:r>
      <w:r w:rsidR="00833D7F">
        <w:rPr>
          <w:rFonts w:ascii="宋体" w:hAnsi="宋体" w:hint="eastAsia"/>
          <w:sz w:val="24"/>
        </w:rPr>
        <w:t>定性的典型</w:t>
      </w:r>
      <w:r>
        <w:rPr>
          <w:rFonts w:ascii="宋体" w:hAnsi="宋体" w:hint="eastAsia"/>
          <w:sz w:val="24"/>
        </w:rPr>
        <w:t>分析；从归因分析到对策分析进行三个过程思考</w:t>
      </w:r>
      <w:r>
        <w:rPr>
          <w:rFonts w:ascii="宋体" w:hAnsi="宋体"/>
          <w:sz w:val="24"/>
        </w:rPr>
        <w:t>。</w:t>
      </w:r>
    </w:p>
    <w:p w:rsidR="00C41F73" w:rsidRPr="00CF5F02" w:rsidRDefault="00D57E48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D57E48">
        <w:rPr>
          <w:rFonts w:ascii="宋体" w:hAnsi="宋体" w:hint="eastAsia"/>
          <w:b/>
          <w:sz w:val="24"/>
        </w:rPr>
        <w:t>5.落实帮扶转化：</w:t>
      </w:r>
      <w:r w:rsidR="00C41F73" w:rsidRPr="00C41F73">
        <w:rPr>
          <w:rFonts w:ascii="宋体" w:hAnsi="宋体" w:hint="eastAsia"/>
          <w:sz w:val="24"/>
        </w:rPr>
        <w:t>每位老师要建立学困生档案，</w:t>
      </w:r>
      <w:r w:rsidR="00C41F73" w:rsidRPr="009F0FD5">
        <w:rPr>
          <w:rFonts w:asciiTheme="majorEastAsia" w:eastAsiaTheme="majorEastAsia" w:hAnsiTheme="majorEastAsia" w:hint="eastAsia"/>
          <w:bCs/>
          <w:color w:val="000000" w:themeColor="text1"/>
          <w:sz w:val="24"/>
        </w:rPr>
        <w:t>面对具有特殊行为的学生，首先应该“知道和认识”，其次应该进行“了解和分类”，最后根据不同学生的特点进行帮扶与转化。</w:t>
      </w:r>
      <w:r w:rsidR="008717D5" w:rsidRPr="00CF5F02">
        <w:rPr>
          <w:rFonts w:asciiTheme="majorEastAsia" w:eastAsiaTheme="majorEastAsia" w:hAnsiTheme="majorEastAsia" w:hint="eastAsia"/>
          <w:color w:val="000000" w:themeColor="text1"/>
          <w:sz w:val="24"/>
        </w:rPr>
        <w:t>学科主任要</w:t>
      </w:r>
      <w:r w:rsidR="00CF5F02" w:rsidRPr="00CF5F02">
        <w:rPr>
          <w:rFonts w:asciiTheme="majorEastAsia" w:eastAsiaTheme="majorEastAsia" w:hAnsiTheme="majorEastAsia" w:hint="eastAsia"/>
          <w:color w:val="000000" w:themeColor="text1"/>
          <w:sz w:val="24"/>
        </w:rPr>
        <w:t>紧盯薄弱班级和薄弱教师，关注帮扶转化情况并实施动态调整。</w:t>
      </w:r>
    </w:p>
    <w:p w:rsidR="00D57E48" w:rsidRPr="00B04DD1" w:rsidRDefault="00D57E48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 w:rsidRPr="00B04DD1">
        <w:rPr>
          <w:rFonts w:ascii="宋体" w:hAnsi="宋体" w:hint="eastAsia"/>
          <w:b/>
          <w:bCs/>
          <w:sz w:val="24"/>
        </w:rPr>
        <w:t>二、多向突破，把有效教研策略提炼放大</w:t>
      </w:r>
    </w:p>
    <w:p w:rsidR="00D57E48" w:rsidRPr="00B04DD1" w:rsidRDefault="00D57E48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b/>
          <w:sz w:val="24"/>
        </w:rPr>
      </w:pPr>
      <w:r w:rsidRPr="00B04DD1">
        <w:rPr>
          <w:rFonts w:ascii="宋体" w:hAnsi="宋体" w:hint="eastAsia"/>
          <w:b/>
          <w:sz w:val="24"/>
        </w:rPr>
        <w:t>1.集智众筹</w:t>
      </w:r>
      <w:r w:rsidR="00B04DD1" w:rsidRPr="00B04DD1">
        <w:rPr>
          <w:rFonts w:ascii="宋体" w:hAnsi="宋体" w:hint="eastAsia"/>
          <w:b/>
          <w:sz w:val="24"/>
        </w:rPr>
        <w:t>：</w:t>
      </w:r>
      <w:r w:rsidR="00CF5F02" w:rsidRPr="00CF5F02">
        <w:rPr>
          <w:rFonts w:ascii="宋体" w:hAnsi="宋体" w:hint="eastAsia"/>
          <w:sz w:val="24"/>
        </w:rPr>
        <w:t>各学科组要建立研究核心小组，</w:t>
      </w:r>
      <w:r w:rsidR="00CF5F02" w:rsidRPr="00CF5F02">
        <w:rPr>
          <w:rFonts w:ascii="宋体" w:hAnsi="宋体" w:hint="eastAsia"/>
          <w:bCs/>
          <w:sz w:val="24"/>
        </w:rPr>
        <w:t>加强领导建“班子”。</w:t>
      </w:r>
      <w:r w:rsidR="00CF5F02">
        <w:rPr>
          <w:rFonts w:ascii="宋体" w:hAnsi="宋体" w:hint="eastAsia"/>
          <w:b/>
          <w:sz w:val="24"/>
        </w:rPr>
        <w:t>一是梳理：</w:t>
      </w:r>
      <w:r w:rsidR="00CF5F02" w:rsidRPr="00CF5F02">
        <w:rPr>
          <w:rFonts w:ascii="宋体" w:hAnsi="宋体" w:hint="eastAsia"/>
          <w:sz w:val="24"/>
        </w:rPr>
        <w:t>梳理学科已有的研究成果，调研学科组教师的成长需求，诊断存在的问题及归因分析。</w:t>
      </w:r>
      <w:r w:rsidR="00CF5F02">
        <w:rPr>
          <w:rFonts w:ascii="宋体" w:hAnsi="宋体" w:hint="eastAsia"/>
          <w:b/>
          <w:sz w:val="24"/>
        </w:rPr>
        <w:t>二是借鉴：</w:t>
      </w:r>
      <w:r w:rsidR="00CF5F02" w:rsidRPr="00CF5F02">
        <w:rPr>
          <w:rFonts w:ascii="宋体" w:hAnsi="宋体" w:hint="eastAsia"/>
          <w:sz w:val="24"/>
        </w:rPr>
        <w:t>开展文献研究，学习他人经验。</w:t>
      </w:r>
      <w:r w:rsidR="00CF5F02">
        <w:rPr>
          <w:rFonts w:ascii="宋体" w:hAnsi="宋体" w:hint="eastAsia"/>
          <w:b/>
          <w:sz w:val="24"/>
        </w:rPr>
        <w:t>三是碰撞：</w:t>
      </w:r>
      <w:r w:rsidR="00CF5F02" w:rsidRPr="00CF5F02">
        <w:rPr>
          <w:rFonts w:ascii="宋体" w:hAnsi="宋体" w:hint="eastAsia"/>
          <w:sz w:val="24"/>
        </w:rPr>
        <w:t>召集学科组骨干开展主题研讨，确定研究项目（课题）。</w:t>
      </w:r>
      <w:r w:rsidR="00CF5F02" w:rsidRPr="00CF5F02">
        <w:rPr>
          <w:rFonts w:ascii="宋体" w:hAnsi="宋体" w:hint="eastAsia"/>
          <w:b/>
          <w:bCs/>
          <w:sz w:val="24"/>
        </w:rPr>
        <w:t>四是引领：</w:t>
      </w:r>
      <w:r w:rsidR="00CF5F02">
        <w:rPr>
          <w:rFonts w:ascii="宋体" w:hAnsi="宋体" w:hint="eastAsia"/>
          <w:sz w:val="24"/>
        </w:rPr>
        <w:t>（1）学科主任指导制定好第一份教研活动计划；（2）指导做好第一份活动方案；（3）精心准备好一次活动总结，进行现场反馈；（4）协调好教研组长之间的职责分工；（5）教研组长经过一个学期的摸底实践探索，能形成一份课题方案，具有学科性，引领性，申报为校级课题。</w:t>
      </w:r>
    </w:p>
    <w:p w:rsidR="00B04DD1" w:rsidRPr="00B04DD1" w:rsidRDefault="00B04DD1" w:rsidP="00B04DD1">
      <w:pPr>
        <w:jc w:val="center"/>
        <w:rPr>
          <w:sz w:val="24"/>
        </w:rPr>
      </w:pPr>
      <w:r w:rsidRPr="00B04DD1">
        <w:rPr>
          <w:rFonts w:hint="eastAsia"/>
          <w:sz w:val="24"/>
        </w:rPr>
        <w:t>各学科组新学年拟研究的课题（项目）一览表</w:t>
      </w:r>
    </w:p>
    <w:tbl>
      <w:tblPr>
        <w:tblStyle w:val="a6"/>
        <w:tblW w:w="8755" w:type="dxa"/>
        <w:tblLook w:val="04A0"/>
      </w:tblPr>
      <w:tblGrid>
        <w:gridCol w:w="959"/>
        <w:gridCol w:w="1882"/>
        <w:gridCol w:w="4213"/>
        <w:gridCol w:w="1701"/>
      </w:tblGrid>
      <w:tr w:rsidR="00B04DD1" w:rsidRPr="00B04DD1" w:rsidTr="00B63610">
        <w:tc>
          <w:tcPr>
            <w:tcW w:w="959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  <w:r w:rsidRPr="00B04DD1">
              <w:rPr>
                <w:rFonts w:hint="eastAsia"/>
                <w:sz w:val="24"/>
              </w:rPr>
              <w:t>学科</w:t>
            </w:r>
          </w:p>
        </w:tc>
        <w:tc>
          <w:tcPr>
            <w:tcW w:w="1882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  <w:r w:rsidRPr="00B04DD1">
              <w:rPr>
                <w:rFonts w:hint="eastAsia"/>
                <w:sz w:val="24"/>
              </w:rPr>
              <w:t>研究主题</w:t>
            </w:r>
          </w:p>
        </w:tc>
        <w:tc>
          <w:tcPr>
            <w:tcW w:w="4213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  <w:r w:rsidRPr="00B04DD1">
              <w:rPr>
                <w:rFonts w:hint="eastAsia"/>
                <w:sz w:val="24"/>
              </w:rPr>
              <w:t>研究重点</w:t>
            </w:r>
          </w:p>
        </w:tc>
        <w:tc>
          <w:tcPr>
            <w:tcW w:w="1701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  <w:r w:rsidRPr="00B04DD1">
              <w:rPr>
                <w:rFonts w:hint="eastAsia"/>
                <w:sz w:val="24"/>
              </w:rPr>
              <w:t>责任人</w:t>
            </w:r>
          </w:p>
        </w:tc>
      </w:tr>
      <w:tr w:rsidR="00B04DD1" w:rsidRPr="00B04DD1" w:rsidTr="00B63610">
        <w:tc>
          <w:tcPr>
            <w:tcW w:w="959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4213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</w:tr>
      <w:tr w:rsidR="00B04DD1" w:rsidRPr="00B04DD1" w:rsidTr="00B63610">
        <w:tc>
          <w:tcPr>
            <w:tcW w:w="959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4213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</w:tr>
      <w:tr w:rsidR="00B04DD1" w:rsidRPr="00B04DD1" w:rsidTr="00B63610">
        <w:tc>
          <w:tcPr>
            <w:tcW w:w="959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4213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</w:tr>
      <w:tr w:rsidR="00B04DD1" w:rsidRPr="00B04DD1" w:rsidTr="00B63610">
        <w:tc>
          <w:tcPr>
            <w:tcW w:w="959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4213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04DD1" w:rsidRPr="00B04DD1" w:rsidRDefault="00B04DD1" w:rsidP="00B63610">
            <w:pPr>
              <w:jc w:val="center"/>
              <w:rPr>
                <w:sz w:val="24"/>
              </w:rPr>
            </w:pPr>
          </w:p>
        </w:tc>
      </w:tr>
    </w:tbl>
    <w:p w:rsidR="00D57E48" w:rsidRPr="00B04DD1" w:rsidRDefault="00B04DD1" w:rsidP="000A20A6">
      <w:pPr>
        <w:adjustRightInd w:val="0"/>
        <w:snapToGrid w:val="0"/>
        <w:spacing w:line="440" w:lineRule="exact"/>
        <w:ind w:firstLine="482"/>
        <w:jc w:val="left"/>
        <w:rPr>
          <w:rFonts w:ascii="宋体" w:hAnsi="宋体" w:cs="宋体" w:hint="eastAsia"/>
          <w:sz w:val="24"/>
        </w:rPr>
      </w:pPr>
      <w:r w:rsidRPr="00B04DD1">
        <w:rPr>
          <w:rFonts w:ascii="宋体" w:hAnsi="宋体" w:hint="eastAsia"/>
          <w:b/>
          <w:sz w:val="24"/>
        </w:rPr>
        <w:t>2.系统架构：</w:t>
      </w:r>
      <w:r w:rsidRPr="00B04DD1">
        <w:rPr>
          <w:rFonts w:ascii="宋体" w:hAnsi="宋体" w:cs="宋体" w:hint="eastAsia"/>
          <w:sz w:val="24"/>
        </w:rPr>
        <w:t>各学科要</w:t>
      </w:r>
      <w:r w:rsidR="00D57E48" w:rsidRPr="00B04DD1">
        <w:rPr>
          <w:rFonts w:ascii="宋体" w:hAnsi="宋体" w:cs="宋体" w:hint="eastAsia"/>
          <w:sz w:val="24"/>
        </w:rPr>
        <w:t>把控每周教研活动的节律，形成具体可操作的研训方案，让</w:t>
      </w:r>
      <w:r w:rsidRPr="00B04DD1">
        <w:rPr>
          <w:rFonts w:ascii="宋体" w:hAnsi="宋体" w:cs="宋体" w:hint="eastAsia"/>
          <w:sz w:val="24"/>
        </w:rPr>
        <w:t>每位</w:t>
      </w:r>
      <w:r w:rsidR="00D57E48" w:rsidRPr="00B04DD1">
        <w:rPr>
          <w:rFonts w:ascii="宋体" w:hAnsi="宋体" w:cs="宋体" w:hint="eastAsia"/>
          <w:sz w:val="24"/>
        </w:rPr>
        <w:t>老师心中有数地参加每一次活动。首先积极倡导教师多读书，读好书，与学生共读书。各年级组认真制订与学生共读好书的计划，获得“儿童立场”的</w:t>
      </w:r>
      <w:r w:rsidR="00D57E48" w:rsidRPr="00B04DD1">
        <w:rPr>
          <w:rFonts w:ascii="宋体" w:hAnsi="宋体" w:cs="宋体" w:hint="eastAsia"/>
          <w:sz w:val="24"/>
        </w:rPr>
        <w:lastRenderedPageBreak/>
        <w:t>滋养。每月第一周为分享交流周，分享着学科领域的成功经验与有效策略，内化教育理念。在第二周的组内课堂实践研讨活动中，围绕</w:t>
      </w:r>
      <w:r>
        <w:rPr>
          <w:rFonts w:ascii="宋体" w:hAnsi="宋体" w:cs="宋体" w:hint="eastAsia"/>
          <w:sz w:val="24"/>
        </w:rPr>
        <w:t>研究</w:t>
      </w:r>
      <w:r w:rsidR="00D57E48" w:rsidRPr="00B04DD1">
        <w:rPr>
          <w:rFonts w:ascii="宋体" w:hAnsi="宋体" w:cs="宋体" w:hint="eastAsia"/>
          <w:sz w:val="24"/>
        </w:rPr>
        <w:t>主题，探索教学新经验，形成各</w:t>
      </w:r>
      <w:r>
        <w:rPr>
          <w:rFonts w:ascii="宋体" w:hAnsi="宋体" w:cs="宋体" w:hint="eastAsia"/>
          <w:sz w:val="24"/>
        </w:rPr>
        <w:t>教研</w:t>
      </w:r>
      <w:r w:rsidR="00D57E48" w:rsidRPr="00B04DD1">
        <w:rPr>
          <w:rFonts w:ascii="宋体" w:hAnsi="宋体" w:cs="宋体" w:hint="eastAsia"/>
          <w:sz w:val="24"/>
        </w:rPr>
        <w:t>组活动核心研究专题。第三周为常规检查周。本周围绕不同的专项，进行检查，查漏补缺，取长补短。第四周为开放周，</w:t>
      </w:r>
      <w:r>
        <w:rPr>
          <w:rFonts w:ascii="宋体" w:hAnsi="宋体" w:cs="宋体" w:hint="eastAsia"/>
          <w:sz w:val="24"/>
        </w:rPr>
        <w:t>各学科招募</w:t>
      </w:r>
      <w:r w:rsidR="00D57E48" w:rsidRPr="00B04DD1">
        <w:rPr>
          <w:rFonts w:ascii="宋体" w:hAnsi="宋体" w:cs="宋体" w:hint="eastAsia"/>
          <w:sz w:val="24"/>
        </w:rPr>
        <w:t>优秀教师组建导师团</w:t>
      </w:r>
      <w:r>
        <w:rPr>
          <w:rFonts w:ascii="宋体" w:hAnsi="宋体" w:cs="宋体" w:hint="eastAsia"/>
          <w:sz w:val="24"/>
        </w:rPr>
        <w:t>（还可以向外借力，邀请市区教研员来校指导）</w:t>
      </w:r>
      <w:r w:rsidR="00D57E48" w:rsidRPr="00B04DD1">
        <w:rPr>
          <w:rFonts w:ascii="宋体" w:hAnsi="宋体" w:cs="宋体" w:hint="eastAsia"/>
          <w:sz w:val="24"/>
        </w:rPr>
        <w:t>，在学科组开放活动中开展名师指点和互评互议环节，促进教师学科专业素质的提升。</w:t>
      </w:r>
    </w:p>
    <w:p w:rsidR="00D57E48" w:rsidRPr="00B04DD1" w:rsidRDefault="00D57E48" w:rsidP="00D57E48">
      <w:pPr>
        <w:adjustRightInd w:val="0"/>
        <w:snapToGrid w:val="0"/>
        <w:spacing w:line="360" w:lineRule="auto"/>
        <w:ind w:leftChars="-495" w:left="1" w:hanging="1040"/>
        <w:rPr>
          <w:rFonts w:ascii="宋体" w:hAnsi="宋体" w:hint="eastAsia"/>
          <w:sz w:val="24"/>
        </w:rPr>
      </w:pPr>
      <w:r w:rsidRPr="00B04DD1">
        <w:rPr>
          <w:rFonts w:ascii="宋体" w:hAnsi="宋体" w:hint="eastAsia"/>
          <w:noProof/>
          <w:sz w:val="24"/>
        </w:rPr>
        <w:drawing>
          <wp:inline distT="0" distB="0" distL="0" distR="0">
            <wp:extent cx="6818630" cy="3152775"/>
            <wp:effectExtent l="57150" t="0" r="774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57E48" w:rsidRDefault="00B04DD1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b/>
          <w:sz w:val="24"/>
        </w:rPr>
      </w:pPr>
      <w:r w:rsidRPr="00B04DD1">
        <w:rPr>
          <w:rFonts w:ascii="宋体" w:hAnsi="宋体" w:hint="eastAsia"/>
          <w:b/>
          <w:sz w:val="24"/>
        </w:rPr>
        <w:t>3.丰富教研</w:t>
      </w:r>
    </w:p>
    <w:p w:rsidR="00841A0F" w:rsidRDefault="00B04DD1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 w:rsidRPr="00B04DD1">
        <w:rPr>
          <w:rFonts w:ascii="宋体" w:hAnsi="宋体" w:hint="eastAsia"/>
          <w:b/>
          <w:bCs/>
          <w:sz w:val="24"/>
        </w:rPr>
        <w:t>（1）</w:t>
      </w:r>
      <w:r>
        <w:rPr>
          <w:rFonts w:ascii="宋体" w:hAnsi="宋体" w:hint="eastAsia"/>
          <w:b/>
          <w:bCs/>
          <w:sz w:val="24"/>
        </w:rPr>
        <w:t>前沿学习：</w:t>
      </w:r>
      <w:r w:rsidRPr="002D771D">
        <w:rPr>
          <w:rFonts w:ascii="宋体" w:hAnsi="宋体" w:hint="eastAsia"/>
          <w:bCs/>
          <w:sz w:val="24"/>
        </w:rPr>
        <w:t>可以是骨干推荐学科前沿理论的聚焦式学习，也可以是与大师对话</w:t>
      </w:r>
      <w:r w:rsidR="002D771D" w:rsidRPr="002D771D">
        <w:rPr>
          <w:rFonts w:ascii="宋体" w:hAnsi="宋体" w:hint="eastAsia"/>
          <w:bCs/>
          <w:sz w:val="24"/>
        </w:rPr>
        <w:t>，</w:t>
      </w:r>
      <w:r w:rsidRPr="00B04DD1">
        <w:rPr>
          <w:rFonts w:ascii="宋体" w:hAnsi="宋体" w:hint="eastAsia"/>
          <w:sz w:val="24"/>
        </w:rPr>
        <w:t>邀请校外不同领域的专家和大师进行专题讲座，教师们在倾听与比较中激发工作的热情，燃烧教育的激情。</w:t>
      </w:r>
    </w:p>
    <w:p w:rsidR="00841A0F" w:rsidRPr="00AA4BCF" w:rsidRDefault="002D771D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（2）课例打磨：</w:t>
      </w:r>
      <w:r w:rsidR="00AA4BCF" w:rsidRPr="00AA4BCF">
        <w:rPr>
          <w:rFonts w:ascii="宋体" w:hAnsi="宋体" w:hint="eastAsia"/>
          <w:bCs/>
          <w:sz w:val="24"/>
        </w:rPr>
        <w:t>各学科可</w:t>
      </w:r>
      <w:r w:rsidR="003C3C98" w:rsidRPr="00AA4BCF">
        <w:rPr>
          <w:rFonts w:ascii="宋体" w:hAnsi="宋体" w:cs="宋体" w:hint="eastAsia"/>
          <w:sz w:val="24"/>
        </w:rPr>
        <w:t>以“同课异构”“同系滚动”等形式开展</w:t>
      </w:r>
      <w:r w:rsidR="00AA4BCF">
        <w:rPr>
          <w:rFonts w:ascii="宋体" w:hAnsi="宋体" w:cs="宋体" w:hint="eastAsia"/>
          <w:sz w:val="24"/>
        </w:rPr>
        <w:t>扎实的磨课研讨，通过一节课</w:t>
      </w:r>
      <w:r w:rsidR="00513ABF">
        <w:rPr>
          <w:rFonts w:ascii="宋体" w:hAnsi="宋体" w:cs="宋体" w:hint="eastAsia"/>
          <w:sz w:val="24"/>
        </w:rPr>
        <w:t>磨出一类课，提炼一种策略等。</w:t>
      </w:r>
    </w:p>
    <w:p w:rsidR="002912A1" w:rsidRDefault="002D771D" w:rsidP="000A20A6">
      <w:pPr>
        <w:adjustRightInd w:val="0"/>
        <w:snapToGrid w:val="0"/>
        <w:spacing w:line="440" w:lineRule="exact"/>
        <w:ind w:firstLineChars="200" w:firstLine="482"/>
        <w:jc w:val="left"/>
        <w:rPr>
          <w:rFonts w:asciiTheme="minorEastAsia" w:hAnsiTheme="minorEastAsia" w:cs="Arial" w:hint="eastAsia"/>
          <w:sz w:val="24"/>
          <w:shd w:val="clear" w:color="auto" w:fill="FFFFFF"/>
        </w:rPr>
      </w:pPr>
      <w:r>
        <w:rPr>
          <w:rFonts w:ascii="宋体" w:hAnsi="宋体" w:hint="eastAsia"/>
          <w:b/>
          <w:bCs/>
          <w:sz w:val="24"/>
        </w:rPr>
        <w:t>（3）专项研讨：</w:t>
      </w:r>
      <w:r w:rsidR="00E9770B">
        <w:rPr>
          <w:rFonts w:ascii="宋体" w:hAnsi="宋体" w:hint="eastAsia"/>
          <w:b/>
          <w:bCs/>
          <w:sz w:val="24"/>
        </w:rPr>
        <w:t>一是做好练习设计的三步曲：</w:t>
      </w:r>
      <w:r w:rsidR="00C41F73">
        <w:rPr>
          <w:rFonts w:asciiTheme="majorEastAsia" w:eastAsiaTheme="majorEastAsia" w:hAnsiTheme="majorEastAsia" w:hint="eastAsia"/>
          <w:sz w:val="24"/>
        </w:rPr>
        <w:t>新学期将继续研发校本习题资源库，重点做好“三部曲”：</w:t>
      </w:r>
      <w:r w:rsidR="00C41F73" w:rsidRPr="00D6363F">
        <w:rPr>
          <w:rFonts w:asciiTheme="majorEastAsia" w:eastAsiaTheme="majorEastAsia" w:hAnsiTheme="majorEastAsia" w:hint="eastAsia"/>
          <w:b/>
          <w:color w:val="000000"/>
          <w:kern w:val="0"/>
          <w:sz w:val="24"/>
        </w:rPr>
        <w:t>一研</w:t>
      </w:r>
      <w:r w:rsidR="00C41F73">
        <w:rPr>
          <w:rFonts w:asciiTheme="majorEastAsia" w:eastAsiaTheme="majorEastAsia" w:hAnsiTheme="majorEastAsia" w:hint="eastAsia"/>
          <w:color w:val="000000"/>
          <w:kern w:val="0"/>
          <w:sz w:val="24"/>
        </w:rPr>
        <w:t>——集结省市区考卷进行分享、解析和评价，研究省市区命题的指导思想、原则、导向（考点、热点和变化点）；</w:t>
      </w:r>
      <w:r w:rsidR="00C41F73" w:rsidRPr="00D6363F">
        <w:rPr>
          <w:rFonts w:asciiTheme="majorEastAsia" w:eastAsiaTheme="majorEastAsia" w:hAnsiTheme="majorEastAsia" w:hint="eastAsia"/>
          <w:b/>
          <w:color w:val="000000"/>
          <w:kern w:val="0"/>
          <w:sz w:val="24"/>
        </w:rPr>
        <w:t>二理</w:t>
      </w:r>
      <w:r w:rsidR="00D6363F">
        <w:rPr>
          <w:rFonts w:asciiTheme="majorEastAsia" w:eastAsiaTheme="majorEastAsia" w:hAnsiTheme="majorEastAsia" w:hint="eastAsia"/>
          <w:color w:val="000000"/>
          <w:kern w:val="0"/>
          <w:sz w:val="24"/>
        </w:rPr>
        <w:t>——</w:t>
      </w:r>
      <w:r w:rsidR="00C41F73">
        <w:rPr>
          <w:rFonts w:asciiTheme="majorEastAsia" w:eastAsiaTheme="majorEastAsia" w:hAnsiTheme="majorEastAsia" w:hint="eastAsia"/>
          <w:sz w:val="24"/>
        </w:rPr>
        <w:t>加强作业的目标与教学目标的匹配度，</w:t>
      </w:r>
      <w:r w:rsidR="00C41F73">
        <w:rPr>
          <w:rFonts w:asciiTheme="majorEastAsia" w:eastAsiaTheme="majorEastAsia" w:hAnsiTheme="majorEastAsia" w:hint="eastAsia"/>
          <w:color w:val="000000"/>
          <w:kern w:val="0"/>
          <w:sz w:val="24"/>
        </w:rPr>
        <w:t>做好练习的归类整理（按单元、按知识点、按类型）；</w:t>
      </w:r>
      <w:r w:rsidR="00C41F73" w:rsidRPr="00D6363F">
        <w:rPr>
          <w:rFonts w:asciiTheme="majorEastAsia" w:eastAsiaTheme="majorEastAsia" w:hAnsiTheme="majorEastAsia" w:hint="eastAsia"/>
          <w:b/>
          <w:color w:val="000000"/>
          <w:kern w:val="0"/>
          <w:sz w:val="24"/>
        </w:rPr>
        <w:t>三编</w:t>
      </w:r>
      <w:r w:rsidR="00D6363F">
        <w:rPr>
          <w:rFonts w:asciiTheme="majorEastAsia" w:eastAsiaTheme="majorEastAsia" w:hAnsiTheme="majorEastAsia" w:hint="eastAsia"/>
          <w:color w:val="000000"/>
          <w:kern w:val="0"/>
          <w:sz w:val="24"/>
        </w:rPr>
        <w:t>——</w:t>
      </w:r>
      <w:r w:rsidR="00C41F73">
        <w:rPr>
          <w:rFonts w:asciiTheme="majorEastAsia" w:eastAsiaTheme="majorEastAsia" w:hAnsiTheme="majorEastAsia" w:hint="eastAsia"/>
          <w:color w:val="000000"/>
          <w:kern w:val="0"/>
          <w:sz w:val="24"/>
        </w:rPr>
        <w:t>编易错题</w:t>
      </w:r>
      <w:r w:rsidR="00D6363F">
        <w:rPr>
          <w:rFonts w:asciiTheme="majorEastAsia" w:eastAsiaTheme="majorEastAsia" w:hAnsiTheme="majorEastAsia" w:hint="eastAsia"/>
          <w:color w:val="000000"/>
          <w:kern w:val="0"/>
          <w:sz w:val="24"/>
        </w:rPr>
        <w:t>，编原创题</w:t>
      </w:r>
      <w:r w:rsidR="00C41F73">
        <w:rPr>
          <w:rFonts w:asciiTheme="majorEastAsia" w:eastAsiaTheme="majorEastAsia" w:hAnsiTheme="majorEastAsia" w:hint="eastAsia"/>
          <w:color w:val="000000"/>
          <w:kern w:val="0"/>
          <w:sz w:val="24"/>
        </w:rPr>
        <w:t>。</w:t>
      </w:r>
      <w:r w:rsidR="00E9770B">
        <w:rPr>
          <w:rFonts w:ascii="宋体" w:hAnsi="宋体" w:hint="eastAsia"/>
          <w:b/>
          <w:bCs/>
          <w:sz w:val="24"/>
        </w:rPr>
        <w:t>二</w:t>
      </w:r>
      <w:r w:rsidR="00E9770B" w:rsidRPr="00C41F73">
        <w:rPr>
          <w:rFonts w:ascii="宋体" w:hAnsi="宋体" w:hint="eastAsia"/>
          <w:b/>
          <w:bCs/>
          <w:sz w:val="24"/>
        </w:rPr>
        <w:t>是</w:t>
      </w:r>
      <w:r w:rsidR="00E9770B">
        <w:rPr>
          <w:rFonts w:ascii="宋体" w:hAnsi="宋体" w:hint="eastAsia"/>
          <w:b/>
          <w:bCs/>
          <w:sz w:val="24"/>
        </w:rPr>
        <w:t>开好练习设计的交流会：</w:t>
      </w:r>
      <w:r w:rsidR="00CF5F02" w:rsidRPr="00C24253">
        <w:rPr>
          <w:rFonts w:asciiTheme="minorEastAsia" w:hAnsiTheme="minorEastAsia" w:cs="Arial" w:hint="eastAsia"/>
          <w:sz w:val="24"/>
          <w:shd w:val="clear" w:color="auto" w:fill="FFFFFF"/>
        </w:rPr>
        <w:t>每单元之前，</w:t>
      </w:r>
      <w:r w:rsidR="00CF5F02">
        <w:rPr>
          <w:rFonts w:asciiTheme="minorEastAsia" w:hAnsiTheme="minorEastAsia" w:cs="Arial" w:hint="eastAsia"/>
          <w:sz w:val="24"/>
          <w:shd w:val="clear" w:color="auto" w:fill="FFFFFF"/>
        </w:rPr>
        <w:t>教研</w:t>
      </w:r>
      <w:r w:rsidR="00CF5F02" w:rsidRPr="00C24253">
        <w:rPr>
          <w:rFonts w:asciiTheme="minorEastAsia" w:hAnsiTheme="minorEastAsia" w:cs="Arial" w:hint="eastAsia"/>
          <w:sz w:val="24"/>
          <w:shd w:val="clear" w:color="auto" w:fill="FFFFFF"/>
        </w:rPr>
        <w:t>组进行共性练习的设计。每单元结束时，</w:t>
      </w:r>
      <w:r w:rsidR="00CF5F02">
        <w:rPr>
          <w:rFonts w:asciiTheme="minorEastAsia" w:hAnsiTheme="minorEastAsia" w:cs="Arial" w:hint="eastAsia"/>
          <w:sz w:val="24"/>
          <w:shd w:val="clear" w:color="auto" w:fill="FFFFFF"/>
        </w:rPr>
        <w:t>教研</w:t>
      </w:r>
      <w:r w:rsidR="00CF5F02" w:rsidRPr="00C24253">
        <w:rPr>
          <w:rFonts w:asciiTheme="minorEastAsia" w:hAnsiTheme="minorEastAsia" w:cs="Arial" w:hint="eastAsia"/>
          <w:sz w:val="24"/>
          <w:shd w:val="clear" w:color="auto" w:fill="FFFFFF"/>
        </w:rPr>
        <w:t>组进行个性练习设计的交流。</w:t>
      </w:r>
      <w:r w:rsidR="00CF5F02">
        <w:rPr>
          <w:rFonts w:asciiTheme="minorEastAsia" w:hAnsiTheme="minorEastAsia" w:cs="Arial" w:hint="eastAsia"/>
          <w:sz w:val="24"/>
          <w:shd w:val="clear" w:color="auto" w:fill="FFFFFF"/>
        </w:rPr>
        <w:t>教研</w:t>
      </w:r>
      <w:r w:rsidR="00CF5F02" w:rsidRPr="00C24253">
        <w:rPr>
          <w:rFonts w:asciiTheme="minorEastAsia" w:hAnsiTheme="minorEastAsia" w:cs="Arial" w:hint="eastAsia"/>
          <w:sz w:val="24"/>
          <w:shd w:val="clear" w:color="auto" w:fill="FFFFFF"/>
        </w:rPr>
        <w:t>组长及时记录，形成文稿，成为学校学业检测时的考察依据。</w:t>
      </w:r>
    </w:p>
    <w:p w:rsidR="002912A1" w:rsidRDefault="00B04DD1" w:rsidP="002912A1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 w:rsidR="002912A1">
        <w:rPr>
          <w:rFonts w:ascii="宋体" w:hAnsi="宋体" w:hint="eastAsia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）</w:t>
      </w:r>
      <w:r w:rsidR="00D57E48" w:rsidRPr="00B04DD1">
        <w:rPr>
          <w:rFonts w:ascii="宋体" w:hAnsi="宋体" w:hint="eastAsia"/>
          <w:b/>
          <w:bCs/>
          <w:sz w:val="24"/>
        </w:rPr>
        <w:t>素养T台</w:t>
      </w:r>
      <w:r w:rsidR="002D771D">
        <w:rPr>
          <w:rFonts w:ascii="宋体" w:hAnsi="宋体" w:hint="eastAsia"/>
          <w:b/>
          <w:bCs/>
          <w:sz w:val="24"/>
        </w:rPr>
        <w:t>：</w:t>
      </w:r>
      <w:r w:rsidR="002D771D" w:rsidRPr="002D771D">
        <w:rPr>
          <w:rFonts w:ascii="宋体" w:hAnsi="宋体" w:hint="eastAsia"/>
          <w:bCs/>
          <w:sz w:val="24"/>
        </w:rPr>
        <w:t>各学科可以基于本学科特点和教师实际，</w:t>
      </w:r>
      <w:r w:rsidR="002D771D">
        <w:rPr>
          <w:rFonts w:ascii="宋体" w:hAnsi="宋体" w:hint="eastAsia"/>
          <w:sz w:val="24"/>
        </w:rPr>
        <w:t>开展</w:t>
      </w:r>
      <w:r w:rsidR="00D57E48" w:rsidRPr="00B04DD1">
        <w:rPr>
          <w:rFonts w:ascii="宋体" w:hAnsi="宋体" w:hint="eastAsia"/>
          <w:sz w:val="24"/>
        </w:rPr>
        <w:t>校基本功大</w:t>
      </w:r>
      <w:r w:rsidR="00D57E48" w:rsidRPr="00B04DD1">
        <w:rPr>
          <w:rFonts w:ascii="宋体" w:hAnsi="宋体" w:hint="eastAsia"/>
          <w:sz w:val="24"/>
        </w:rPr>
        <w:lastRenderedPageBreak/>
        <w:t>赛</w:t>
      </w:r>
      <w:r w:rsidR="002D771D">
        <w:rPr>
          <w:rFonts w:ascii="宋体" w:hAnsi="宋体" w:hint="eastAsia"/>
          <w:sz w:val="24"/>
        </w:rPr>
        <w:t>，</w:t>
      </w:r>
      <w:r w:rsidR="002D771D" w:rsidRPr="002D771D">
        <w:rPr>
          <w:rFonts w:ascii="宋体" w:hAnsi="宋体" w:hint="eastAsia"/>
          <w:bCs/>
          <w:sz w:val="24"/>
        </w:rPr>
        <w:t>勤学苦练厚“底子”</w:t>
      </w:r>
      <w:r w:rsidR="002D771D">
        <w:rPr>
          <w:rFonts w:ascii="宋体" w:hAnsi="宋体" w:hint="eastAsia"/>
          <w:sz w:val="24"/>
        </w:rPr>
        <w:t>。按照先培后赛的程序开展，</w:t>
      </w:r>
      <w:r w:rsidR="00C41F73">
        <w:rPr>
          <w:rFonts w:ascii="宋体" w:hAnsi="宋体" w:hint="eastAsia"/>
          <w:sz w:val="24"/>
        </w:rPr>
        <w:t>将日常性练习和</w:t>
      </w:r>
      <w:r w:rsidR="002D771D">
        <w:rPr>
          <w:rFonts w:ascii="宋体" w:hAnsi="宋体" w:hint="eastAsia"/>
          <w:sz w:val="24"/>
        </w:rPr>
        <w:t>阶段性展评</w:t>
      </w:r>
      <w:r w:rsidR="00C41F73">
        <w:rPr>
          <w:rFonts w:ascii="宋体" w:hAnsi="宋体" w:hint="eastAsia"/>
          <w:sz w:val="24"/>
        </w:rPr>
        <w:t>相结合</w:t>
      </w:r>
      <w:r w:rsidR="002D771D">
        <w:rPr>
          <w:rFonts w:ascii="宋体" w:hAnsi="宋体" w:hint="eastAsia"/>
          <w:sz w:val="24"/>
        </w:rPr>
        <w:t>，学期结束汇总各项成绩评出优胜者。</w:t>
      </w:r>
    </w:p>
    <w:p w:rsidR="002912A1" w:rsidRDefault="002912A1" w:rsidP="002912A1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（5）质量分析：</w:t>
      </w:r>
      <w:r w:rsidRPr="002D771D">
        <w:rPr>
          <w:rFonts w:ascii="宋体" w:hAnsi="宋体" w:hint="eastAsia"/>
          <w:bCs/>
          <w:sz w:val="24"/>
        </w:rPr>
        <w:t>期初和期中开展质量分析的多元化评估，围绕习题质量、学</w:t>
      </w:r>
      <w:r>
        <w:rPr>
          <w:rFonts w:ascii="宋体" w:hAnsi="宋体" w:hint="eastAsia"/>
          <w:bCs/>
          <w:sz w:val="24"/>
        </w:rPr>
        <w:t>生的学、教师的教</w:t>
      </w:r>
      <w:r w:rsidRPr="002D771D">
        <w:rPr>
          <w:rFonts w:ascii="宋体" w:hAnsi="宋体" w:hint="eastAsia"/>
          <w:bCs/>
          <w:sz w:val="24"/>
        </w:rPr>
        <w:t>等方面进行。</w:t>
      </w:r>
    </w:p>
    <w:p w:rsidR="002912A1" w:rsidRDefault="002912A1" w:rsidP="002912A1">
      <w:pPr>
        <w:adjustRightInd w:val="0"/>
        <w:snapToGrid w:val="0"/>
        <w:spacing w:line="440" w:lineRule="exact"/>
        <w:ind w:firstLineChars="200" w:firstLine="48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（6）主题</w:t>
      </w:r>
      <w:r w:rsidRPr="00B04DD1">
        <w:rPr>
          <w:rFonts w:ascii="宋体" w:hAnsi="宋体" w:hint="eastAsia"/>
          <w:b/>
          <w:bCs/>
          <w:sz w:val="24"/>
        </w:rPr>
        <w:t>沙龙：</w:t>
      </w:r>
      <w:r w:rsidRPr="00B04DD1">
        <w:rPr>
          <w:rFonts w:ascii="宋体" w:hAnsi="宋体" w:hint="eastAsia"/>
          <w:sz w:val="24"/>
        </w:rPr>
        <w:t>期末举办主题沙龙教研活动，</w:t>
      </w:r>
      <w:r>
        <w:rPr>
          <w:rFonts w:ascii="宋体" w:hAnsi="宋体" w:hint="eastAsia"/>
          <w:sz w:val="24"/>
        </w:rPr>
        <w:t>讲述教研组的故事，可以是专题研究之经验分享，也可以是学科活动之趣事讲述，</w:t>
      </w:r>
      <w:r w:rsidRPr="00B04DD1">
        <w:rPr>
          <w:rFonts w:ascii="宋体" w:hAnsi="宋体" w:hint="eastAsia"/>
          <w:sz w:val="24"/>
        </w:rPr>
        <w:t>全面感受各教研组团队文化氛围、研究气场和学习情况，遵循“发现问题——积极实践——展示研讨——总结提高”的原则，在沙龙中相互学习。</w:t>
      </w:r>
    </w:p>
    <w:p w:rsidR="000447C5" w:rsidRDefault="000A20A6" w:rsidP="000447C5">
      <w:pPr>
        <w:snapToGrid w:val="0"/>
        <w:spacing w:line="440" w:lineRule="exact"/>
        <w:ind w:firstLineChars="200" w:firstLine="482"/>
        <w:jc w:val="left"/>
        <w:rPr>
          <w:b/>
          <w:bCs/>
          <w:color w:val="333333"/>
          <w:sz w:val="24"/>
        </w:rPr>
      </w:pPr>
      <w:r w:rsidRPr="000A20A6">
        <w:rPr>
          <w:rFonts w:ascii="宋体" w:hAnsi="宋体" w:hint="eastAsia"/>
          <w:b/>
          <w:sz w:val="24"/>
        </w:rPr>
        <w:t>三、</w:t>
      </w:r>
      <w:r w:rsidR="000447C5">
        <w:rPr>
          <w:rFonts w:asciiTheme="minorEastAsia" w:hAnsiTheme="minorEastAsia" w:hint="eastAsia"/>
          <w:b/>
          <w:color w:val="000000" w:themeColor="text1"/>
          <w:sz w:val="24"/>
        </w:rPr>
        <w:t>重点打造，让项目建设</w:t>
      </w:r>
      <w:r w:rsidR="000447C5" w:rsidRPr="003056D2">
        <w:rPr>
          <w:b/>
          <w:bCs/>
          <w:color w:val="333333"/>
          <w:sz w:val="24"/>
        </w:rPr>
        <w:t>提升</w:t>
      </w:r>
      <w:r w:rsidR="000447C5">
        <w:rPr>
          <w:rFonts w:hint="eastAsia"/>
          <w:b/>
          <w:bCs/>
          <w:color w:val="333333"/>
          <w:sz w:val="24"/>
        </w:rPr>
        <w:t>内涵品质。</w:t>
      </w:r>
    </w:p>
    <w:p w:rsidR="000447C5" w:rsidRPr="009D358A" w:rsidRDefault="000447C5" w:rsidP="000447C5">
      <w:pPr>
        <w:snapToGrid w:val="0"/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333333"/>
          <w:sz w:val="24"/>
        </w:rPr>
      </w:pPr>
      <w:r w:rsidRPr="009D358A">
        <w:rPr>
          <w:rFonts w:asciiTheme="majorEastAsia" w:eastAsiaTheme="majorEastAsia" w:hAnsiTheme="majorEastAsia"/>
          <w:color w:val="333333"/>
          <w:sz w:val="24"/>
        </w:rPr>
        <w:t>现在已经进入“项目为王”的时代。</w:t>
      </w:r>
      <w:r w:rsidRPr="009D358A">
        <w:rPr>
          <w:rFonts w:ascii="Simsun" w:hAnsi="Simsun"/>
          <w:bCs/>
          <w:color w:val="333333"/>
          <w:sz w:val="24"/>
        </w:rPr>
        <w:t>以项目来驱动学校发展是一个非常好的抓手。要</w:t>
      </w:r>
      <w:r>
        <w:rPr>
          <w:rFonts w:ascii="Simsun" w:hAnsi="Simsun" w:hint="eastAsia"/>
          <w:bCs/>
          <w:color w:val="333333"/>
          <w:sz w:val="24"/>
        </w:rPr>
        <w:t>创建</w:t>
      </w:r>
      <w:r>
        <w:rPr>
          <w:rFonts w:ascii="Simsun" w:hAnsi="Simsun"/>
          <w:bCs/>
          <w:color w:val="333333"/>
          <w:sz w:val="24"/>
        </w:rPr>
        <w:t>常州市义务教育</w:t>
      </w:r>
      <w:r w:rsidRPr="009D358A">
        <w:rPr>
          <w:rFonts w:ascii="Simsun" w:hAnsi="Simsun"/>
          <w:bCs/>
          <w:color w:val="333333"/>
          <w:sz w:val="24"/>
        </w:rPr>
        <w:t>新优质学校</w:t>
      </w:r>
      <w:r>
        <w:rPr>
          <w:rFonts w:ascii="Simsun" w:hAnsi="Simsun" w:hint="eastAsia"/>
          <w:bCs/>
          <w:color w:val="333333"/>
          <w:sz w:val="24"/>
        </w:rPr>
        <w:t>，就必须有</w:t>
      </w:r>
      <w:r w:rsidRPr="009D358A">
        <w:rPr>
          <w:rFonts w:ascii="Simsun" w:hAnsi="Simsun"/>
          <w:bCs/>
          <w:color w:val="333333"/>
          <w:sz w:val="24"/>
        </w:rPr>
        <w:t>高品质项目。</w:t>
      </w:r>
    </w:p>
    <w:p w:rsidR="000447C5" w:rsidRDefault="000447C5" w:rsidP="000447C5">
      <w:pPr>
        <w:snapToGrid w:val="0"/>
        <w:spacing w:line="440" w:lineRule="exact"/>
        <w:ind w:firstLineChars="200" w:firstLine="482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重点项目：</w:t>
      </w:r>
      <w:r>
        <w:rPr>
          <w:rFonts w:ascii="宋体" w:hAnsi="宋体" w:hint="eastAsia"/>
          <w:color w:val="000000"/>
          <w:sz w:val="24"/>
        </w:rPr>
        <w:t>“劳动教育”课程群开发与实施，将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组建课程开发指导智囊团，</w:t>
      </w:r>
      <w:r>
        <w:rPr>
          <w:rFonts w:ascii="宋体" w:hAnsi="宋体" w:hint="eastAsia"/>
          <w:color w:val="000000"/>
          <w:sz w:val="24"/>
        </w:rPr>
        <w:t>按照“顶层设计——分项负责——日常落实”的策略推进研究。</w:t>
      </w:r>
    </w:p>
    <w:p w:rsidR="000447C5" w:rsidRDefault="000447C5" w:rsidP="000447C5">
      <w:pPr>
        <w:snapToGrid w:val="0"/>
        <w:spacing w:line="440" w:lineRule="exact"/>
        <w:ind w:firstLineChars="200" w:firstLine="482"/>
        <w:jc w:val="left"/>
        <w:rPr>
          <w:rFonts w:ascii="Calibri" w:hAnsi="Calibri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顶层设计：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校长室领衔，教师发展处（综合实践学科）及学生发展处联合，具体负责架构课程群的体系结构，</w:t>
      </w:r>
      <w:r>
        <w:rPr>
          <w:rFonts w:ascii="宋体" w:hAnsi="宋体" w:hint="eastAsia"/>
          <w:color w:val="000000"/>
          <w:kern w:val="0"/>
          <w:sz w:val="24"/>
        </w:rPr>
        <w:t>构建“五园”劳动教育课程群之体（家园生活课程、校园责任课程、田园体验课程、职园启蒙课程、创园生长课程）。</w:t>
      </w:r>
    </w:p>
    <w:p w:rsidR="000447C5" w:rsidRDefault="000447C5" w:rsidP="000447C5">
      <w:pPr>
        <w:snapToGrid w:val="0"/>
        <w:spacing w:line="440" w:lineRule="exact"/>
        <w:ind w:firstLineChars="200" w:firstLine="482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分项负责：</w:t>
      </w:r>
      <w:r>
        <w:rPr>
          <w:rFonts w:ascii="宋体" w:hAnsi="宋体" w:hint="eastAsia"/>
          <w:color w:val="000000"/>
          <w:kern w:val="0"/>
          <w:sz w:val="24"/>
        </w:rPr>
        <w:t>新学期将侧重劳动教育，建立儿童全景劳作园之场，探索学生劳动学习方之路。</w:t>
      </w:r>
    </w:p>
    <w:tbl>
      <w:tblPr>
        <w:tblStyle w:val="a6"/>
        <w:tblW w:w="8613" w:type="dxa"/>
        <w:tblLook w:val="04A0"/>
      </w:tblPr>
      <w:tblGrid>
        <w:gridCol w:w="1668"/>
        <w:gridCol w:w="2268"/>
        <w:gridCol w:w="2693"/>
        <w:gridCol w:w="1984"/>
      </w:tblGrid>
      <w:tr w:rsidR="00B429B8" w:rsidTr="00722C4B">
        <w:tc>
          <w:tcPr>
            <w:tcW w:w="1668" w:type="dxa"/>
          </w:tcPr>
          <w:p w:rsidR="00B429B8" w:rsidRPr="00395FB4" w:rsidRDefault="00B429B8" w:rsidP="00395FB4"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395FB4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课程群名称</w:t>
            </w:r>
          </w:p>
        </w:tc>
        <w:tc>
          <w:tcPr>
            <w:tcW w:w="2268" w:type="dxa"/>
          </w:tcPr>
          <w:p w:rsidR="00B429B8" w:rsidRDefault="00B429B8" w:rsidP="00395FB4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核心目标</w:t>
            </w:r>
          </w:p>
        </w:tc>
        <w:tc>
          <w:tcPr>
            <w:tcW w:w="2693" w:type="dxa"/>
          </w:tcPr>
          <w:p w:rsidR="00B429B8" w:rsidRPr="00395FB4" w:rsidRDefault="00B429B8" w:rsidP="00395FB4"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1984" w:type="dxa"/>
          </w:tcPr>
          <w:p w:rsidR="00B429B8" w:rsidRDefault="00B429B8" w:rsidP="00395FB4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395FB4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责任部门</w:t>
            </w:r>
          </w:p>
        </w:tc>
      </w:tr>
      <w:tr w:rsidR="00B429B8" w:rsidTr="00722C4B">
        <w:tc>
          <w:tcPr>
            <w:tcW w:w="16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家园生活课程</w:t>
            </w:r>
          </w:p>
        </w:tc>
        <w:tc>
          <w:tcPr>
            <w:tcW w:w="22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培养</w:t>
            </w:r>
            <w:r w:rsidRPr="00B429B8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小帮手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2693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家务劳动</w:t>
            </w:r>
          </w:p>
        </w:tc>
        <w:tc>
          <w:tcPr>
            <w:tcW w:w="1984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年级组、班主任</w:t>
            </w:r>
          </w:p>
        </w:tc>
      </w:tr>
      <w:tr w:rsidR="00B429B8" w:rsidTr="00722C4B">
        <w:tc>
          <w:tcPr>
            <w:tcW w:w="16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校园责任课程</w:t>
            </w:r>
          </w:p>
        </w:tc>
        <w:tc>
          <w:tcPr>
            <w:tcW w:w="22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强化</w:t>
            </w:r>
            <w:r w:rsidRPr="00B429B8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小主人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责任意识</w:t>
            </w:r>
          </w:p>
        </w:tc>
        <w:tc>
          <w:tcPr>
            <w:tcW w:w="2693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小岗位、志愿者、 包干区</w:t>
            </w:r>
          </w:p>
        </w:tc>
        <w:tc>
          <w:tcPr>
            <w:tcW w:w="1984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学生发展处</w:t>
            </w:r>
          </w:p>
        </w:tc>
      </w:tr>
      <w:tr w:rsidR="00B429B8" w:rsidTr="00722C4B">
        <w:tc>
          <w:tcPr>
            <w:tcW w:w="16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田园体验课程</w:t>
            </w:r>
          </w:p>
        </w:tc>
        <w:tc>
          <w:tcPr>
            <w:tcW w:w="2268" w:type="dxa"/>
          </w:tcPr>
          <w:p w:rsidR="00B429B8" w:rsidRDefault="005C6350" w:rsidP="00395FB4">
            <w:pPr>
              <w:snapToGrid w:val="0"/>
              <w:spacing w:line="440" w:lineRule="exac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C6350">
              <w:rPr>
                <w:rFonts w:ascii="宋体" w:hAnsi="宋体" w:hint="eastAsia"/>
                <w:color w:val="000000"/>
                <w:kern w:val="0"/>
                <w:sz w:val="24"/>
              </w:rPr>
              <w:t>拥有</w:t>
            </w:r>
            <w:r w:rsidR="00B429B8" w:rsidRPr="005C635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小农夫</w:t>
            </w:r>
            <w:r w:rsidR="00B429B8">
              <w:rPr>
                <w:rFonts w:ascii="宋体" w:hAnsi="宋体" w:hint="eastAsia"/>
                <w:color w:val="000000"/>
                <w:kern w:val="0"/>
                <w:sz w:val="24"/>
              </w:rPr>
              <w:t>情怀</w:t>
            </w:r>
          </w:p>
        </w:tc>
        <w:tc>
          <w:tcPr>
            <w:tcW w:w="2693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劳动实践基地（无土栽培、佳农生态园、吕丁稻场等）</w:t>
            </w:r>
          </w:p>
        </w:tc>
        <w:tc>
          <w:tcPr>
            <w:tcW w:w="1984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教师发展处（沈彩虹）</w:t>
            </w:r>
          </w:p>
        </w:tc>
      </w:tr>
      <w:tr w:rsidR="00B429B8" w:rsidTr="00722C4B">
        <w:tc>
          <w:tcPr>
            <w:tcW w:w="16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职园启蒙课程</w:t>
            </w:r>
          </w:p>
        </w:tc>
        <w:tc>
          <w:tcPr>
            <w:tcW w:w="22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培育</w:t>
            </w:r>
            <w:r w:rsidRPr="00B429B8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小工匠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精神</w:t>
            </w:r>
          </w:p>
        </w:tc>
        <w:tc>
          <w:tcPr>
            <w:tcW w:w="2693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职业体验（可以与华夏艺博园合作）</w:t>
            </w:r>
          </w:p>
        </w:tc>
        <w:tc>
          <w:tcPr>
            <w:tcW w:w="1984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学生发展处</w:t>
            </w:r>
          </w:p>
        </w:tc>
      </w:tr>
      <w:tr w:rsidR="00B429B8" w:rsidTr="00722C4B">
        <w:tc>
          <w:tcPr>
            <w:tcW w:w="16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创园生长课程</w:t>
            </w:r>
          </w:p>
        </w:tc>
        <w:tc>
          <w:tcPr>
            <w:tcW w:w="2268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提升</w:t>
            </w:r>
            <w:r w:rsidRPr="00B429B8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小创客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思维</w:t>
            </w:r>
          </w:p>
        </w:tc>
        <w:tc>
          <w:tcPr>
            <w:tcW w:w="2693" w:type="dxa"/>
          </w:tcPr>
          <w:p w:rsidR="00B429B8" w:rsidRDefault="00B429B8" w:rsidP="00395FB4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创新劳动、做学玩创</w:t>
            </w:r>
          </w:p>
        </w:tc>
        <w:tc>
          <w:tcPr>
            <w:tcW w:w="1984" w:type="dxa"/>
          </w:tcPr>
          <w:p w:rsidR="00B429B8" w:rsidRDefault="00B429B8" w:rsidP="00B429B8">
            <w:pPr>
              <w:snapToGrid w:val="0"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教师发展处（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顾海燕、刘刚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</w:tbl>
    <w:p w:rsidR="000447C5" w:rsidRDefault="000447C5" w:rsidP="000447C5">
      <w:pPr>
        <w:snapToGrid w:val="0"/>
        <w:spacing w:line="440" w:lineRule="exact"/>
        <w:ind w:firstLineChars="200" w:firstLine="482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日常落实：</w:t>
      </w:r>
      <w:r>
        <w:rPr>
          <w:rFonts w:ascii="宋体" w:hAnsi="宋体" w:hint="eastAsia"/>
          <w:color w:val="000000"/>
          <w:kern w:val="0"/>
          <w:sz w:val="24"/>
        </w:rPr>
        <w:t>各类课程群中的目标要解析成若干具体指标，形成最基本的立足点、突破点、生长点和成效点，全程指导，分段检测，落到日常。</w:t>
      </w:r>
    </w:p>
    <w:sectPr w:rsidR="000447C5" w:rsidSect="00C6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653759"/>
    <w:multiLevelType w:val="singleLevel"/>
    <w:tmpl w:val="FB65375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7A1379A2"/>
    <w:multiLevelType w:val="singleLevel"/>
    <w:tmpl w:val="FB65375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844"/>
    <w:rsid w:val="000447C5"/>
    <w:rsid w:val="000A20A6"/>
    <w:rsid w:val="000E2844"/>
    <w:rsid w:val="001466C2"/>
    <w:rsid w:val="002912A1"/>
    <w:rsid w:val="002D771D"/>
    <w:rsid w:val="00395FB4"/>
    <w:rsid w:val="003C3C98"/>
    <w:rsid w:val="00437409"/>
    <w:rsid w:val="00513ABF"/>
    <w:rsid w:val="005C1A39"/>
    <w:rsid w:val="005C6350"/>
    <w:rsid w:val="00722C4B"/>
    <w:rsid w:val="00833D7F"/>
    <w:rsid w:val="00841A0F"/>
    <w:rsid w:val="008717D5"/>
    <w:rsid w:val="008B3D59"/>
    <w:rsid w:val="008E4B12"/>
    <w:rsid w:val="00984D25"/>
    <w:rsid w:val="00AA4BCF"/>
    <w:rsid w:val="00B04DD1"/>
    <w:rsid w:val="00B429B8"/>
    <w:rsid w:val="00BA246D"/>
    <w:rsid w:val="00BB4626"/>
    <w:rsid w:val="00C41F73"/>
    <w:rsid w:val="00C622C8"/>
    <w:rsid w:val="00CF5F02"/>
    <w:rsid w:val="00D57E48"/>
    <w:rsid w:val="00D6363F"/>
    <w:rsid w:val="00E9770B"/>
    <w:rsid w:val="00ED5FF9"/>
    <w:rsid w:val="00F67AB8"/>
    <w:rsid w:val="00FE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4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44"/>
    <w:pPr>
      <w:ind w:firstLineChars="200" w:firstLine="420"/>
    </w:pPr>
  </w:style>
  <w:style w:type="paragraph" w:styleId="a4">
    <w:name w:val="Normal (Web)"/>
    <w:basedOn w:val="a"/>
    <w:qFormat/>
    <w:rsid w:val="00D57E48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D57E4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57E4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B04D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7D31B3-3808-4FBA-8FA4-CC8D448A173E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47C757F0-AA23-46BE-9311-EA432CDEEAA1}">
      <dgm:prSet phldrT="[文本]" phldr="0" custT="1">
        <dgm:style>
          <a:lnRef idx="2">
            <a:srgbClr val="2F528F">
              <a:shade val="50000"/>
            </a:srgbClr>
          </a:lnRef>
          <a:fillRef idx="1">
            <a:srgbClr val="4472C4"/>
          </a:fillRef>
          <a:effectRef idx="0">
            <a:srgbClr val="4472C4"/>
          </a:effectRef>
          <a:fontRef idx="minor">
            <a:srgbClr val="FFFFFF"/>
          </a:fontRef>
        </dgm:style>
      </dgm:prSet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/>
            <a:t>每月研训活动</a:t>
          </a:r>
        </a:p>
      </dgm:t>
    </dgm:pt>
    <dgm:pt modelId="{AB39B06D-FE6C-48B2-B5B4-77CD0C8CF7AD}" type="parTrans" cxnId="{0ED29F34-48F1-4B2F-8D26-363F0B28834F}">
      <dgm:prSet/>
      <dgm:spPr/>
      <dgm:t>
        <a:bodyPr/>
        <a:lstStyle/>
        <a:p>
          <a:endParaRPr lang="zh-CN" altLang="en-US"/>
        </a:p>
      </dgm:t>
    </dgm:pt>
    <dgm:pt modelId="{DF0D1C21-B79E-4875-B7FA-EF183CB48B88}" type="sibTrans" cxnId="{0ED29F34-48F1-4B2F-8D26-363F0B28834F}">
      <dgm:prSet/>
      <dgm:spPr/>
      <dgm:t>
        <a:bodyPr/>
        <a:lstStyle/>
        <a:p>
          <a:endParaRPr lang="zh-CN" altLang="en-US"/>
        </a:p>
      </dgm:t>
    </dgm:pt>
    <dgm:pt modelId="{B29BF47F-FB6F-4BB3-8B1F-25C507DDACF5}" type="asst">
      <dgm:prSet phldrT="[文本]" phldr="0" custT="1">
        <dgm:style>
          <a:lnRef idx="2">
            <a:srgbClr val="507E32">
              <a:shade val="50000"/>
            </a:srgbClr>
          </a:lnRef>
          <a:fillRef idx="1">
            <a:srgbClr val="70AD47"/>
          </a:fillRef>
          <a:effectRef idx="0">
            <a:srgbClr val="70AD47"/>
          </a:effectRef>
          <a:fontRef idx="minor">
            <a:srgbClr val="FFFFFF"/>
          </a:fontRef>
        </dgm:style>
      </dgm:prSet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/>
            <a:t>一月一次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/>
            <a:t>青年教师成长营活动</a:t>
          </a:r>
        </a:p>
      </dgm:t>
    </dgm:pt>
    <dgm:pt modelId="{4294CB15-5EAF-442A-BADC-24588A60ECFF}" type="parTrans" cxnId="{2AECFD0F-3E59-4820-9F90-DAB21C7EDFBF}">
      <dgm:prSet/>
      <dgm:spPr/>
      <dgm:t>
        <a:bodyPr/>
        <a:lstStyle/>
        <a:p>
          <a:endParaRPr lang="zh-CN" altLang="en-US"/>
        </a:p>
      </dgm:t>
    </dgm:pt>
    <dgm:pt modelId="{4FBEC948-3FA9-4375-B83A-B44348E5F34D}" type="sibTrans" cxnId="{2AECFD0F-3E59-4820-9F90-DAB21C7EDFBF}">
      <dgm:prSet/>
      <dgm:spPr/>
      <dgm:t>
        <a:bodyPr/>
        <a:lstStyle/>
        <a:p>
          <a:endParaRPr lang="zh-CN" altLang="en-US"/>
        </a:p>
      </dgm:t>
    </dgm:pt>
    <dgm:pt modelId="{12714FC6-8B41-47E5-91DD-F02D34D23B93}">
      <dgm:prSet phldrT="[文本]" phldr="0" custT="1">
        <dgm:style>
          <a:lnRef idx="1">
            <a:srgbClr val="5B9BD5"/>
          </a:lnRef>
          <a:fillRef idx="2">
            <a:srgbClr val="5B9BD5"/>
          </a:fillRef>
          <a:effectRef idx="1">
            <a:srgbClr val="5B9BD5"/>
          </a:effectRef>
          <a:fontRef idx="minor">
            <a:srgbClr val="000000"/>
          </a:fontRef>
        </dgm:style>
      </dgm:prSet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/>
            <a:t>第一周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/>
            <a:t>第一节课：组内理论学习、分享智慧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/>
            <a:t>第二节课：教研组长月例会</a:t>
          </a:r>
        </a:p>
      </dgm:t>
    </dgm:pt>
    <dgm:pt modelId="{EACD17F5-D793-4A43-B489-D1804D50CFEF}" type="parTrans" cxnId="{765723F6-536A-4CC4-8D11-FDE830AA5115}">
      <dgm:prSet/>
      <dgm:spPr/>
      <dgm:t>
        <a:bodyPr/>
        <a:lstStyle/>
        <a:p>
          <a:endParaRPr lang="zh-CN" altLang="en-US"/>
        </a:p>
      </dgm:t>
    </dgm:pt>
    <dgm:pt modelId="{FA45D93F-0724-4936-AA45-E6762732A19D}" type="sibTrans" cxnId="{765723F6-536A-4CC4-8D11-FDE830AA5115}">
      <dgm:prSet/>
      <dgm:spPr/>
      <dgm:t>
        <a:bodyPr/>
        <a:lstStyle/>
        <a:p>
          <a:endParaRPr lang="zh-CN" altLang="en-US"/>
        </a:p>
      </dgm:t>
    </dgm:pt>
    <dgm:pt modelId="{4EC42421-831D-4CD3-8215-2AF4300F9C01}">
      <dgm:prSet phldrT="[文本]" phldr="0" custT="0">
        <dgm:style>
          <a:lnRef idx="1">
            <a:srgbClr val="5B9BD5"/>
          </a:lnRef>
          <a:fillRef idx="2">
            <a:srgbClr val="5B9BD5"/>
          </a:fillRef>
          <a:effectRef idx="1">
            <a:srgbClr val="5B9BD5"/>
          </a:effectRef>
          <a:fontRef idx="minor">
            <a:srgbClr val="000000"/>
          </a:fontRef>
        </dgm:style>
      </dgm:prSet>
      <dgm:spPr/>
      <dgm:t>
        <a:bodyPr vert="horz" wrap="square"/>
        <a:lstStyle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第二周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组内课堂实践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两节课</a:t>
          </a:r>
          <a:r>
            <a:rPr lang="en-US" altLang="zh-CN"/>
            <a:t>——</a:t>
          </a:r>
          <a:r>
            <a:rPr lang="zh-CN" altLang="en-US"/>
            <a:t>评课、议课</a:t>
          </a:r>
        </a:p>
      </dgm:t>
    </dgm:pt>
    <dgm:pt modelId="{8D5FB264-0A5C-4C3A-85B7-453D9BD837DF}" type="parTrans" cxnId="{6EA2A7EE-49FF-4116-B81C-D108599D645E}">
      <dgm:prSet/>
      <dgm:spPr/>
      <dgm:t>
        <a:bodyPr/>
        <a:lstStyle/>
        <a:p>
          <a:endParaRPr lang="zh-CN" altLang="en-US"/>
        </a:p>
      </dgm:t>
    </dgm:pt>
    <dgm:pt modelId="{A1825131-D805-48C8-BFCE-E45C02E6F5CE}" type="sibTrans" cxnId="{6EA2A7EE-49FF-4116-B81C-D108599D645E}">
      <dgm:prSet/>
      <dgm:spPr/>
      <dgm:t>
        <a:bodyPr/>
        <a:lstStyle/>
        <a:p>
          <a:endParaRPr lang="zh-CN" altLang="en-US"/>
        </a:p>
      </dgm:t>
    </dgm:pt>
    <dgm:pt modelId="{CF717C8A-B40B-4AFF-BF49-65ABB7DF8190}">
      <dgm:prSet phldrT="[文本]" phldr="0" custT="0">
        <dgm:style>
          <a:lnRef idx="1">
            <a:srgbClr val="5B9BD5"/>
          </a:lnRef>
          <a:fillRef idx="2">
            <a:srgbClr val="5B9BD5"/>
          </a:fillRef>
          <a:effectRef idx="1">
            <a:srgbClr val="5B9BD5"/>
          </a:effectRef>
          <a:fontRef idx="minor">
            <a:srgbClr val="000000"/>
          </a:fontRef>
        </dgm:style>
      </dgm:prSet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第三周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常规检查（作业、备课、课堂调研、早读、质量分析）</a:t>
          </a:r>
        </a:p>
      </dgm:t>
    </dgm:pt>
    <dgm:pt modelId="{CCF68ADE-40B6-47D0-93C1-88EC13ADC8AC}" type="parTrans" cxnId="{15070966-5BAF-48A4-A239-CE23009FEF9A}">
      <dgm:prSet/>
      <dgm:spPr/>
      <dgm:t>
        <a:bodyPr/>
        <a:lstStyle/>
        <a:p>
          <a:endParaRPr lang="zh-CN" altLang="en-US"/>
        </a:p>
      </dgm:t>
    </dgm:pt>
    <dgm:pt modelId="{630D3E0B-D1D7-4E1A-8193-515AA5E1866F}" type="sibTrans" cxnId="{15070966-5BAF-48A4-A239-CE23009FEF9A}">
      <dgm:prSet/>
      <dgm:spPr/>
      <dgm:t>
        <a:bodyPr/>
        <a:lstStyle/>
        <a:p>
          <a:endParaRPr lang="zh-CN" altLang="en-US"/>
        </a:p>
      </dgm:t>
    </dgm:pt>
    <dgm:pt modelId="{602C84B5-07E2-495E-B00F-696B405DA89B}">
      <dgm:prSet phldr="0" custT="0">
        <dgm:style>
          <a:lnRef idx="1">
            <a:srgbClr val="5B9BD5"/>
          </a:lnRef>
          <a:fillRef idx="2">
            <a:srgbClr val="5B9BD5"/>
          </a:fillRef>
          <a:effectRef idx="1">
            <a:srgbClr val="5B9BD5"/>
          </a:effectRef>
          <a:fontRef idx="minor">
            <a:srgbClr val="000000"/>
          </a:fontRef>
        </dgm:style>
      </dgm:prSet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第四周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学科组开放活动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示范课、研究课、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汇报课、沙龙</a:t>
          </a:r>
        </a:p>
      </dgm:t>
    </dgm:pt>
    <dgm:pt modelId="{50C1D465-9488-4374-A867-7A9EC868AA81}" type="parTrans" cxnId="{7741053D-952E-4F38-BBA6-FDED0DA4A480}">
      <dgm:prSet/>
      <dgm:spPr/>
      <dgm:t>
        <a:bodyPr/>
        <a:lstStyle/>
        <a:p>
          <a:endParaRPr lang="zh-CN" altLang="en-US"/>
        </a:p>
      </dgm:t>
    </dgm:pt>
    <dgm:pt modelId="{D4A96547-5D1C-4027-9305-A4FA8975AD3A}" type="sibTrans" cxnId="{7741053D-952E-4F38-BBA6-FDED0DA4A480}">
      <dgm:prSet/>
      <dgm:spPr/>
      <dgm:t>
        <a:bodyPr/>
        <a:lstStyle/>
        <a:p>
          <a:endParaRPr lang="zh-CN" altLang="en-US"/>
        </a:p>
      </dgm:t>
    </dgm:pt>
    <dgm:pt modelId="{E498DC9C-C5AC-4482-A26F-3B99DC5D79F0}" type="pres">
      <dgm:prSet presAssocID="{A77D31B3-3808-4FBA-8FA4-CC8D448A17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F728C3E8-5128-4BB6-90CC-A86769ECE335}" type="pres">
      <dgm:prSet presAssocID="{47C757F0-AA23-46BE-9311-EA432CDEEAA1}" presName="hierRoot1" presStyleCnt="0">
        <dgm:presLayoutVars>
          <dgm:hierBranch val="init"/>
        </dgm:presLayoutVars>
      </dgm:prSet>
      <dgm:spPr/>
    </dgm:pt>
    <dgm:pt modelId="{79147750-B6BF-43FD-83A0-7ACDC9B53EFF}" type="pres">
      <dgm:prSet presAssocID="{47C757F0-AA23-46BE-9311-EA432CDEEAA1}" presName="rootComposite1" presStyleCnt="0"/>
      <dgm:spPr/>
      <dgm:t>
        <a:bodyPr/>
        <a:lstStyle/>
        <a:p>
          <a:endParaRPr lang="zh-CN" altLang="en-US"/>
        </a:p>
      </dgm:t>
    </dgm:pt>
    <dgm:pt modelId="{AE79172D-D441-42BB-84EA-E3D989670DED}" type="pres">
      <dgm:prSet presAssocID="{47C757F0-AA23-46BE-9311-EA432CDEEAA1}" presName="rootText1" presStyleLbl="node0" presStyleIdx="0" presStyleCnt="1" custScaleY="7023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6420519-308D-4A6A-8FEA-6FB2E39BA448}" type="pres">
      <dgm:prSet presAssocID="{47C757F0-AA23-46BE-9311-EA432CDEEAA1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9A0FF10C-81C7-47CD-A320-768F2009480B}" type="pres">
      <dgm:prSet presAssocID="{47C757F0-AA23-46BE-9311-EA432CDEEAA1}" presName="hierChild2" presStyleCnt="0"/>
      <dgm:spPr/>
    </dgm:pt>
    <dgm:pt modelId="{6A259130-4455-44E0-969B-948D1249687E}" type="pres">
      <dgm:prSet presAssocID="{EACD17F5-D793-4A43-B489-D1804D50CFEF}" presName="Name37" presStyleLbl="parChTrans1D2" presStyleIdx="0" presStyleCnt="5"/>
      <dgm:spPr/>
      <dgm:t>
        <a:bodyPr/>
        <a:lstStyle/>
        <a:p>
          <a:endParaRPr lang="zh-CN" altLang="en-US"/>
        </a:p>
      </dgm:t>
    </dgm:pt>
    <dgm:pt modelId="{D6C5C065-A308-417C-8ECC-04FC2BEC646C}" type="pres">
      <dgm:prSet presAssocID="{12714FC6-8B41-47E5-91DD-F02D34D23B93}" presName="hierRoot2" presStyleCnt="0">
        <dgm:presLayoutVars>
          <dgm:hierBranch val="init"/>
        </dgm:presLayoutVars>
      </dgm:prSet>
      <dgm:spPr/>
    </dgm:pt>
    <dgm:pt modelId="{E36491EF-5019-46FD-BC82-1BD579B9EE0E}" type="pres">
      <dgm:prSet presAssocID="{12714FC6-8B41-47E5-91DD-F02D34D23B93}" presName="rootComposite" presStyleCnt="0"/>
      <dgm:spPr/>
      <dgm:t>
        <a:bodyPr/>
        <a:lstStyle/>
        <a:p>
          <a:endParaRPr lang="zh-CN" altLang="en-US"/>
        </a:p>
      </dgm:t>
    </dgm:pt>
    <dgm:pt modelId="{43B7C837-49D6-40CE-BBAB-953D9E4BA7ED}" type="pres">
      <dgm:prSet presAssocID="{12714FC6-8B41-47E5-91DD-F02D34D23B93}" presName="rootText" presStyleLbl="node2" presStyleIdx="0" presStyleCnt="4" custScaleY="12702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A037140-9B69-4B9F-A134-F2F2EB0F2E32}" type="pres">
      <dgm:prSet presAssocID="{12714FC6-8B41-47E5-91DD-F02D34D23B93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FA37AA5D-87C2-47F6-9B72-B753C073E744}" type="pres">
      <dgm:prSet presAssocID="{12714FC6-8B41-47E5-91DD-F02D34D23B93}" presName="hierChild4" presStyleCnt="0"/>
      <dgm:spPr/>
    </dgm:pt>
    <dgm:pt modelId="{A7309641-2A58-41EA-9E42-56812CF298ED}" type="pres">
      <dgm:prSet presAssocID="{12714FC6-8B41-47E5-91DD-F02D34D23B93}" presName="hierChild5" presStyleCnt="0"/>
      <dgm:spPr/>
    </dgm:pt>
    <dgm:pt modelId="{F492B679-3C8C-4E72-95A8-8B81298826E7}" type="pres">
      <dgm:prSet presAssocID="{8D5FB264-0A5C-4C3A-85B7-453D9BD837DF}" presName="Name37" presStyleLbl="parChTrans1D2" presStyleIdx="1" presStyleCnt="5"/>
      <dgm:spPr/>
      <dgm:t>
        <a:bodyPr/>
        <a:lstStyle/>
        <a:p>
          <a:endParaRPr lang="zh-CN" altLang="en-US"/>
        </a:p>
      </dgm:t>
    </dgm:pt>
    <dgm:pt modelId="{C6F584B9-7EA2-46D8-913B-8F508509ECAB}" type="pres">
      <dgm:prSet presAssocID="{4EC42421-831D-4CD3-8215-2AF4300F9C01}" presName="hierRoot2" presStyleCnt="0">
        <dgm:presLayoutVars>
          <dgm:hierBranch val="init"/>
        </dgm:presLayoutVars>
      </dgm:prSet>
      <dgm:spPr/>
    </dgm:pt>
    <dgm:pt modelId="{6CAD9CE6-86A1-4F7D-98A6-3AF53F55F9E3}" type="pres">
      <dgm:prSet presAssocID="{4EC42421-831D-4CD3-8215-2AF4300F9C01}" presName="rootComposite" presStyleCnt="0"/>
      <dgm:spPr/>
      <dgm:t>
        <a:bodyPr/>
        <a:lstStyle/>
        <a:p>
          <a:endParaRPr lang="zh-CN" altLang="en-US"/>
        </a:p>
      </dgm:t>
    </dgm:pt>
    <dgm:pt modelId="{08A0D1D2-3A20-4D63-8E35-B7C8B6B16D48}" type="pres">
      <dgm:prSet presAssocID="{4EC42421-831D-4CD3-8215-2AF4300F9C01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238C53E-A961-488B-8FBD-6EC13507B069}" type="pres">
      <dgm:prSet presAssocID="{4EC42421-831D-4CD3-8215-2AF4300F9C01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A9C46FD3-3BE9-4E6E-BFF6-B0B42B13F857}" type="pres">
      <dgm:prSet presAssocID="{4EC42421-831D-4CD3-8215-2AF4300F9C01}" presName="hierChild4" presStyleCnt="0"/>
      <dgm:spPr/>
    </dgm:pt>
    <dgm:pt modelId="{A663BBFB-A120-4F5B-82EC-DB644DB9966B}" type="pres">
      <dgm:prSet presAssocID="{4EC42421-831D-4CD3-8215-2AF4300F9C01}" presName="hierChild5" presStyleCnt="0"/>
      <dgm:spPr/>
    </dgm:pt>
    <dgm:pt modelId="{AB3A8128-6C86-49B7-B5CC-0153888815E5}" type="pres">
      <dgm:prSet presAssocID="{CCF68ADE-40B6-47D0-93C1-88EC13ADC8AC}" presName="Name37" presStyleLbl="parChTrans1D2" presStyleIdx="2" presStyleCnt="5"/>
      <dgm:spPr/>
      <dgm:t>
        <a:bodyPr/>
        <a:lstStyle/>
        <a:p>
          <a:endParaRPr lang="zh-CN" altLang="en-US"/>
        </a:p>
      </dgm:t>
    </dgm:pt>
    <dgm:pt modelId="{1A917F9A-DDE6-4568-B35C-7FABCEF0A586}" type="pres">
      <dgm:prSet presAssocID="{CF717C8A-B40B-4AFF-BF49-65ABB7DF8190}" presName="hierRoot2" presStyleCnt="0">
        <dgm:presLayoutVars>
          <dgm:hierBranch val="init"/>
        </dgm:presLayoutVars>
      </dgm:prSet>
      <dgm:spPr/>
    </dgm:pt>
    <dgm:pt modelId="{FA949B67-3DB7-47FA-97C9-4A653E762F22}" type="pres">
      <dgm:prSet presAssocID="{CF717C8A-B40B-4AFF-BF49-65ABB7DF8190}" presName="rootComposite" presStyleCnt="0"/>
      <dgm:spPr/>
      <dgm:t>
        <a:bodyPr/>
        <a:lstStyle/>
        <a:p>
          <a:endParaRPr lang="zh-CN" altLang="en-US"/>
        </a:p>
      </dgm:t>
    </dgm:pt>
    <dgm:pt modelId="{7D64F4A3-0E55-47AC-A59B-9D5A9DC25552}" type="pres">
      <dgm:prSet presAssocID="{CF717C8A-B40B-4AFF-BF49-65ABB7DF819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667CB49-EC34-46BC-AD2D-72F3BD95D049}" type="pres">
      <dgm:prSet presAssocID="{CF717C8A-B40B-4AFF-BF49-65ABB7DF8190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EB3A10DA-2FA4-4DAD-8341-8078D7F83716}" type="pres">
      <dgm:prSet presAssocID="{CF717C8A-B40B-4AFF-BF49-65ABB7DF8190}" presName="hierChild4" presStyleCnt="0"/>
      <dgm:spPr/>
    </dgm:pt>
    <dgm:pt modelId="{B05C5608-85C8-433E-A928-1755312B673B}" type="pres">
      <dgm:prSet presAssocID="{CF717C8A-B40B-4AFF-BF49-65ABB7DF8190}" presName="hierChild5" presStyleCnt="0"/>
      <dgm:spPr/>
    </dgm:pt>
    <dgm:pt modelId="{56157A8A-FE9D-4245-9ADE-2EE24E361497}" type="pres">
      <dgm:prSet presAssocID="{50C1D465-9488-4374-A867-7A9EC868AA81}" presName="Name37" presStyleLbl="parChTrans1D2" presStyleIdx="3" presStyleCnt="5"/>
      <dgm:spPr/>
    </dgm:pt>
    <dgm:pt modelId="{9499E001-A794-4D62-B28F-923F124D19A1}" type="pres">
      <dgm:prSet presAssocID="{602C84B5-07E2-495E-B00F-696B405DA89B}" presName="hierRoot2" presStyleCnt="0">
        <dgm:presLayoutVars>
          <dgm:hierBranch val="init"/>
        </dgm:presLayoutVars>
      </dgm:prSet>
      <dgm:spPr/>
    </dgm:pt>
    <dgm:pt modelId="{63B1F9A3-9123-4D64-8FCE-25135CDA6DAC}" type="pres">
      <dgm:prSet presAssocID="{602C84B5-07E2-495E-B00F-696B405DA89B}" presName="rootComposite" presStyleCnt="0"/>
      <dgm:spPr/>
      <dgm:t>
        <a:bodyPr/>
        <a:lstStyle/>
        <a:p>
          <a:endParaRPr lang="zh-CN" altLang="en-US"/>
        </a:p>
      </dgm:t>
    </dgm:pt>
    <dgm:pt modelId="{4BD6996B-816D-49E0-A992-1E4390132262}" type="pres">
      <dgm:prSet presAssocID="{602C84B5-07E2-495E-B00F-696B405DA89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4A166A7-EBC1-4FA8-A568-0987DE83A2D4}" type="pres">
      <dgm:prSet presAssocID="{602C84B5-07E2-495E-B00F-696B405DA89B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4FF773DD-D4F7-4DA6-B392-AF29E10A92A5}" type="pres">
      <dgm:prSet presAssocID="{602C84B5-07E2-495E-B00F-696B405DA89B}" presName="hierChild4" presStyleCnt="0"/>
      <dgm:spPr/>
    </dgm:pt>
    <dgm:pt modelId="{9AD7BA72-0F29-4C89-8A1F-F5511D7A8294}" type="pres">
      <dgm:prSet presAssocID="{602C84B5-07E2-495E-B00F-696B405DA89B}" presName="hierChild5" presStyleCnt="0"/>
      <dgm:spPr/>
    </dgm:pt>
    <dgm:pt modelId="{0E819307-1B4E-434E-BA76-D5A4192B0663}" type="pres">
      <dgm:prSet presAssocID="{47C757F0-AA23-46BE-9311-EA432CDEEAA1}" presName="hierChild3" presStyleCnt="0"/>
      <dgm:spPr/>
    </dgm:pt>
    <dgm:pt modelId="{7CC60CE2-51D0-47DE-A469-FE4884597341}" type="pres">
      <dgm:prSet presAssocID="{4294CB15-5EAF-442A-BADC-24588A60ECFF}" presName="Name111" presStyleLbl="parChTrans1D2" presStyleIdx="4" presStyleCnt="5"/>
      <dgm:spPr/>
      <dgm:t>
        <a:bodyPr/>
        <a:lstStyle/>
        <a:p>
          <a:endParaRPr lang="zh-CN" altLang="en-US"/>
        </a:p>
      </dgm:t>
    </dgm:pt>
    <dgm:pt modelId="{2C28615C-654F-4C05-9383-C72EAED46321}" type="pres">
      <dgm:prSet presAssocID="{B29BF47F-FB6F-4BB3-8B1F-25C507DDACF5}" presName="hierRoot3" presStyleCnt="0">
        <dgm:presLayoutVars>
          <dgm:hierBranch val="init"/>
        </dgm:presLayoutVars>
      </dgm:prSet>
      <dgm:spPr/>
    </dgm:pt>
    <dgm:pt modelId="{531B400A-09FB-4AC6-91D5-6C58DB555D6A}" type="pres">
      <dgm:prSet presAssocID="{B29BF47F-FB6F-4BB3-8B1F-25C507DDACF5}" presName="rootComposite3" presStyleCnt="0"/>
      <dgm:spPr/>
      <dgm:t>
        <a:bodyPr/>
        <a:lstStyle/>
        <a:p>
          <a:endParaRPr lang="zh-CN" altLang="en-US"/>
        </a:p>
      </dgm:t>
    </dgm:pt>
    <dgm:pt modelId="{15F46F7C-8483-49B2-9069-BD47518FA3C5}" type="pres">
      <dgm:prSet presAssocID="{B29BF47F-FB6F-4BB3-8B1F-25C507DDACF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4CA6990-2D5D-47C3-9020-DF2944DEADCF}" type="pres">
      <dgm:prSet presAssocID="{B29BF47F-FB6F-4BB3-8B1F-25C507DDACF5}" presName="rootConnector3" presStyleLbl="asst1" presStyleIdx="0" presStyleCnt="1"/>
      <dgm:spPr/>
      <dgm:t>
        <a:bodyPr/>
        <a:lstStyle/>
        <a:p>
          <a:endParaRPr lang="zh-CN" altLang="en-US"/>
        </a:p>
      </dgm:t>
    </dgm:pt>
    <dgm:pt modelId="{0851F80F-8C6D-4400-A85F-BC390C21E4EE}" type="pres">
      <dgm:prSet presAssocID="{B29BF47F-FB6F-4BB3-8B1F-25C507DDACF5}" presName="hierChild6" presStyleCnt="0"/>
      <dgm:spPr/>
    </dgm:pt>
    <dgm:pt modelId="{3025C0A7-DA6F-4394-8167-7956EFF162F0}" type="pres">
      <dgm:prSet presAssocID="{B29BF47F-FB6F-4BB3-8B1F-25C507DDACF5}" presName="hierChild7" presStyleCnt="0"/>
      <dgm:spPr/>
    </dgm:pt>
  </dgm:ptLst>
  <dgm:cxnLst>
    <dgm:cxn modelId="{2AECFD0F-3E59-4820-9F90-DAB21C7EDFBF}" srcId="{47C757F0-AA23-46BE-9311-EA432CDEEAA1}" destId="{B29BF47F-FB6F-4BB3-8B1F-25C507DDACF5}" srcOrd="0" destOrd="0" parTransId="{4294CB15-5EAF-442A-BADC-24588A60ECFF}" sibTransId="{4FBEC948-3FA9-4375-B83A-B44348E5F34D}"/>
    <dgm:cxn modelId="{365824DE-AB56-412E-832B-194CBE4793EB}" type="presOf" srcId="{A77D31B3-3808-4FBA-8FA4-CC8D448A173E}" destId="{E498DC9C-C5AC-4482-A26F-3B99DC5D79F0}" srcOrd="0" destOrd="0" presId="urn:microsoft.com/office/officeart/2005/8/layout/orgChart1#1"/>
    <dgm:cxn modelId="{0ED29F34-48F1-4B2F-8D26-363F0B28834F}" srcId="{A77D31B3-3808-4FBA-8FA4-CC8D448A173E}" destId="{47C757F0-AA23-46BE-9311-EA432CDEEAA1}" srcOrd="0" destOrd="0" parTransId="{AB39B06D-FE6C-48B2-B5B4-77CD0C8CF7AD}" sibTransId="{DF0D1C21-B79E-4875-B7FA-EF183CB48B88}"/>
    <dgm:cxn modelId="{0CE92CE8-64EC-4360-A7FF-B1FD3CC82A14}" type="presOf" srcId="{CF717C8A-B40B-4AFF-BF49-65ABB7DF8190}" destId="{7D64F4A3-0E55-47AC-A59B-9D5A9DC25552}" srcOrd="0" destOrd="0" presId="urn:microsoft.com/office/officeart/2005/8/layout/orgChart1#1"/>
    <dgm:cxn modelId="{F649FE52-BFAB-4CFF-AFEA-AA3717E8C3F4}" type="presOf" srcId="{CF717C8A-B40B-4AFF-BF49-65ABB7DF8190}" destId="{5667CB49-EC34-46BC-AD2D-72F3BD95D049}" srcOrd="1" destOrd="0" presId="urn:microsoft.com/office/officeart/2005/8/layout/orgChart1#1"/>
    <dgm:cxn modelId="{1DE3CF0E-2B1B-4D8E-9F5D-B9F5C43CF7A0}" type="presOf" srcId="{8D5FB264-0A5C-4C3A-85B7-453D9BD837DF}" destId="{F492B679-3C8C-4E72-95A8-8B81298826E7}" srcOrd="0" destOrd="0" presId="urn:microsoft.com/office/officeart/2005/8/layout/orgChart1#1"/>
    <dgm:cxn modelId="{583366F9-8574-4878-A6C0-87D59F84D29C}" type="presOf" srcId="{12714FC6-8B41-47E5-91DD-F02D34D23B93}" destId="{43B7C837-49D6-40CE-BBAB-953D9E4BA7ED}" srcOrd="0" destOrd="0" presId="urn:microsoft.com/office/officeart/2005/8/layout/orgChart1#1"/>
    <dgm:cxn modelId="{765723F6-536A-4CC4-8D11-FDE830AA5115}" srcId="{47C757F0-AA23-46BE-9311-EA432CDEEAA1}" destId="{12714FC6-8B41-47E5-91DD-F02D34D23B93}" srcOrd="1" destOrd="0" parTransId="{EACD17F5-D793-4A43-B489-D1804D50CFEF}" sibTransId="{FA45D93F-0724-4936-AA45-E6762732A19D}"/>
    <dgm:cxn modelId="{725EECA8-F433-402F-AB3C-6B2EE90439C5}" type="presOf" srcId="{4EC42421-831D-4CD3-8215-2AF4300F9C01}" destId="{08A0D1D2-3A20-4D63-8E35-B7C8B6B16D48}" srcOrd="0" destOrd="0" presId="urn:microsoft.com/office/officeart/2005/8/layout/orgChart1#1"/>
    <dgm:cxn modelId="{8D4576D0-2B18-47A8-A0FC-2EB77AD565B5}" type="presOf" srcId="{CCF68ADE-40B6-47D0-93C1-88EC13ADC8AC}" destId="{AB3A8128-6C86-49B7-B5CC-0153888815E5}" srcOrd="0" destOrd="0" presId="urn:microsoft.com/office/officeart/2005/8/layout/orgChart1#1"/>
    <dgm:cxn modelId="{86036DAC-2C54-4318-8261-30FAD9727221}" type="presOf" srcId="{B29BF47F-FB6F-4BB3-8B1F-25C507DDACF5}" destId="{15F46F7C-8483-49B2-9069-BD47518FA3C5}" srcOrd="0" destOrd="0" presId="urn:microsoft.com/office/officeart/2005/8/layout/orgChart1#1"/>
    <dgm:cxn modelId="{396C2690-CA52-48E1-8777-4DC905D1B766}" type="presOf" srcId="{12714FC6-8B41-47E5-91DD-F02D34D23B93}" destId="{9A037140-9B69-4B9F-A134-F2F2EB0F2E32}" srcOrd="1" destOrd="0" presId="urn:microsoft.com/office/officeart/2005/8/layout/orgChart1#1"/>
    <dgm:cxn modelId="{B414661D-FBBD-4CBD-8C85-7AFCEEE10958}" type="presOf" srcId="{602C84B5-07E2-495E-B00F-696B405DA89B}" destId="{B4A166A7-EBC1-4FA8-A568-0987DE83A2D4}" srcOrd="1" destOrd="0" presId="urn:microsoft.com/office/officeart/2005/8/layout/orgChart1#1"/>
    <dgm:cxn modelId="{08E03E19-A1B4-44CD-9E14-F6C0766D3751}" type="presOf" srcId="{4EC42421-831D-4CD3-8215-2AF4300F9C01}" destId="{6238C53E-A961-488B-8FBD-6EC13507B069}" srcOrd="1" destOrd="0" presId="urn:microsoft.com/office/officeart/2005/8/layout/orgChart1#1"/>
    <dgm:cxn modelId="{D6E11FD9-F203-4DF4-A221-6FF6C970DEC5}" type="presOf" srcId="{47C757F0-AA23-46BE-9311-EA432CDEEAA1}" destId="{AE79172D-D441-42BB-84EA-E3D989670DED}" srcOrd="0" destOrd="0" presId="urn:microsoft.com/office/officeart/2005/8/layout/orgChart1#1"/>
    <dgm:cxn modelId="{20ACB3FB-C598-4A87-8E36-E0D2423D1987}" type="presOf" srcId="{4294CB15-5EAF-442A-BADC-24588A60ECFF}" destId="{7CC60CE2-51D0-47DE-A469-FE4884597341}" srcOrd="0" destOrd="0" presId="urn:microsoft.com/office/officeart/2005/8/layout/orgChart1#1"/>
    <dgm:cxn modelId="{91E9B9EE-3268-41E4-8779-4E3E17C9F570}" type="presOf" srcId="{602C84B5-07E2-495E-B00F-696B405DA89B}" destId="{4BD6996B-816D-49E0-A992-1E4390132262}" srcOrd="0" destOrd="0" presId="urn:microsoft.com/office/officeart/2005/8/layout/orgChart1#1"/>
    <dgm:cxn modelId="{AE3EB7A8-BF37-48F7-9FE9-40C6F1DC8CAB}" type="presOf" srcId="{EACD17F5-D793-4A43-B489-D1804D50CFEF}" destId="{6A259130-4455-44E0-969B-948D1249687E}" srcOrd="0" destOrd="0" presId="urn:microsoft.com/office/officeart/2005/8/layout/orgChart1#1"/>
    <dgm:cxn modelId="{15070966-5BAF-48A4-A239-CE23009FEF9A}" srcId="{47C757F0-AA23-46BE-9311-EA432CDEEAA1}" destId="{CF717C8A-B40B-4AFF-BF49-65ABB7DF8190}" srcOrd="3" destOrd="0" parTransId="{CCF68ADE-40B6-47D0-93C1-88EC13ADC8AC}" sibTransId="{630D3E0B-D1D7-4E1A-8193-515AA5E1866F}"/>
    <dgm:cxn modelId="{E2B17FCA-358F-4BE0-8876-7A6CC7FCB5C6}" type="presOf" srcId="{47C757F0-AA23-46BE-9311-EA432CDEEAA1}" destId="{86420519-308D-4A6A-8FEA-6FB2E39BA448}" srcOrd="1" destOrd="0" presId="urn:microsoft.com/office/officeart/2005/8/layout/orgChart1#1"/>
    <dgm:cxn modelId="{7741053D-952E-4F38-BBA6-FDED0DA4A480}" srcId="{47C757F0-AA23-46BE-9311-EA432CDEEAA1}" destId="{602C84B5-07E2-495E-B00F-696B405DA89B}" srcOrd="4" destOrd="0" parTransId="{50C1D465-9488-4374-A867-7A9EC868AA81}" sibTransId="{D4A96547-5D1C-4027-9305-A4FA8975AD3A}"/>
    <dgm:cxn modelId="{8A10EEA1-A12F-4E5A-9C15-829FAF9CA732}" type="presOf" srcId="{50C1D465-9488-4374-A867-7A9EC868AA81}" destId="{56157A8A-FE9D-4245-9ADE-2EE24E361497}" srcOrd="0" destOrd="0" presId="urn:microsoft.com/office/officeart/2005/8/layout/orgChart1#1"/>
    <dgm:cxn modelId="{AE69DF6A-CA1F-4FD2-BB69-100437D3D022}" type="presOf" srcId="{B29BF47F-FB6F-4BB3-8B1F-25C507DDACF5}" destId="{84CA6990-2D5D-47C3-9020-DF2944DEADCF}" srcOrd="1" destOrd="0" presId="urn:microsoft.com/office/officeart/2005/8/layout/orgChart1#1"/>
    <dgm:cxn modelId="{6EA2A7EE-49FF-4116-B81C-D108599D645E}" srcId="{47C757F0-AA23-46BE-9311-EA432CDEEAA1}" destId="{4EC42421-831D-4CD3-8215-2AF4300F9C01}" srcOrd="2" destOrd="0" parTransId="{8D5FB264-0A5C-4C3A-85B7-453D9BD837DF}" sibTransId="{A1825131-D805-48C8-BFCE-E45C02E6F5CE}"/>
    <dgm:cxn modelId="{A8C5BC5D-F567-4E0B-897E-347EBD60620D}" type="presParOf" srcId="{E498DC9C-C5AC-4482-A26F-3B99DC5D79F0}" destId="{F728C3E8-5128-4BB6-90CC-A86769ECE335}" srcOrd="0" destOrd="0" presId="urn:microsoft.com/office/officeart/2005/8/layout/orgChart1#1"/>
    <dgm:cxn modelId="{A343583C-A307-4A0A-8ADB-57C1F419360D}" type="presParOf" srcId="{F728C3E8-5128-4BB6-90CC-A86769ECE335}" destId="{79147750-B6BF-43FD-83A0-7ACDC9B53EFF}" srcOrd="0" destOrd="0" presId="urn:microsoft.com/office/officeart/2005/8/layout/orgChart1#1"/>
    <dgm:cxn modelId="{88BAEC03-E5E0-4909-87ED-134900EAB2FA}" type="presParOf" srcId="{79147750-B6BF-43FD-83A0-7ACDC9B53EFF}" destId="{AE79172D-D441-42BB-84EA-E3D989670DED}" srcOrd="0" destOrd="0" presId="urn:microsoft.com/office/officeart/2005/8/layout/orgChart1#1"/>
    <dgm:cxn modelId="{1AE36BE7-071B-454C-943E-2986804C668A}" type="presParOf" srcId="{79147750-B6BF-43FD-83A0-7ACDC9B53EFF}" destId="{86420519-308D-4A6A-8FEA-6FB2E39BA448}" srcOrd="1" destOrd="0" presId="urn:microsoft.com/office/officeart/2005/8/layout/orgChart1#1"/>
    <dgm:cxn modelId="{AD2857FE-EAED-4E38-8034-D6E1180B5437}" type="presParOf" srcId="{F728C3E8-5128-4BB6-90CC-A86769ECE335}" destId="{9A0FF10C-81C7-47CD-A320-768F2009480B}" srcOrd="1" destOrd="0" presId="urn:microsoft.com/office/officeart/2005/8/layout/orgChart1#1"/>
    <dgm:cxn modelId="{BF45B21D-CF5B-4C77-80C8-2F0E67A4A3C1}" type="presParOf" srcId="{9A0FF10C-81C7-47CD-A320-768F2009480B}" destId="{6A259130-4455-44E0-969B-948D1249687E}" srcOrd="0" destOrd="0" presId="urn:microsoft.com/office/officeart/2005/8/layout/orgChart1#1"/>
    <dgm:cxn modelId="{5DC27F5B-A3EB-4C8F-BB43-CBD7A05937DC}" type="presParOf" srcId="{9A0FF10C-81C7-47CD-A320-768F2009480B}" destId="{D6C5C065-A308-417C-8ECC-04FC2BEC646C}" srcOrd="1" destOrd="0" presId="urn:microsoft.com/office/officeart/2005/8/layout/orgChart1#1"/>
    <dgm:cxn modelId="{0F5E9106-D5B2-4D30-B0D8-39C93CF3C56A}" type="presParOf" srcId="{D6C5C065-A308-417C-8ECC-04FC2BEC646C}" destId="{E36491EF-5019-46FD-BC82-1BD579B9EE0E}" srcOrd="0" destOrd="0" presId="urn:microsoft.com/office/officeart/2005/8/layout/orgChart1#1"/>
    <dgm:cxn modelId="{A219081C-768C-4BFF-9C9A-5DA447FA5791}" type="presParOf" srcId="{E36491EF-5019-46FD-BC82-1BD579B9EE0E}" destId="{43B7C837-49D6-40CE-BBAB-953D9E4BA7ED}" srcOrd="0" destOrd="0" presId="urn:microsoft.com/office/officeart/2005/8/layout/orgChart1#1"/>
    <dgm:cxn modelId="{04868EE4-9E40-4CE8-9040-FD62CD6221C6}" type="presParOf" srcId="{E36491EF-5019-46FD-BC82-1BD579B9EE0E}" destId="{9A037140-9B69-4B9F-A134-F2F2EB0F2E32}" srcOrd="1" destOrd="0" presId="urn:microsoft.com/office/officeart/2005/8/layout/orgChart1#1"/>
    <dgm:cxn modelId="{D88679BC-4241-40FD-AC1F-EA72050F3833}" type="presParOf" srcId="{D6C5C065-A308-417C-8ECC-04FC2BEC646C}" destId="{FA37AA5D-87C2-47F6-9B72-B753C073E744}" srcOrd="1" destOrd="0" presId="urn:microsoft.com/office/officeart/2005/8/layout/orgChart1#1"/>
    <dgm:cxn modelId="{E5C04F48-844F-415C-84F8-70BEF59F1E43}" type="presParOf" srcId="{D6C5C065-A308-417C-8ECC-04FC2BEC646C}" destId="{A7309641-2A58-41EA-9E42-56812CF298ED}" srcOrd="2" destOrd="0" presId="urn:microsoft.com/office/officeart/2005/8/layout/orgChart1#1"/>
    <dgm:cxn modelId="{F1EBA4A4-432E-422C-A6D5-37D0F7A2F88A}" type="presParOf" srcId="{9A0FF10C-81C7-47CD-A320-768F2009480B}" destId="{F492B679-3C8C-4E72-95A8-8B81298826E7}" srcOrd="2" destOrd="0" presId="urn:microsoft.com/office/officeart/2005/8/layout/orgChart1#1"/>
    <dgm:cxn modelId="{7CAB58B7-4F5E-4ACA-BE8D-919501EF0D84}" type="presParOf" srcId="{9A0FF10C-81C7-47CD-A320-768F2009480B}" destId="{C6F584B9-7EA2-46D8-913B-8F508509ECAB}" srcOrd="3" destOrd="0" presId="urn:microsoft.com/office/officeart/2005/8/layout/orgChart1#1"/>
    <dgm:cxn modelId="{C7D47C93-A786-4926-A88D-57AC44EB6F59}" type="presParOf" srcId="{C6F584B9-7EA2-46D8-913B-8F508509ECAB}" destId="{6CAD9CE6-86A1-4F7D-98A6-3AF53F55F9E3}" srcOrd="0" destOrd="0" presId="urn:microsoft.com/office/officeart/2005/8/layout/orgChart1#1"/>
    <dgm:cxn modelId="{C9CB038F-8595-43C5-B836-41BE4DEA88BE}" type="presParOf" srcId="{6CAD9CE6-86A1-4F7D-98A6-3AF53F55F9E3}" destId="{08A0D1D2-3A20-4D63-8E35-B7C8B6B16D48}" srcOrd="0" destOrd="0" presId="urn:microsoft.com/office/officeart/2005/8/layout/orgChart1#1"/>
    <dgm:cxn modelId="{14506631-01FB-46C6-8CFA-79F1AE2F1AD8}" type="presParOf" srcId="{6CAD9CE6-86A1-4F7D-98A6-3AF53F55F9E3}" destId="{6238C53E-A961-488B-8FBD-6EC13507B069}" srcOrd="1" destOrd="0" presId="urn:microsoft.com/office/officeart/2005/8/layout/orgChart1#1"/>
    <dgm:cxn modelId="{EDB99870-B3FA-4096-97D7-88535246417C}" type="presParOf" srcId="{C6F584B9-7EA2-46D8-913B-8F508509ECAB}" destId="{A9C46FD3-3BE9-4E6E-BFF6-B0B42B13F857}" srcOrd="1" destOrd="0" presId="urn:microsoft.com/office/officeart/2005/8/layout/orgChart1#1"/>
    <dgm:cxn modelId="{E27E814C-0A77-49BA-8ED2-B601B69D5738}" type="presParOf" srcId="{C6F584B9-7EA2-46D8-913B-8F508509ECAB}" destId="{A663BBFB-A120-4F5B-82EC-DB644DB9966B}" srcOrd="2" destOrd="0" presId="urn:microsoft.com/office/officeart/2005/8/layout/orgChart1#1"/>
    <dgm:cxn modelId="{C530AB45-8CE5-43B3-BE0D-26CF0CE16589}" type="presParOf" srcId="{9A0FF10C-81C7-47CD-A320-768F2009480B}" destId="{AB3A8128-6C86-49B7-B5CC-0153888815E5}" srcOrd="4" destOrd="0" presId="urn:microsoft.com/office/officeart/2005/8/layout/orgChart1#1"/>
    <dgm:cxn modelId="{666BE6CE-BCCE-4AC3-9CBF-5BB3B6DA1569}" type="presParOf" srcId="{9A0FF10C-81C7-47CD-A320-768F2009480B}" destId="{1A917F9A-DDE6-4568-B35C-7FABCEF0A586}" srcOrd="5" destOrd="0" presId="urn:microsoft.com/office/officeart/2005/8/layout/orgChart1#1"/>
    <dgm:cxn modelId="{DC40D7A1-BC9B-4282-96BE-9B86C1B47AA7}" type="presParOf" srcId="{1A917F9A-DDE6-4568-B35C-7FABCEF0A586}" destId="{FA949B67-3DB7-47FA-97C9-4A653E762F22}" srcOrd="0" destOrd="0" presId="urn:microsoft.com/office/officeart/2005/8/layout/orgChart1#1"/>
    <dgm:cxn modelId="{437B5F55-A9BB-42B5-843A-DD4EE87988F6}" type="presParOf" srcId="{FA949B67-3DB7-47FA-97C9-4A653E762F22}" destId="{7D64F4A3-0E55-47AC-A59B-9D5A9DC25552}" srcOrd="0" destOrd="0" presId="urn:microsoft.com/office/officeart/2005/8/layout/orgChart1#1"/>
    <dgm:cxn modelId="{29E573AA-2376-40E9-A12E-334B83EC0A1B}" type="presParOf" srcId="{FA949B67-3DB7-47FA-97C9-4A653E762F22}" destId="{5667CB49-EC34-46BC-AD2D-72F3BD95D049}" srcOrd="1" destOrd="0" presId="urn:microsoft.com/office/officeart/2005/8/layout/orgChart1#1"/>
    <dgm:cxn modelId="{14F8ACFD-945F-453B-AC8B-35FD23AB687A}" type="presParOf" srcId="{1A917F9A-DDE6-4568-B35C-7FABCEF0A586}" destId="{EB3A10DA-2FA4-4DAD-8341-8078D7F83716}" srcOrd="1" destOrd="0" presId="urn:microsoft.com/office/officeart/2005/8/layout/orgChart1#1"/>
    <dgm:cxn modelId="{CF8D25C1-84A7-4BEC-877B-9F76844D8E64}" type="presParOf" srcId="{1A917F9A-DDE6-4568-B35C-7FABCEF0A586}" destId="{B05C5608-85C8-433E-A928-1755312B673B}" srcOrd="2" destOrd="0" presId="urn:microsoft.com/office/officeart/2005/8/layout/orgChart1#1"/>
    <dgm:cxn modelId="{BBB366F0-F176-47FD-B540-DB5713E57BE0}" type="presParOf" srcId="{9A0FF10C-81C7-47CD-A320-768F2009480B}" destId="{56157A8A-FE9D-4245-9ADE-2EE24E361497}" srcOrd="6" destOrd="0" presId="urn:microsoft.com/office/officeart/2005/8/layout/orgChart1#1"/>
    <dgm:cxn modelId="{77E05319-9C66-43AE-98BE-6D596154665C}" type="presParOf" srcId="{9A0FF10C-81C7-47CD-A320-768F2009480B}" destId="{9499E001-A794-4D62-B28F-923F124D19A1}" srcOrd="7" destOrd="0" presId="urn:microsoft.com/office/officeart/2005/8/layout/orgChart1#1"/>
    <dgm:cxn modelId="{1722E1B8-4D1D-442D-B465-4C89AEB50945}" type="presParOf" srcId="{9499E001-A794-4D62-B28F-923F124D19A1}" destId="{63B1F9A3-9123-4D64-8FCE-25135CDA6DAC}" srcOrd="0" destOrd="0" presId="urn:microsoft.com/office/officeart/2005/8/layout/orgChart1#1"/>
    <dgm:cxn modelId="{C636A87D-17FA-4C6E-BC92-08DCDBAF1A67}" type="presParOf" srcId="{63B1F9A3-9123-4D64-8FCE-25135CDA6DAC}" destId="{4BD6996B-816D-49E0-A992-1E4390132262}" srcOrd="0" destOrd="0" presId="urn:microsoft.com/office/officeart/2005/8/layout/orgChart1#1"/>
    <dgm:cxn modelId="{586EAFC2-6E71-40B3-9AA5-B60A24005CCC}" type="presParOf" srcId="{63B1F9A3-9123-4D64-8FCE-25135CDA6DAC}" destId="{B4A166A7-EBC1-4FA8-A568-0987DE83A2D4}" srcOrd="1" destOrd="0" presId="urn:microsoft.com/office/officeart/2005/8/layout/orgChart1#1"/>
    <dgm:cxn modelId="{86B8E838-1778-44D6-809B-8B2CD2A9D2BB}" type="presParOf" srcId="{9499E001-A794-4D62-B28F-923F124D19A1}" destId="{4FF773DD-D4F7-4DA6-B392-AF29E10A92A5}" srcOrd="1" destOrd="0" presId="urn:microsoft.com/office/officeart/2005/8/layout/orgChart1#1"/>
    <dgm:cxn modelId="{92847B9D-544D-485F-828F-5181A57CAD41}" type="presParOf" srcId="{9499E001-A794-4D62-B28F-923F124D19A1}" destId="{9AD7BA72-0F29-4C89-8A1F-F5511D7A8294}" srcOrd="2" destOrd="0" presId="urn:microsoft.com/office/officeart/2005/8/layout/orgChart1#1"/>
    <dgm:cxn modelId="{F4E512B7-3270-4050-A29C-A5DEFBEF1C4C}" type="presParOf" srcId="{F728C3E8-5128-4BB6-90CC-A86769ECE335}" destId="{0E819307-1B4E-434E-BA76-D5A4192B0663}" srcOrd="2" destOrd="0" presId="urn:microsoft.com/office/officeart/2005/8/layout/orgChart1#1"/>
    <dgm:cxn modelId="{0885E6AC-44EC-4354-999B-1149890F44A5}" type="presParOf" srcId="{0E819307-1B4E-434E-BA76-D5A4192B0663}" destId="{7CC60CE2-51D0-47DE-A469-FE4884597341}" srcOrd="0" destOrd="0" presId="urn:microsoft.com/office/officeart/2005/8/layout/orgChart1#1"/>
    <dgm:cxn modelId="{C9398A2E-92DD-4D0F-950D-2CC0A70AA921}" type="presParOf" srcId="{0E819307-1B4E-434E-BA76-D5A4192B0663}" destId="{2C28615C-654F-4C05-9383-C72EAED46321}" srcOrd="1" destOrd="0" presId="urn:microsoft.com/office/officeart/2005/8/layout/orgChart1#1"/>
    <dgm:cxn modelId="{D4AC1A7A-4243-4CBA-B232-433D2E83D685}" type="presParOf" srcId="{2C28615C-654F-4C05-9383-C72EAED46321}" destId="{531B400A-09FB-4AC6-91D5-6C58DB555D6A}" srcOrd="0" destOrd="0" presId="urn:microsoft.com/office/officeart/2005/8/layout/orgChart1#1"/>
    <dgm:cxn modelId="{4636ED0D-E58E-4702-A938-7A9726F577B4}" type="presParOf" srcId="{531B400A-09FB-4AC6-91D5-6C58DB555D6A}" destId="{15F46F7C-8483-49B2-9069-BD47518FA3C5}" srcOrd="0" destOrd="0" presId="urn:microsoft.com/office/officeart/2005/8/layout/orgChart1#1"/>
    <dgm:cxn modelId="{B137B771-28B1-4410-948B-4F3B2E2AD9FD}" type="presParOf" srcId="{531B400A-09FB-4AC6-91D5-6C58DB555D6A}" destId="{84CA6990-2D5D-47C3-9020-DF2944DEADCF}" srcOrd="1" destOrd="0" presId="urn:microsoft.com/office/officeart/2005/8/layout/orgChart1#1"/>
    <dgm:cxn modelId="{BD87892C-AEB1-4F2C-922F-6E17A79939D5}" type="presParOf" srcId="{2C28615C-654F-4C05-9383-C72EAED46321}" destId="{0851F80F-8C6D-4400-A85F-BC390C21E4EE}" srcOrd="1" destOrd="0" presId="urn:microsoft.com/office/officeart/2005/8/layout/orgChart1#1"/>
    <dgm:cxn modelId="{DA1317D1-E191-44EE-9914-0E33656F8DE9}" type="presParOf" srcId="{2C28615C-654F-4C05-9383-C72EAED46321}" destId="{3025C0A7-DA6F-4394-8167-7956EFF162F0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C60CE2-51D0-47DE-A469-FE4884597341}">
      <dsp:nvSpPr>
        <dsp:cNvPr id="0" name=""/>
        <dsp:cNvSpPr/>
      </dsp:nvSpPr>
      <dsp:spPr>
        <a:xfrm>
          <a:off x="3254840" y="690790"/>
          <a:ext cx="154474" cy="676744"/>
        </a:xfrm>
        <a:custGeom>
          <a:avLst/>
          <a:gdLst/>
          <a:ahLst/>
          <a:cxnLst/>
          <a:rect l="0" t="0" r="0" b="0"/>
          <a:pathLst>
            <a:path>
              <a:moveTo>
                <a:pt x="154474" y="0"/>
              </a:moveTo>
              <a:lnTo>
                <a:pt x="154474" y="676744"/>
              </a:lnTo>
              <a:lnTo>
                <a:pt x="0" y="676744"/>
              </a:lnTo>
            </a:path>
          </a:pathLst>
        </a:custGeom>
        <a:noFill/>
        <a:ln w="25400" cap="flat" cmpd="sng" algn="ctr">
          <a:solidFill>
            <a:srgbClr val="477BA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57A8A-FE9D-4245-9ADE-2EE24E361497}">
      <dsp:nvSpPr>
        <dsp:cNvPr id="0" name=""/>
        <dsp:cNvSpPr/>
      </dsp:nvSpPr>
      <dsp:spPr>
        <a:xfrm>
          <a:off x="3409315" y="690790"/>
          <a:ext cx="2670196" cy="1353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013"/>
              </a:lnTo>
              <a:lnTo>
                <a:pt x="2670196" y="1199013"/>
              </a:lnTo>
              <a:lnTo>
                <a:pt x="2670196" y="1353488"/>
              </a:lnTo>
            </a:path>
          </a:pathLst>
        </a:custGeom>
        <a:noFill/>
        <a:ln w="25400" cap="flat" cmpd="sng" algn="ctr">
          <a:solidFill>
            <a:srgbClr val="477BA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3A8128-6C86-49B7-B5CC-0153888815E5}">
      <dsp:nvSpPr>
        <dsp:cNvPr id="0" name=""/>
        <dsp:cNvSpPr/>
      </dsp:nvSpPr>
      <dsp:spPr>
        <a:xfrm>
          <a:off x="3409315" y="690790"/>
          <a:ext cx="890065" cy="1353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013"/>
              </a:lnTo>
              <a:lnTo>
                <a:pt x="890065" y="1199013"/>
              </a:lnTo>
              <a:lnTo>
                <a:pt x="890065" y="1353488"/>
              </a:lnTo>
            </a:path>
          </a:pathLst>
        </a:custGeom>
        <a:noFill/>
        <a:ln w="25400" cap="flat" cmpd="sng" algn="ctr">
          <a:solidFill>
            <a:srgbClr val="477BA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92B679-3C8C-4E72-95A8-8B81298826E7}">
      <dsp:nvSpPr>
        <dsp:cNvPr id="0" name=""/>
        <dsp:cNvSpPr/>
      </dsp:nvSpPr>
      <dsp:spPr>
        <a:xfrm>
          <a:off x="2519249" y="690790"/>
          <a:ext cx="890065" cy="1353488"/>
        </a:xfrm>
        <a:custGeom>
          <a:avLst/>
          <a:gdLst/>
          <a:ahLst/>
          <a:cxnLst/>
          <a:rect l="0" t="0" r="0" b="0"/>
          <a:pathLst>
            <a:path>
              <a:moveTo>
                <a:pt x="890065" y="0"/>
              </a:moveTo>
              <a:lnTo>
                <a:pt x="890065" y="1199013"/>
              </a:lnTo>
              <a:lnTo>
                <a:pt x="0" y="1199013"/>
              </a:lnTo>
              <a:lnTo>
                <a:pt x="0" y="1353488"/>
              </a:lnTo>
            </a:path>
          </a:pathLst>
        </a:custGeom>
        <a:noFill/>
        <a:ln w="25400" cap="flat" cmpd="sng" algn="ctr">
          <a:solidFill>
            <a:srgbClr val="477BA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59130-4455-44E0-969B-948D1249687E}">
      <dsp:nvSpPr>
        <dsp:cNvPr id="0" name=""/>
        <dsp:cNvSpPr/>
      </dsp:nvSpPr>
      <dsp:spPr>
        <a:xfrm>
          <a:off x="739118" y="690790"/>
          <a:ext cx="2670196" cy="1353488"/>
        </a:xfrm>
        <a:custGeom>
          <a:avLst/>
          <a:gdLst/>
          <a:ahLst/>
          <a:cxnLst/>
          <a:rect l="0" t="0" r="0" b="0"/>
          <a:pathLst>
            <a:path>
              <a:moveTo>
                <a:pt x="2670196" y="0"/>
              </a:moveTo>
              <a:lnTo>
                <a:pt x="2670196" y="1199013"/>
              </a:lnTo>
              <a:lnTo>
                <a:pt x="0" y="1199013"/>
              </a:lnTo>
              <a:lnTo>
                <a:pt x="0" y="1353488"/>
              </a:lnTo>
            </a:path>
          </a:pathLst>
        </a:custGeom>
        <a:noFill/>
        <a:ln w="25400" cap="flat" cmpd="sng" algn="ctr">
          <a:solidFill>
            <a:srgbClr val="477BA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9172D-D441-42BB-84EA-E3D989670DED}">
      <dsp:nvSpPr>
        <dsp:cNvPr id="0" name=""/>
        <dsp:cNvSpPr/>
      </dsp:nvSpPr>
      <dsp:spPr>
        <a:xfrm>
          <a:off x="2673723" y="174148"/>
          <a:ext cx="1471182" cy="516642"/>
        </a:xfrm>
        <a:prstGeom prst="rect">
          <a:avLst/>
        </a:prstGeom>
        <a:solidFill>
          <a:srgbClr val="4472C4"/>
        </a:solidFill>
        <a:ln w="25400" cap="flat" cmpd="sng" algn="ctr">
          <a:solidFill>
            <a:srgbClr val="2F528F">
              <a:shade val="50000"/>
            </a:srgbClr>
          </a:solidFill>
          <a:prstDash val="solid"/>
        </a:ln>
        <a:effectLst/>
      </dsp:spPr>
      <dsp:style>
        <a:lnRef idx="2">
          <a:srgbClr val="2F528F">
            <a:shade val="50000"/>
          </a:srgbClr>
        </a:lnRef>
        <a:fillRef idx="1">
          <a:srgbClr val="4472C4"/>
        </a:fillRef>
        <a:effectRef idx="0">
          <a:srgbClr val="4472C4"/>
        </a:effectRef>
        <a:fontRef idx="minor">
          <a:srgbClr val="FFFFFF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每月研训活动</a:t>
          </a:r>
        </a:p>
      </dsp:txBody>
      <dsp:txXfrm>
        <a:off x="2673723" y="174148"/>
        <a:ext cx="1471182" cy="516642"/>
      </dsp:txXfrm>
    </dsp:sp>
    <dsp:sp modelId="{43B7C837-49D6-40CE-BBAB-953D9E4BA7ED}">
      <dsp:nvSpPr>
        <dsp:cNvPr id="0" name=""/>
        <dsp:cNvSpPr/>
      </dsp:nvSpPr>
      <dsp:spPr>
        <a:xfrm>
          <a:off x="3527" y="2044278"/>
          <a:ext cx="1471182" cy="934348"/>
        </a:xfrm>
        <a:prstGeom prst="rect">
          <a:avLst/>
        </a:prstGeom>
        <a:gradFill rotWithShape="1">
          <a:gsLst>
            <a:gs pos="0">
              <a:srgbClr val="5B9BD5">
                <a:tint val="50000"/>
                <a:satMod val="300000"/>
              </a:srgbClr>
            </a:gs>
            <a:gs pos="35000">
              <a:srgbClr val="5B9BD5">
                <a:tint val="37000"/>
                <a:satMod val="300000"/>
              </a:srgbClr>
            </a:gs>
            <a:gs pos="100000">
              <a:srgbClr val="5B9BD5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5B9BD5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rgbClr val="5B9BD5"/>
        </a:lnRef>
        <a:fillRef idx="2">
          <a:srgbClr val="5B9BD5"/>
        </a:fillRef>
        <a:effectRef idx="1">
          <a:srgbClr val="5B9BD5"/>
        </a:effectRef>
        <a:fontRef idx="minor">
          <a:srgbClr val="000000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第一周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第一节课：组内理论学习、分享智慧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第二节课：教研组长月例会</a:t>
          </a:r>
        </a:p>
      </dsp:txBody>
      <dsp:txXfrm>
        <a:off x="3527" y="2044278"/>
        <a:ext cx="1471182" cy="934348"/>
      </dsp:txXfrm>
    </dsp:sp>
    <dsp:sp modelId="{08A0D1D2-3A20-4D63-8E35-B7C8B6B16D48}">
      <dsp:nvSpPr>
        <dsp:cNvPr id="0" name=""/>
        <dsp:cNvSpPr/>
      </dsp:nvSpPr>
      <dsp:spPr>
        <a:xfrm>
          <a:off x="1783658" y="2044278"/>
          <a:ext cx="1471182" cy="735591"/>
        </a:xfrm>
        <a:prstGeom prst="rect">
          <a:avLst/>
        </a:prstGeom>
        <a:gradFill rotWithShape="1">
          <a:gsLst>
            <a:gs pos="0">
              <a:srgbClr val="5B9BD5">
                <a:tint val="50000"/>
                <a:satMod val="300000"/>
              </a:srgbClr>
            </a:gs>
            <a:gs pos="35000">
              <a:srgbClr val="5B9BD5">
                <a:tint val="37000"/>
                <a:satMod val="300000"/>
              </a:srgbClr>
            </a:gs>
            <a:gs pos="100000">
              <a:srgbClr val="5B9BD5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5B9BD5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rgbClr val="5B9BD5"/>
        </a:lnRef>
        <a:fillRef idx="2">
          <a:srgbClr val="5B9BD5"/>
        </a:fillRef>
        <a:effectRef idx="1">
          <a:srgbClr val="5B9BD5"/>
        </a:effectRef>
        <a:fontRef idx="minor">
          <a:srgbClr val="000000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第二周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组内课堂实践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两节课</a:t>
          </a:r>
          <a:r>
            <a:rPr lang="en-US" altLang="zh-CN" sz="800" kern="1200"/>
            <a:t>——</a:t>
          </a:r>
          <a:r>
            <a:rPr lang="zh-CN" altLang="en-US" sz="800" kern="1200"/>
            <a:t>评课、议课</a:t>
          </a:r>
        </a:p>
      </dsp:txBody>
      <dsp:txXfrm>
        <a:off x="1783658" y="2044278"/>
        <a:ext cx="1471182" cy="735591"/>
      </dsp:txXfrm>
    </dsp:sp>
    <dsp:sp modelId="{7D64F4A3-0E55-47AC-A59B-9D5A9DC25552}">
      <dsp:nvSpPr>
        <dsp:cNvPr id="0" name=""/>
        <dsp:cNvSpPr/>
      </dsp:nvSpPr>
      <dsp:spPr>
        <a:xfrm>
          <a:off x="3563789" y="2044278"/>
          <a:ext cx="1471182" cy="735591"/>
        </a:xfrm>
        <a:prstGeom prst="rect">
          <a:avLst/>
        </a:prstGeom>
        <a:gradFill rotWithShape="1">
          <a:gsLst>
            <a:gs pos="0">
              <a:srgbClr val="5B9BD5">
                <a:tint val="50000"/>
                <a:satMod val="300000"/>
              </a:srgbClr>
            </a:gs>
            <a:gs pos="35000">
              <a:srgbClr val="5B9BD5">
                <a:tint val="37000"/>
                <a:satMod val="300000"/>
              </a:srgbClr>
            </a:gs>
            <a:gs pos="100000">
              <a:srgbClr val="5B9BD5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5B9BD5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rgbClr val="5B9BD5"/>
        </a:lnRef>
        <a:fillRef idx="2">
          <a:srgbClr val="5B9BD5"/>
        </a:fillRef>
        <a:effectRef idx="1">
          <a:srgbClr val="5B9BD5"/>
        </a:effectRef>
        <a:fontRef idx="minor">
          <a:srgbClr val="000000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第三周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常规检查（作业、备课、课堂调研、早读、质量分析）</a:t>
          </a:r>
        </a:p>
      </dsp:txBody>
      <dsp:txXfrm>
        <a:off x="3563789" y="2044278"/>
        <a:ext cx="1471182" cy="735591"/>
      </dsp:txXfrm>
    </dsp:sp>
    <dsp:sp modelId="{4BD6996B-816D-49E0-A992-1E4390132262}">
      <dsp:nvSpPr>
        <dsp:cNvPr id="0" name=""/>
        <dsp:cNvSpPr/>
      </dsp:nvSpPr>
      <dsp:spPr>
        <a:xfrm>
          <a:off x="5343920" y="2044278"/>
          <a:ext cx="1471182" cy="735591"/>
        </a:xfrm>
        <a:prstGeom prst="rect">
          <a:avLst/>
        </a:prstGeom>
        <a:gradFill rotWithShape="1">
          <a:gsLst>
            <a:gs pos="0">
              <a:srgbClr val="5B9BD5">
                <a:tint val="50000"/>
                <a:satMod val="300000"/>
              </a:srgbClr>
            </a:gs>
            <a:gs pos="35000">
              <a:srgbClr val="5B9BD5">
                <a:tint val="37000"/>
                <a:satMod val="300000"/>
              </a:srgbClr>
            </a:gs>
            <a:gs pos="100000">
              <a:srgbClr val="5B9BD5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5B9BD5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rgbClr val="5B9BD5"/>
        </a:lnRef>
        <a:fillRef idx="2">
          <a:srgbClr val="5B9BD5"/>
        </a:fillRef>
        <a:effectRef idx="1">
          <a:srgbClr val="5B9BD5"/>
        </a:effectRef>
        <a:fontRef idx="minor">
          <a:srgbClr val="000000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第四周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学科组开放活动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示范课、研究课、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汇报课、沙龙</a:t>
          </a:r>
        </a:p>
      </dsp:txBody>
      <dsp:txXfrm>
        <a:off x="5343920" y="2044278"/>
        <a:ext cx="1471182" cy="735591"/>
      </dsp:txXfrm>
    </dsp:sp>
    <dsp:sp modelId="{15F46F7C-8483-49B2-9069-BD47518FA3C5}">
      <dsp:nvSpPr>
        <dsp:cNvPr id="0" name=""/>
        <dsp:cNvSpPr/>
      </dsp:nvSpPr>
      <dsp:spPr>
        <a:xfrm>
          <a:off x="1783658" y="999739"/>
          <a:ext cx="1471182" cy="735591"/>
        </a:xfrm>
        <a:prstGeom prst="rect">
          <a:avLst/>
        </a:prstGeom>
        <a:solidFill>
          <a:srgbClr val="70AD47"/>
        </a:solidFill>
        <a:ln w="25400" cap="flat" cmpd="sng" algn="ctr">
          <a:solidFill>
            <a:srgbClr val="507E32">
              <a:shade val="50000"/>
            </a:srgbClr>
          </a:solidFill>
          <a:prstDash val="solid"/>
        </a:ln>
        <a:effectLst/>
      </dsp:spPr>
      <dsp:style>
        <a:lnRef idx="2">
          <a:srgbClr val="507E32">
            <a:shade val="50000"/>
          </a:srgbClr>
        </a:lnRef>
        <a:fillRef idx="1">
          <a:srgbClr val="70AD47"/>
        </a:fillRef>
        <a:effectRef idx="0">
          <a:srgbClr val="70AD47"/>
        </a:effectRef>
        <a:fontRef idx="minor">
          <a:srgbClr val="FFFFFF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/>
            <a:t>一月一次</a:t>
          </a:r>
        </a:p>
        <a:p>
          <a:pPr lvl="0" algn="ctr" defTabSz="466725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50" kern="1200"/>
            <a:t>青年教师成长营活动</a:t>
          </a:r>
        </a:p>
      </dsp:txBody>
      <dsp:txXfrm>
        <a:off x="1783658" y="999739"/>
        <a:ext cx="1471182" cy="735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2020-07-14T01:57:00Z</dcterms:created>
  <dcterms:modified xsi:type="dcterms:W3CDTF">2020-07-14T06:32:00Z</dcterms:modified>
</cp:coreProperties>
</file>