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center"/>
        <w:textAlignment w:val="auto"/>
        <w:outlineLvl w:val="9"/>
        <w:rPr>
          <w:color w:val="auto"/>
          <w:sz w:val="32"/>
          <w:szCs w:val="32"/>
        </w:rPr>
      </w:pPr>
      <w:r>
        <w:rPr>
          <w:rStyle w:val="4"/>
          <w:rFonts w:hint="eastAsia" w:ascii="宋体" w:hAnsi="宋体" w:eastAsia="宋体" w:cs="宋体"/>
          <w:b/>
          <w:color w:val="auto"/>
          <w:sz w:val="32"/>
          <w:szCs w:val="32"/>
          <w:shd w:val="clear" w:fill="FFFFFF"/>
        </w:rPr>
        <w:t>趣味编程课程</w:t>
      </w:r>
      <w:r>
        <w:rPr>
          <w:rStyle w:val="4"/>
          <w:rFonts w:hint="eastAsia" w:ascii="宋体" w:hAnsi="宋体" w:eastAsia="宋体" w:cs="宋体"/>
          <w:b/>
          <w:color w:val="auto"/>
          <w:sz w:val="32"/>
          <w:szCs w:val="32"/>
          <w:shd w:val="clear" w:fill="FFFFFF"/>
          <w:lang w:eastAsia="zh-CN"/>
        </w:rPr>
        <w:t>纲要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outlineLvl w:val="9"/>
        <w:rPr>
          <w:rStyle w:val="4"/>
          <w:rFonts w:hint="eastAsia" w:ascii="宋体" w:hAnsi="宋体" w:eastAsia="宋体" w:cs="宋体"/>
          <w:b/>
          <w:color w:val="auto"/>
          <w:sz w:val="24"/>
          <w:szCs w:val="24"/>
          <w:shd w:val="clear" w:fill="FFFFFF"/>
          <w:lang w:eastAsia="zh-CN"/>
        </w:rPr>
      </w:pPr>
      <w:r>
        <w:rPr>
          <w:rStyle w:val="4"/>
          <w:rFonts w:hint="eastAsia" w:ascii="宋体" w:hAnsi="宋体" w:eastAsia="宋体" w:cs="宋体"/>
          <w:b/>
          <w:color w:val="auto"/>
          <w:sz w:val="24"/>
          <w:szCs w:val="24"/>
          <w:shd w:val="clear" w:fill="FFFFFF"/>
          <w:lang w:val="en-US" w:eastAsia="zh-CN"/>
        </w:rPr>
        <w:t xml:space="preserve">    </w:t>
      </w:r>
      <w:r>
        <w:rPr>
          <w:rStyle w:val="4"/>
          <w:rFonts w:hint="eastAsia" w:ascii="宋体" w:hAnsi="宋体" w:eastAsia="宋体" w:cs="宋体"/>
          <w:b/>
          <w:color w:val="auto"/>
          <w:sz w:val="24"/>
          <w:szCs w:val="24"/>
          <w:shd w:val="clear" w:fill="FFFFFF"/>
          <w:lang w:eastAsia="zh-CN"/>
        </w:rPr>
        <w:t>一、课程背景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Style w:val="4"/>
          <w:rFonts w:hint="eastAsia" w:ascii="宋体" w:hAnsi="宋体" w:eastAsia="宋体" w:cs="宋体"/>
          <w:b/>
          <w:color w:val="auto"/>
          <w:sz w:val="24"/>
          <w:szCs w:val="24"/>
          <w:shd w:val="clear" w:fill="FFFFFF"/>
          <w:lang w:val="en-US" w:eastAsia="zh-CN"/>
        </w:rPr>
      </w:pPr>
      <w:r>
        <w:rPr>
          <w:rStyle w:val="4"/>
          <w:rFonts w:hint="eastAsia" w:ascii="宋体" w:hAnsi="宋体" w:eastAsia="宋体" w:cs="宋体"/>
          <w:b/>
          <w:color w:val="auto"/>
          <w:sz w:val="24"/>
          <w:szCs w:val="24"/>
          <w:shd w:val="clear" w:fill="FFFFFF"/>
          <w:lang w:val="en-US" w:eastAsia="zh-CN"/>
        </w:rPr>
        <w:t xml:space="preserve">    </w:t>
      </w:r>
      <w:r>
        <w:rPr>
          <w:rFonts w:hint="eastAsia" w:asciiTheme="minorEastAsia" w:hAnsiTheme="minorEastAsia" w:eastAsiaTheme="minorEastAsia" w:cstheme="minorEastAsia"/>
          <w:sz w:val="24"/>
          <w:szCs w:val="24"/>
        </w:rPr>
        <w:t>经过“十</w:t>
      </w:r>
      <w:r>
        <w:rPr>
          <w:rFonts w:hint="eastAsia" w:asciiTheme="minorEastAsia" w:hAnsiTheme="minorEastAsia" w:eastAsiaTheme="minorEastAsia" w:cstheme="minorEastAsia"/>
          <w:sz w:val="24"/>
          <w:szCs w:val="24"/>
          <w:lang w:eastAsia="zh-CN"/>
        </w:rPr>
        <w:t>一五</w:t>
      </w:r>
      <w:r>
        <w:rPr>
          <w:rFonts w:hint="eastAsia" w:asciiTheme="minorEastAsia" w:hAnsiTheme="minorEastAsia" w:eastAsiaTheme="minorEastAsia" w:cstheme="minorEastAsia"/>
          <w:sz w:val="24"/>
          <w:szCs w:val="24"/>
        </w:rPr>
        <w:t>”、“十</w:t>
      </w: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五”信息化建设，学校硬件水平上了台阶，信息技术课程实施逐步规范，学生信息素养逐渐提高。随着信息技术的迅猛发展，信息技术课程内容与社会信息技术水平的差距逐步加大，直接导致了信息技术课程落后于社会发展。从国内外信息技术课程发展来看，程序设计是信息技术课程的重要组成部分，高校、中学程序设计教育体系已经相对完善、衔接平滑，然后小学阶段，各国都很难形成一个易于推广体系化的程序设计课程，从小学阶段跨入中学进行程序设计学习，跨度较大，障碍明显。就国内而言，构建一个小学程序设计课程体系意义重大，学生从小学、中学、大学可以平滑过度，阶梯发展。而scratch软件因为简单（图形化）、有趣，适合学生学习，使得构建一个易于推广的体系化课程成为可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outlineLvl w:val="9"/>
        <w:rPr>
          <w:color w:val="auto"/>
        </w:rPr>
      </w:pPr>
      <w:r>
        <w:rPr>
          <w:rStyle w:val="4"/>
          <w:rFonts w:hint="eastAsia" w:ascii="宋体" w:hAnsi="宋体" w:eastAsia="宋体" w:cs="宋体"/>
          <w:b/>
          <w:color w:val="auto"/>
          <w:sz w:val="24"/>
          <w:szCs w:val="24"/>
          <w:shd w:val="clear" w:fill="FFFFFF"/>
          <w:lang w:val="en-US" w:eastAsia="zh-CN"/>
        </w:rPr>
        <w:t xml:space="preserve">    </w:t>
      </w:r>
      <w:r>
        <w:rPr>
          <w:rStyle w:val="4"/>
          <w:rFonts w:hint="eastAsia" w:ascii="宋体" w:hAnsi="宋体" w:eastAsia="宋体" w:cs="宋体"/>
          <w:b/>
          <w:color w:val="auto"/>
          <w:sz w:val="24"/>
          <w:szCs w:val="24"/>
          <w:shd w:val="clear" w:fill="FFFFFF"/>
          <w:lang w:eastAsia="zh-CN"/>
        </w:rPr>
        <w:t>二</w:t>
      </w:r>
      <w:r>
        <w:rPr>
          <w:rStyle w:val="4"/>
          <w:rFonts w:hint="eastAsia" w:ascii="宋体" w:hAnsi="宋体" w:eastAsia="宋体" w:cs="宋体"/>
          <w:b/>
          <w:color w:val="auto"/>
          <w:sz w:val="24"/>
          <w:szCs w:val="24"/>
          <w:shd w:val="clear" w:fill="FFFFFF"/>
        </w:rPr>
        <w:t>、课程目标</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0"/>
        <w:jc w:val="left"/>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小学阶段信息技术课程的目标在于让学生通过动手与动脑相结合的体验，初步掌握应用信息技术的基本技能，结合生活与学习实际理解信息技术的重要性，开始形成健康应用信息技术的习惯，感受信息技术基本思想方法。</w:t>
      </w:r>
    </w:p>
    <w:p>
      <w:pPr>
        <w:widowControl/>
        <w:spacing w:line="520" w:lineRule="exact"/>
        <w:ind w:firstLine="480"/>
        <w:jc w:val="left"/>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 xml:space="preserve"> (一) 知识与技能</w:t>
      </w:r>
    </w:p>
    <w:p>
      <w:pPr>
        <w:widowControl/>
        <w:spacing w:line="520" w:lineRule="exact"/>
        <w:ind w:firstLine="48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感受编程在生活中给人们带来的便利；体会学习生活中的程序设计思想，认识常见的编程工具（Scratch)、传感器，知道程序设计的基本原理，并根据项目进行程序设计；学会使用Scratch制作相关程序和项目。</w:t>
      </w:r>
    </w:p>
    <w:p>
      <w:pPr>
        <w:widowControl/>
        <w:spacing w:line="520" w:lineRule="exact"/>
        <w:ind w:firstLine="480"/>
        <w:jc w:val="left"/>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(二) 过程与方法</w:t>
      </w:r>
    </w:p>
    <w:p>
      <w:pPr>
        <w:widowControl/>
        <w:spacing w:line="520" w:lineRule="exact"/>
        <w:ind w:firstLine="48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能根据具体的情景或现象尝试使用程序设计的方法来解决问题，能选择恰当的程序方法或技术来进行设计和制作；在使用程序设计开发项目的过中积累利用信息技术解决问题的经验。</w:t>
      </w:r>
    </w:p>
    <w:p>
      <w:pPr>
        <w:widowControl/>
        <w:spacing w:line="520" w:lineRule="exact"/>
        <w:ind w:firstLine="480"/>
        <w:jc w:val="left"/>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(三) 情感态度与价值观</w:t>
      </w:r>
    </w:p>
    <w:p>
      <w:pPr>
        <w:widowControl/>
        <w:spacing w:line="520" w:lineRule="exact"/>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动手与动脑相结合，能够开发有趣的游戏和项目，对程序设计产生和保持兴趣；能主动地、创造性地采用程序设计的方法来解决学习生活中的问题。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outlineLvl w:val="9"/>
        <w:rPr>
          <w:color w:val="auto"/>
        </w:rPr>
      </w:pPr>
      <w:r>
        <w:rPr>
          <w:rStyle w:val="4"/>
          <w:rFonts w:hint="eastAsia" w:ascii="宋体" w:hAnsi="宋体" w:eastAsia="宋体" w:cs="宋体"/>
          <w:b/>
          <w:color w:val="auto"/>
          <w:sz w:val="24"/>
          <w:szCs w:val="24"/>
          <w:shd w:val="clear" w:fill="FFFFFF"/>
        </w:rPr>
        <w:t> </w:t>
      </w:r>
      <w:r>
        <w:rPr>
          <w:rStyle w:val="4"/>
          <w:rFonts w:hint="eastAsia" w:ascii="宋体" w:hAnsi="宋体" w:eastAsia="宋体" w:cs="宋体"/>
          <w:b/>
          <w:color w:val="auto"/>
          <w:sz w:val="24"/>
          <w:szCs w:val="24"/>
          <w:shd w:val="clear" w:fill="FFFFFF"/>
          <w:lang w:val="en-US" w:eastAsia="zh-CN"/>
        </w:rPr>
        <w:t xml:space="preserve">   </w:t>
      </w:r>
      <w:r>
        <w:rPr>
          <w:rStyle w:val="4"/>
          <w:rFonts w:hint="eastAsia" w:ascii="宋体" w:hAnsi="宋体" w:eastAsia="宋体" w:cs="宋体"/>
          <w:b/>
          <w:color w:val="auto"/>
          <w:sz w:val="24"/>
          <w:szCs w:val="24"/>
          <w:shd w:val="clear" w:fill="FFFFFF"/>
          <w:lang w:eastAsia="zh-CN"/>
        </w:rPr>
        <w:t>三</w:t>
      </w:r>
      <w:r>
        <w:rPr>
          <w:rStyle w:val="4"/>
          <w:rFonts w:hint="eastAsia" w:ascii="宋体" w:hAnsi="宋体" w:eastAsia="宋体" w:cs="宋体"/>
          <w:b/>
          <w:color w:val="auto"/>
          <w:sz w:val="24"/>
          <w:szCs w:val="24"/>
          <w:shd w:val="clear" w:fill="FFFFFF"/>
        </w:rPr>
        <w:t>、课程内容</w:t>
      </w:r>
    </w:p>
    <w:p>
      <w:pPr>
        <w:widowControl/>
        <w:spacing w:line="520" w:lineRule="exact"/>
        <w:ind w:firstLine="480"/>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（一）课程的总体结构</w:t>
      </w:r>
    </w:p>
    <w:p>
      <w:pPr>
        <w:widowControl/>
        <w:spacing w:line="520" w:lineRule="exact"/>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在课程内容上，趣味编程分为初级模块、高级模块和创客模块，共75课时。初级模块要求掌握基础程序设计能力，高级模块要求掌握多种较常见的编程方法、策略等，能自主完成项目，创客模块面向先进前沿技术，要求学生能综合性地解决问题或完成项目。</w:t>
      </w:r>
    </w:p>
    <w:tbl>
      <w:tblPr>
        <w:tblStyle w:val="7"/>
        <w:tblpPr w:leftFromText="180" w:rightFromText="180" w:vertAnchor="text" w:horzAnchor="page" w:tblpX="1995" w:tblpY="480"/>
        <w:tblOverlap w:val="never"/>
        <w:tblW w:w="8553" w:type="dxa"/>
        <w:tblInd w:w="0" w:type="dxa"/>
        <w:tblLayout w:type="fixed"/>
        <w:tblCellMar>
          <w:top w:w="0" w:type="dxa"/>
          <w:left w:w="108" w:type="dxa"/>
          <w:bottom w:w="0" w:type="dxa"/>
          <w:right w:w="108" w:type="dxa"/>
        </w:tblCellMar>
      </w:tblPr>
      <w:tblGrid>
        <w:gridCol w:w="1814"/>
        <w:gridCol w:w="2056"/>
        <w:gridCol w:w="2595"/>
        <w:gridCol w:w="2088"/>
      </w:tblGrid>
      <w:tr>
        <w:tblPrEx>
          <w:tblLayout w:type="fixed"/>
          <w:tblCellMar>
            <w:top w:w="0" w:type="dxa"/>
            <w:left w:w="108" w:type="dxa"/>
            <w:bottom w:w="0" w:type="dxa"/>
            <w:right w:w="108" w:type="dxa"/>
          </w:tblCellMar>
        </w:tblPrEx>
        <w:trPr>
          <w:trHeight w:val="754" w:hRule="atLeast"/>
        </w:trPr>
        <w:tc>
          <w:tcPr>
            <w:tcW w:w="1814" w:type="dxa"/>
            <w:tcBorders>
              <w:top w:val="single" w:color="000000" w:sz="4" w:space="0"/>
              <w:left w:val="single" w:color="000000" w:sz="8" w:space="0"/>
              <w:bottom w:val="single" w:color="000000" w:sz="8" w:space="0"/>
              <w:right w:val="single" w:color="000000" w:sz="8" w:space="0"/>
            </w:tcBorders>
            <w:vAlign w:val="center"/>
          </w:tcPr>
          <w:p>
            <w:pPr>
              <w:widowControl/>
              <w:spacing w:line="520" w:lineRule="exact"/>
              <w:ind w:left="103" w:hanging="103"/>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 xml:space="preserve">   模块学段</w:t>
            </w:r>
          </w:p>
        </w:tc>
        <w:tc>
          <w:tcPr>
            <w:tcW w:w="2056" w:type="dxa"/>
            <w:tcBorders>
              <w:top w:val="single" w:color="000000" w:sz="4" w:space="0"/>
              <w:left w:val="nil"/>
              <w:bottom w:val="single" w:color="000000" w:sz="8" w:space="0"/>
              <w:right w:val="single" w:color="000000" w:sz="4" w:space="0"/>
            </w:tcBorders>
            <w:vAlign w:val="center"/>
          </w:tcPr>
          <w:p>
            <w:pPr>
              <w:widowControl/>
              <w:spacing w:line="520" w:lineRule="exact"/>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初级模块</w:t>
            </w:r>
          </w:p>
        </w:tc>
        <w:tc>
          <w:tcPr>
            <w:tcW w:w="2595" w:type="dxa"/>
            <w:tcBorders>
              <w:top w:val="single" w:color="000000" w:sz="4" w:space="0"/>
              <w:left w:val="nil"/>
              <w:bottom w:val="single" w:color="000000" w:sz="8" w:space="0"/>
              <w:right w:val="single" w:color="000000" w:sz="8" w:space="0"/>
            </w:tcBorders>
            <w:vAlign w:val="center"/>
          </w:tcPr>
          <w:p>
            <w:pPr>
              <w:widowControl/>
              <w:spacing w:line="520" w:lineRule="exact"/>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高级模块</w:t>
            </w:r>
          </w:p>
        </w:tc>
        <w:tc>
          <w:tcPr>
            <w:tcW w:w="2088" w:type="dxa"/>
            <w:tcBorders>
              <w:top w:val="single" w:color="000000" w:sz="4" w:space="0"/>
              <w:left w:val="single" w:color="000000" w:sz="4" w:space="0"/>
              <w:bottom w:val="single" w:color="000000" w:sz="8" w:space="0"/>
              <w:right w:val="single" w:color="000000" w:sz="8" w:space="0"/>
            </w:tcBorders>
            <w:vAlign w:val="center"/>
          </w:tcPr>
          <w:p>
            <w:pPr>
              <w:widowControl/>
              <w:spacing w:line="520" w:lineRule="exact"/>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创客模块</w:t>
            </w:r>
          </w:p>
        </w:tc>
      </w:tr>
      <w:tr>
        <w:tblPrEx>
          <w:tblLayout w:type="fixed"/>
          <w:tblCellMar>
            <w:top w:w="0" w:type="dxa"/>
            <w:left w:w="108" w:type="dxa"/>
            <w:bottom w:w="0" w:type="dxa"/>
            <w:right w:w="108" w:type="dxa"/>
          </w:tblCellMar>
        </w:tblPrEx>
        <w:trPr>
          <w:trHeight w:val="494" w:hRule="atLeast"/>
        </w:trPr>
        <w:tc>
          <w:tcPr>
            <w:tcW w:w="1814" w:type="dxa"/>
            <w:tcBorders>
              <w:top w:val="single" w:color="000000" w:sz="8" w:space="0"/>
              <w:left w:val="single" w:color="000000" w:sz="8" w:space="0"/>
              <w:bottom w:val="single" w:color="000000" w:sz="4" w:space="0"/>
              <w:right w:val="single" w:color="000000" w:sz="8" w:space="0"/>
            </w:tcBorders>
            <w:vAlign w:val="center"/>
          </w:tcPr>
          <w:p>
            <w:pPr>
              <w:widowControl/>
              <w:spacing w:line="520" w:lineRule="exact"/>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小学</w:t>
            </w:r>
          </w:p>
        </w:tc>
        <w:tc>
          <w:tcPr>
            <w:tcW w:w="2056" w:type="dxa"/>
            <w:tcBorders>
              <w:top w:val="single" w:color="000000" w:sz="8" w:space="0"/>
              <w:left w:val="nil"/>
              <w:bottom w:val="single" w:color="000000" w:sz="4" w:space="0"/>
              <w:right w:val="single" w:color="000000" w:sz="8" w:space="0"/>
            </w:tcBorders>
            <w:vAlign w:val="center"/>
          </w:tcPr>
          <w:p>
            <w:pPr>
              <w:widowControl/>
              <w:spacing w:line="52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30</w:t>
            </w:r>
          </w:p>
        </w:tc>
        <w:tc>
          <w:tcPr>
            <w:tcW w:w="2595" w:type="dxa"/>
            <w:tcBorders>
              <w:top w:val="single" w:color="000000" w:sz="8" w:space="0"/>
              <w:left w:val="nil"/>
              <w:bottom w:val="single" w:color="000000" w:sz="4" w:space="0"/>
              <w:right w:val="single" w:color="000000" w:sz="8" w:space="0"/>
            </w:tcBorders>
            <w:vAlign w:val="center"/>
          </w:tcPr>
          <w:p>
            <w:pPr>
              <w:widowControl/>
              <w:spacing w:line="52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30</w:t>
            </w:r>
          </w:p>
        </w:tc>
        <w:tc>
          <w:tcPr>
            <w:tcW w:w="2088" w:type="dxa"/>
            <w:tcBorders>
              <w:top w:val="single" w:color="000000" w:sz="8" w:space="0"/>
              <w:left w:val="single" w:color="000000" w:sz="4" w:space="0"/>
              <w:bottom w:val="single" w:color="000000" w:sz="8" w:space="0"/>
              <w:right w:val="single" w:color="000000" w:sz="8" w:space="0"/>
            </w:tcBorders>
            <w:vAlign w:val="center"/>
          </w:tcPr>
          <w:p>
            <w:pPr>
              <w:widowControl/>
              <w:spacing w:line="52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30</w:t>
            </w:r>
          </w:p>
        </w:tc>
      </w:tr>
    </w:tbl>
    <w:p>
      <w:pPr>
        <w:widowControl/>
        <w:spacing w:line="520" w:lineRule="exact"/>
        <w:ind w:firstLine="480"/>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（二）各模块概述</w:t>
      </w:r>
    </w:p>
    <w:p>
      <w:pPr>
        <w:widowControl/>
        <w:spacing w:line="520" w:lineRule="exact"/>
        <w:ind w:firstLine="42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基础模块划分为十个主题活动，每个活动3课时，设计由易到难，知识由浅入深，通过十个主题活动，掌握Scratch的界面、角色、场景、变量、命令等知识，并能进行简单的趣味程序开发。</w:t>
      </w:r>
    </w:p>
    <w:p>
      <w:pPr>
        <w:widowControl/>
        <w:spacing w:line="520" w:lineRule="exact"/>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高级模块划分为九个主题活动，分别模拟生活中、学习中的常见问题，采用程序设计</w:t>
      </w:r>
      <w:r>
        <w:rPr>
          <w:rFonts w:hint="eastAsia" w:asciiTheme="minorEastAsia" w:hAnsiTheme="minorEastAsia" w:cstheme="minorEastAsia"/>
          <w:color w:val="000000"/>
          <w:kern w:val="0"/>
          <w:sz w:val="24"/>
          <w:szCs w:val="24"/>
          <w:lang w:eastAsia="zh-CN"/>
        </w:rPr>
        <w:t>及盛思实验箱</w:t>
      </w:r>
      <w:r>
        <w:rPr>
          <w:rFonts w:hint="eastAsia" w:asciiTheme="minorEastAsia" w:hAnsiTheme="minorEastAsia" w:eastAsiaTheme="minorEastAsia" w:cstheme="minorEastAsia"/>
          <w:color w:val="000000"/>
          <w:kern w:val="0"/>
          <w:sz w:val="24"/>
          <w:szCs w:val="24"/>
        </w:rPr>
        <w:t>来解决问题。学生掌握程序设计的一般方法，能创造性地进行趣味程序的设计与开发。</w:t>
      </w:r>
    </w:p>
    <w:p>
      <w:pPr>
        <w:widowControl/>
        <w:spacing w:line="520" w:lineRule="exact"/>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创客模块将由多个课程组成，每个模块各15课时，例如3D打印模块、智能机器、物联网等可进行选修。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jc w:val="both"/>
        <w:textAlignment w:val="auto"/>
        <w:outlineLvl w:val="9"/>
        <w:rPr>
          <w:color w:val="auto"/>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outlineLvl w:val="9"/>
        <w:rPr>
          <w:color w:val="auto"/>
        </w:rPr>
      </w:pPr>
      <w:r>
        <w:rPr>
          <w:rStyle w:val="4"/>
          <w:rFonts w:hint="eastAsia" w:ascii="宋体" w:hAnsi="宋体" w:eastAsia="宋体" w:cs="宋体"/>
          <w:b/>
          <w:color w:val="auto"/>
          <w:sz w:val="24"/>
          <w:szCs w:val="24"/>
          <w:shd w:val="clear" w:fill="FFFFFF"/>
          <w:lang w:val="en-US" w:eastAsia="zh-CN"/>
        </w:rPr>
        <w:t xml:space="preserve">    </w:t>
      </w:r>
      <w:r>
        <w:rPr>
          <w:rStyle w:val="4"/>
          <w:rFonts w:hint="eastAsia" w:ascii="宋体" w:hAnsi="宋体" w:eastAsia="宋体" w:cs="宋体"/>
          <w:b/>
          <w:color w:val="auto"/>
          <w:sz w:val="24"/>
          <w:szCs w:val="24"/>
          <w:shd w:val="clear" w:fill="FFFFFF"/>
          <w:lang w:eastAsia="zh-CN"/>
        </w:rPr>
        <w:t>四</w:t>
      </w:r>
      <w:r>
        <w:rPr>
          <w:rStyle w:val="4"/>
          <w:rFonts w:hint="eastAsia" w:ascii="宋体" w:hAnsi="宋体" w:eastAsia="宋体" w:cs="宋体"/>
          <w:b/>
          <w:color w:val="auto"/>
          <w:sz w:val="24"/>
          <w:szCs w:val="24"/>
          <w:shd w:val="clear" w:fill="FFFFFF"/>
        </w:rPr>
        <w:t>、课程实施</w:t>
      </w:r>
    </w:p>
    <w:p>
      <w:pPr>
        <w:widowControl/>
        <w:spacing w:line="520" w:lineRule="exact"/>
        <w:ind w:firstLine="480"/>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cstheme="minorEastAsia"/>
          <w:b/>
          <w:bCs/>
          <w:color w:val="000000"/>
          <w:kern w:val="0"/>
          <w:sz w:val="24"/>
          <w:szCs w:val="24"/>
          <w:lang w:eastAsia="zh-CN"/>
        </w:rPr>
        <w:t>（</w:t>
      </w:r>
      <w:r>
        <w:rPr>
          <w:rFonts w:hint="eastAsia" w:asciiTheme="minorEastAsia" w:hAnsiTheme="minorEastAsia" w:eastAsiaTheme="minorEastAsia" w:cstheme="minorEastAsia"/>
          <w:b/>
          <w:bCs/>
          <w:color w:val="000000"/>
          <w:kern w:val="0"/>
          <w:sz w:val="24"/>
          <w:szCs w:val="24"/>
        </w:rPr>
        <w:t>一）课程开设</w:t>
      </w:r>
    </w:p>
    <w:p>
      <w:pPr>
        <w:widowControl/>
        <w:spacing w:line="520" w:lineRule="exact"/>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学校实际出发，在充分考虑学生发展需要的基础上，选择性地开设趣味编程课程，建议在小学五年级开设初级模块、小学六年级开设高级模块作为常态班级授课，也可以选择创客模块进行社团教学。在开设初级课程时，学校只须拥有学生机房即可，而开设高级课程和创客课程时，需要添置必要的传感器设备。</w:t>
      </w:r>
    </w:p>
    <w:p>
      <w:pPr>
        <w:widowControl/>
        <w:spacing w:line="520" w:lineRule="exact"/>
        <w:ind w:firstLine="480"/>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（二）教学建议</w:t>
      </w:r>
    </w:p>
    <w:p>
      <w:pPr>
        <w:widowControl/>
        <w:spacing w:line="520" w:lineRule="exact"/>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1、教学策略</w:t>
      </w:r>
    </w:p>
    <w:p>
      <w:pPr>
        <w:widowControl/>
        <w:spacing w:line="520" w:lineRule="exact"/>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（1）趣味性和生活化策略</w:t>
      </w:r>
    </w:p>
    <w:p>
      <w:pPr>
        <w:widowControl/>
        <w:spacing w:line="520" w:lineRule="exact"/>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将学生喜闻乐见的素材整合到Scratch 教学中，如放大镜、计算器、七色花、迷宫探险等，体现了项目的趣味性和生活化。贴近学生生活实际的教学素材，更容易激发学生的学习兴趣，使学习更具生活化。</w:t>
      </w:r>
    </w:p>
    <w:p>
      <w:pPr>
        <w:widowControl/>
        <w:spacing w:line="520" w:lineRule="exact"/>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（2）适切性与发展性策略</w:t>
      </w:r>
    </w:p>
    <w:p>
      <w:pPr>
        <w:widowControl/>
        <w:spacing w:line="520" w:lineRule="exact"/>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适切性指项目设计要符合学生现有的认知水平和发展程度，发展性是指在原先基础上要有所提升，但又不能过于拔高学生。</w:t>
      </w:r>
    </w:p>
    <w:p>
      <w:pPr>
        <w:widowControl/>
        <w:spacing w:line="520" w:lineRule="exact"/>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（3）层次性与梯度性策略</w:t>
      </w:r>
    </w:p>
    <w:p>
      <w:pPr>
        <w:widowControl/>
        <w:spacing w:line="520" w:lineRule="exact"/>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我们在设计项目时，要从学生“学”的角度来设计教学活动。所设计的任务应由简到繁、由易到难、前后相连、层层入深，构成一个有梯度的链。学生也只有经历过具有层次性与梯度性的探究活动，才能真正形成技能。</w:t>
      </w:r>
    </w:p>
    <w:p>
      <w:pPr>
        <w:widowControl/>
        <w:spacing w:line="520" w:lineRule="exact"/>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（4）拓展性与迁移性策略</w:t>
      </w:r>
    </w:p>
    <w:p>
      <w:pPr>
        <w:widowControl/>
        <w:spacing w:line="520" w:lineRule="exact"/>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一个好的Scratch 项目，一定要有其拓展性与迁移性，即我们教学的只是范例，要让学生能够做到举一反三，能够关注生活中的类似问题并有效解决。</w:t>
      </w:r>
    </w:p>
    <w:p>
      <w:pPr>
        <w:widowControl/>
        <w:numPr>
          <w:ilvl w:val="0"/>
          <w:numId w:val="1"/>
        </w:numPr>
        <w:spacing w:line="520" w:lineRule="exact"/>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编程教学模式</w:t>
      </w:r>
    </w:p>
    <w:p>
      <w:pPr>
        <w:widowControl/>
        <w:spacing w:line="520" w:lineRule="exac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     信息技术的教学有很多模式和方法，教学中可以应用或发展相对成熟的模式或方法，Scratch是程序设计，不同于一般的信息技术，对学生的思维能力、想像能力要求较高，在教学中可以参考以下模式进行。</w:t>
      </w:r>
    </w:p>
    <w:p>
      <w:pPr>
        <w:widowControl/>
        <w:spacing w:line="520" w:lineRule="exact"/>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（1）情境创设、明确主题</w:t>
      </w:r>
    </w:p>
    <w:p>
      <w:pPr>
        <w:widowControl/>
        <w:spacing w:line="520" w:lineRule="exact"/>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（2）程序分析、了解算法</w:t>
      </w:r>
    </w:p>
    <w:p>
      <w:pPr>
        <w:widowControl/>
        <w:spacing w:line="520" w:lineRule="exact"/>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（3）探究互动、形成方案</w:t>
      </w:r>
    </w:p>
    <w:p>
      <w:pPr>
        <w:widowControl/>
        <w:spacing w:line="520" w:lineRule="exact"/>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（4）完善方案、完成程序</w:t>
      </w:r>
    </w:p>
    <w:p>
      <w:pPr>
        <w:widowControl/>
        <w:spacing w:line="520" w:lineRule="exact"/>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（5）分享交流、拓展提升</w:t>
      </w:r>
    </w:p>
    <w:p>
      <w:pPr>
        <w:widowControl/>
        <w:spacing w:line="520" w:lineRule="exact"/>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3、“创课”教学法</w:t>
      </w:r>
    </w:p>
    <w:p>
      <w:pPr>
        <w:widowControl/>
        <w:spacing w:line="520" w:lineRule="exact"/>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它是创客模块在课堂教学中的体现与一般方法，创课教学法的基本教学观点是：“学习即智造”，基本特点是“有创意，能设计，敢动手，乐分享”。创客模块必须制造出现实的物品，这是它和一般程序设计教学最大的不同。创课教学法一既可以应用于一课时，也可以应用于需要几个课时才能完成的一个较大项目的学习任务。</w:t>
      </w:r>
    </w:p>
    <w:p>
      <w:pPr>
        <w:widowControl/>
        <w:spacing w:line="520" w:lineRule="exact"/>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创课教学法在课堂中的一般步聚：</w:t>
      </w:r>
    </w:p>
    <w:p>
      <w:pPr>
        <w:widowControl/>
        <w:spacing w:line="520" w:lineRule="exact"/>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（1）根据情景或问题提出创新项目。教师根据教学目标和学生认识水平，提出问题，或者在根据学生生活实际提出某些优化项目。</w:t>
      </w:r>
    </w:p>
    <w:p>
      <w:pPr>
        <w:widowControl/>
        <w:spacing w:line="520" w:lineRule="exact"/>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（2）设计完成项目的路径。学生根据项目的特点、难度等情况设计采用什么方法或哪些方法来完成，在这些路径中还有什么知识需要学习，什么问题需要解决。</w:t>
      </w:r>
    </w:p>
    <w:p>
      <w:pPr>
        <w:widowControl/>
        <w:spacing w:line="520" w:lineRule="exact"/>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（3）通过学习、实践完成项目。学生通过动手制作，不断调试程序完成项目。</w:t>
      </w:r>
    </w:p>
    <w:p>
      <w:pPr>
        <w:widowControl/>
        <w:spacing w:line="520" w:lineRule="exact"/>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（4）组织分享和完善。每个项目都必须分享，课堂由于时间的限制，可以采用多种方式分享，同时根据项目的独特性和个性化，要对项目提出完善的建议。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outlineLvl w:val="9"/>
        <w:rPr>
          <w:color w:val="auto"/>
        </w:rPr>
      </w:pPr>
      <w:r>
        <w:rPr>
          <w:rStyle w:val="4"/>
          <w:rFonts w:hint="eastAsia" w:ascii="宋体" w:hAnsi="宋体" w:eastAsia="宋体" w:cs="宋体"/>
          <w:b/>
          <w:color w:val="auto"/>
          <w:sz w:val="24"/>
          <w:szCs w:val="24"/>
          <w:shd w:val="clear" w:fill="FFFFFF"/>
          <w:lang w:val="en-US" w:eastAsia="zh-CN"/>
        </w:rPr>
        <w:t xml:space="preserve">    </w:t>
      </w:r>
      <w:r>
        <w:rPr>
          <w:rStyle w:val="4"/>
          <w:rFonts w:hint="eastAsia" w:ascii="宋体" w:hAnsi="宋体" w:eastAsia="宋体" w:cs="宋体"/>
          <w:b/>
          <w:color w:val="auto"/>
          <w:sz w:val="24"/>
          <w:szCs w:val="24"/>
          <w:shd w:val="clear" w:fill="FFFFFF"/>
          <w:lang w:eastAsia="zh-CN"/>
        </w:rPr>
        <w:t>五</w:t>
      </w:r>
      <w:r>
        <w:rPr>
          <w:rStyle w:val="4"/>
          <w:rFonts w:hint="eastAsia" w:ascii="宋体" w:hAnsi="宋体" w:eastAsia="宋体" w:cs="宋体"/>
          <w:b/>
          <w:color w:val="auto"/>
          <w:sz w:val="24"/>
          <w:szCs w:val="24"/>
          <w:shd w:val="clear" w:fill="FFFFFF"/>
        </w:rPr>
        <w:t>、评价建议</w:t>
      </w:r>
    </w:p>
    <w:p>
      <w:pPr>
        <w:widowControl/>
        <w:spacing w:line="520" w:lineRule="exact"/>
        <w:ind w:firstLine="56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趣味编程的评价以促进学生发展为根本目的，根据课程的基本目标展开具体评价。充分发挥评价对学生学习行为的激励和导向功能，及时、全面地了解学生的学习状况，指导学生的学习行为，通过自评、互评等方式，引导学生主体意识的发展，培养学生积极参与评价的意识和能力，教师应科学认识课程评价的各项结果，合理地设计和调节教学过程与方法。</w:t>
      </w:r>
    </w:p>
    <w:p>
      <w:pPr>
        <w:widowControl/>
        <w:spacing w:line="520" w:lineRule="exact"/>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(一) 过程性评价与总结性评价</w:t>
      </w:r>
    </w:p>
    <w:p>
      <w:pPr>
        <w:widowControl/>
        <w:spacing w:line="520" w:lineRule="exact"/>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信息技术课程强调实践性，注重对学生进行过程性评价。过程性评价应有一定的标准，但标准要有所侧重，不宜过于复杂。评价标准可以在活动前提出，也可以在活动过程中由师生共同确定。</w:t>
      </w:r>
    </w:p>
    <w:p>
      <w:pPr>
        <w:widowControl/>
        <w:spacing w:line="520" w:lineRule="exact"/>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过程性评价主要包括学生作品的收集与评价、学生活动过程的现场观察与记录等形式。班级或学校可以建立学生档案袋，以记录学生发展的过程。</w:t>
      </w:r>
    </w:p>
    <w:p>
      <w:pPr>
        <w:widowControl/>
        <w:spacing w:line="520" w:lineRule="exact"/>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过程性评价的结果一方面可以作为教师个别指导的依据，另一方面也可以作为学生反思回顾学习过程、促进自身发展的依据。</w:t>
      </w:r>
    </w:p>
    <w:p>
      <w:pPr>
        <w:widowControl/>
        <w:spacing w:line="520" w:lineRule="exact"/>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总结性评价要强调对教学和学习的诊断、激励和促进作用。总结性评价可以采用TED的方式，通过学生演示、宣讲和接受答辩等形式引导学生知识与技能、过程与方法、情感态度与价值观、创新能力等方面的提升。</w:t>
      </w:r>
    </w:p>
    <w:p>
      <w:pPr>
        <w:widowControl/>
        <w:spacing w:line="520" w:lineRule="exact"/>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（二）自我评价与互相评价</w:t>
      </w:r>
    </w:p>
    <w:p>
      <w:pPr>
        <w:widowControl/>
        <w:spacing w:line="520" w:lineRule="exact"/>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自我评价是由学生自行对自己的学习对照评价标准进行自我的评价。相互评价是指学生之间通过体验、交流对同伴的项目进行评价，以及教师、家长对作品的评价。</w:t>
      </w:r>
    </w:p>
    <w:p>
      <w:pPr>
        <w:widowControl/>
        <w:spacing w:line="520" w:lineRule="exact"/>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相互评价一般可以由以下两种方式：</w:t>
      </w:r>
    </w:p>
    <w:p>
      <w:pPr>
        <w:widowControl/>
        <w:spacing w:line="520" w:lineRule="exact"/>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优化型评价。学生完成的作品通过云盘进行网络分享，学生可以运用任何一台联网电脑进行程序完善，也可以体验其他同学的作品，进行评价与修改，更可以在现有作品上进行创意延伸，体验中心的终端随时提供菜单式的项目体验。</w:t>
      </w:r>
    </w:p>
    <w:p>
      <w:pPr>
        <w:widowControl/>
        <w:spacing w:line="520" w:lineRule="exact"/>
        <w:ind w:firstLine="420" w:firstLineChars="150"/>
        <w:rPr>
          <w:color w:val="auto"/>
        </w:rPr>
      </w:pPr>
      <w:r>
        <w:rPr>
          <w:rFonts w:hint="eastAsia" w:asciiTheme="minorEastAsia" w:hAnsiTheme="minorEastAsia" w:eastAsiaTheme="minorEastAsia" w:cstheme="minorEastAsia"/>
          <w:color w:val="000000"/>
          <w:kern w:val="0"/>
          <w:sz w:val="24"/>
          <w:szCs w:val="24"/>
        </w:rPr>
        <w:t>（2）参与型评价。我们运用网络交流平台、相关比赛等，让学生和老师使用、体验自己的程序作品，如游戏、创客作品等，亲身感受后再进行评价。</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华文细黑">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9A58D7"/>
    <w:multiLevelType w:val="singleLevel"/>
    <w:tmpl w:val="549A58D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7957FC"/>
    <w:rsid w:val="45595352"/>
    <w:rsid w:val="604525B0"/>
    <w:rsid w:val="625C297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3D3D3D"/>
      <w:u w:val="none"/>
    </w:rPr>
  </w:style>
  <w:style w:type="character" w:styleId="6">
    <w:name w:val="Hyperlink"/>
    <w:basedOn w:val="3"/>
    <w:uiPriority w:val="0"/>
    <w:rPr>
      <w:color w:val="3D3D3D"/>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2017-03-12T04:52:12Z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