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05" w:rsidRPr="000A20A6" w:rsidRDefault="00E61505" w:rsidP="00E61505">
      <w:pPr>
        <w:spacing w:line="440" w:lineRule="exact"/>
        <w:jc w:val="center"/>
        <w:rPr>
          <w:rFonts w:ascii="黑体" w:eastAsia="黑体" w:hAnsi="黑体" w:cs="黑体"/>
          <w:sz w:val="36"/>
          <w:szCs w:val="44"/>
        </w:rPr>
      </w:pPr>
      <w:r w:rsidRPr="000A20A6">
        <w:rPr>
          <w:rFonts w:ascii="黑体" w:eastAsia="黑体" w:hAnsi="黑体" w:cs="黑体" w:hint="eastAsia"/>
          <w:sz w:val="36"/>
          <w:szCs w:val="44"/>
        </w:rPr>
        <w:t>新优质  指方向  共行动  再出发</w:t>
      </w:r>
    </w:p>
    <w:p w:rsidR="00E61505" w:rsidRDefault="00E61505" w:rsidP="00E61505">
      <w:pPr>
        <w:spacing w:line="440" w:lineRule="exact"/>
        <w:jc w:val="center"/>
        <w:rPr>
          <w:rFonts w:asciiTheme="minorEastAsia" w:hAnsiTheme="minorEastAsia" w:cs="宋体"/>
          <w:color w:val="000000" w:themeColor="text1"/>
          <w:sz w:val="24"/>
          <w:szCs w:val="24"/>
          <w:shd w:val="clear" w:color="auto" w:fill="FFFFFF"/>
        </w:rPr>
      </w:pPr>
      <w:r w:rsidRPr="005521FC">
        <w:rPr>
          <w:rFonts w:asciiTheme="minorEastAsia" w:hAnsiTheme="minorEastAsia" w:cs="宋体" w:hint="eastAsia"/>
          <w:color w:val="000000" w:themeColor="text1"/>
          <w:sz w:val="24"/>
          <w:szCs w:val="24"/>
          <w:shd w:val="clear" w:color="auto" w:fill="FFFFFF"/>
        </w:rPr>
        <w:t>——常州市新北区薛家实验小学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shd w:val="clear" w:color="auto" w:fill="FFFFFF"/>
        </w:rPr>
        <w:t>2020年度课程与教学工作</w:t>
      </w:r>
      <w:r w:rsidRPr="005521FC">
        <w:rPr>
          <w:rFonts w:asciiTheme="minorEastAsia" w:hAnsiTheme="minorEastAsia" w:cs="宋体" w:hint="eastAsia"/>
          <w:color w:val="000000" w:themeColor="text1"/>
          <w:sz w:val="24"/>
          <w:szCs w:val="24"/>
          <w:shd w:val="clear" w:color="auto" w:fill="FFFFFF"/>
        </w:rPr>
        <w:t>总结</w:t>
      </w:r>
    </w:p>
    <w:p w:rsidR="00E61505" w:rsidRDefault="00E61505" w:rsidP="00CC7734">
      <w:pPr>
        <w:adjustRightInd w:val="0"/>
        <w:snapToGrid w:val="0"/>
        <w:spacing w:line="440" w:lineRule="exact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0E2844">
        <w:rPr>
          <w:rFonts w:asciiTheme="majorEastAsia" w:eastAsiaTheme="majorEastAsia" w:hAnsiTheme="majorEastAsia" w:hint="eastAsia"/>
          <w:sz w:val="24"/>
        </w:rPr>
        <w:t>本学期</w:t>
      </w:r>
      <w:r>
        <w:rPr>
          <w:rFonts w:asciiTheme="majorEastAsia" w:eastAsiaTheme="majorEastAsia" w:hAnsiTheme="majorEastAsia" w:hint="eastAsia"/>
          <w:sz w:val="24"/>
        </w:rPr>
        <w:t>，</w:t>
      </w:r>
      <w:r w:rsidRPr="000E2844">
        <w:rPr>
          <w:rFonts w:asciiTheme="majorEastAsia" w:eastAsiaTheme="majorEastAsia" w:hAnsiTheme="majorEastAsia" w:hint="eastAsia"/>
          <w:sz w:val="24"/>
        </w:rPr>
        <w:t>我校继续积极贯彻落实市、区有关精神，</w:t>
      </w:r>
      <w:r w:rsidRPr="000E2844">
        <w:rPr>
          <w:rFonts w:asciiTheme="majorEastAsia" w:eastAsiaTheme="majorEastAsia" w:hAnsiTheme="majorEastAsia" w:cs="宋体" w:hint="eastAsia"/>
          <w:sz w:val="24"/>
        </w:rPr>
        <w:t>对照</w:t>
      </w:r>
      <w:r>
        <w:rPr>
          <w:rFonts w:asciiTheme="majorEastAsia" w:eastAsiaTheme="majorEastAsia" w:hAnsiTheme="majorEastAsia" w:cs="宋体" w:hint="eastAsia"/>
          <w:sz w:val="24"/>
        </w:rPr>
        <w:t>三年主动发展规划和</w:t>
      </w:r>
      <w:r w:rsidRPr="000E2844">
        <w:rPr>
          <w:rFonts w:asciiTheme="majorEastAsia" w:eastAsiaTheme="majorEastAsia" w:hAnsiTheme="majorEastAsia" w:cs="宋体" w:hint="eastAsia"/>
          <w:sz w:val="24"/>
        </w:rPr>
        <w:t>创“新优质”学校的各项标准</w:t>
      </w:r>
      <w:r>
        <w:rPr>
          <w:rFonts w:asciiTheme="majorEastAsia" w:eastAsiaTheme="majorEastAsia" w:hAnsiTheme="majorEastAsia" w:cs="宋体" w:hint="eastAsia"/>
          <w:sz w:val="24"/>
        </w:rPr>
        <w:t>明方向，</w:t>
      </w:r>
      <w:r w:rsidRPr="000E2844">
        <w:rPr>
          <w:rFonts w:asciiTheme="majorEastAsia" w:eastAsiaTheme="majorEastAsia" w:hAnsiTheme="majorEastAsia" w:cs="宋体" w:hint="eastAsia"/>
          <w:sz w:val="24"/>
        </w:rPr>
        <w:t>找差距，不断完善</w:t>
      </w:r>
      <w:r>
        <w:rPr>
          <w:rFonts w:asciiTheme="majorEastAsia" w:eastAsiaTheme="majorEastAsia" w:hAnsiTheme="majorEastAsia" w:cs="宋体" w:hint="eastAsia"/>
          <w:sz w:val="24"/>
        </w:rPr>
        <w:t>课程建设与教学</w:t>
      </w:r>
      <w:r w:rsidRPr="000E2844">
        <w:rPr>
          <w:rFonts w:asciiTheme="majorEastAsia" w:eastAsiaTheme="majorEastAsia" w:hAnsiTheme="majorEastAsia" w:cs="宋体" w:hint="eastAsia"/>
          <w:sz w:val="24"/>
        </w:rPr>
        <w:t>工作。</w:t>
      </w:r>
      <w:r w:rsidRPr="000E2844">
        <w:rPr>
          <w:rFonts w:asciiTheme="majorEastAsia" w:eastAsiaTheme="majorEastAsia" w:hAnsiTheme="majorEastAsia"/>
          <w:sz w:val="24"/>
        </w:rPr>
        <w:t>以课题研究为</w:t>
      </w:r>
      <w:r w:rsidRPr="000E2844">
        <w:rPr>
          <w:rFonts w:asciiTheme="majorEastAsia" w:eastAsiaTheme="majorEastAsia" w:hAnsiTheme="majorEastAsia" w:hint="eastAsia"/>
          <w:sz w:val="24"/>
        </w:rPr>
        <w:t>抓</w:t>
      </w:r>
      <w:r w:rsidRPr="000E2844">
        <w:rPr>
          <w:rFonts w:asciiTheme="majorEastAsia" w:eastAsiaTheme="majorEastAsia" w:hAnsiTheme="majorEastAsia"/>
          <w:sz w:val="24"/>
        </w:rPr>
        <w:t>手，</w:t>
      </w:r>
      <w:r w:rsidRPr="000E2844">
        <w:rPr>
          <w:rFonts w:asciiTheme="majorEastAsia" w:eastAsiaTheme="majorEastAsia" w:hAnsiTheme="majorEastAsia" w:hint="eastAsia"/>
          <w:sz w:val="24"/>
        </w:rPr>
        <w:t>课堂教学为阵地，加强教学研究，努力提高学生的</w:t>
      </w:r>
      <w:r>
        <w:rPr>
          <w:rFonts w:asciiTheme="majorEastAsia" w:eastAsiaTheme="majorEastAsia" w:hAnsiTheme="majorEastAsia" w:hint="eastAsia"/>
          <w:sz w:val="24"/>
        </w:rPr>
        <w:t>核心素养。</w:t>
      </w:r>
      <w:r w:rsidRPr="0056641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学校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课程与教学领域取得了一些</w:t>
      </w:r>
      <w:r w:rsidRPr="0056641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成果：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语文组被评为常州市优秀教研组，数学、英语组被评为新北区优秀教研组，语文、音乐、体育、美术、信息五门学科被评为新北区学科教研基地。</w:t>
      </w:r>
      <w:r>
        <w:rPr>
          <w:rFonts w:ascii="宋体" w:hAnsi="宋体" w:hint="eastAsia"/>
          <w:color w:val="000000"/>
          <w:sz w:val="24"/>
        </w:rPr>
        <w:t>《彩笔绘恩心》《无土栽培有魔力》被评为区优秀校本课程。</w:t>
      </w:r>
      <w:r w:rsidRPr="005521FC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在学生培养上，省市区的科技、艺术、体育以及学科类竞赛中，共有18个项目获得一二等奖。</w:t>
      </w:r>
    </w:p>
    <w:p w:rsidR="002A1745" w:rsidRDefault="00E61505" w:rsidP="002A1745">
      <w:pPr>
        <w:adjustRightInd w:val="0"/>
        <w:snapToGrid w:val="0"/>
        <w:spacing w:line="440" w:lineRule="exact"/>
        <w:ind w:firstLineChars="200" w:firstLine="482"/>
        <w:jc w:val="left"/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</w:pPr>
      <w:r w:rsidRPr="00E61505"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一</w:t>
      </w:r>
      <w:r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、</w:t>
      </w:r>
      <w:r w:rsidRPr="00E61505"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工作策略：</w:t>
      </w:r>
    </w:p>
    <w:p w:rsidR="002A1745" w:rsidRDefault="00E61505" w:rsidP="002A1745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（一）</w:t>
      </w:r>
      <w:r w:rsidR="000C7EA4">
        <w:rPr>
          <w:rFonts w:ascii="宋体" w:hAnsi="宋体" w:hint="eastAsia"/>
          <w:b/>
          <w:bCs/>
          <w:sz w:val="24"/>
        </w:rPr>
        <w:t>落实常规，反馈提升</w:t>
      </w:r>
      <w:r>
        <w:rPr>
          <w:rFonts w:ascii="宋体" w:hAnsi="宋体"/>
          <w:b/>
          <w:bCs/>
          <w:sz w:val="24"/>
        </w:rPr>
        <w:t>。</w:t>
      </w:r>
      <w:r w:rsidR="000C7EA4">
        <w:rPr>
          <w:rFonts w:ascii="宋体" w:hAnsi="宋体" w:hint="eastAsia"/>
          <w:sz w:val="24"/>
        </w:rPr>
        <w:t>各学科组采用集中检查和随机抽查相结合的形式，变检查为指导，</w:t>
      </w:r>
      <w:r w:rsidR="000C7EA4" w:rsidRPr="000C7EA4">
        <w:rPr>
          <w:rFonts w:ascii="宋体" w:hAnsi="宋体" w:hint="eastAsia"/>
          <w:sz w:val="24"/>
        </w:rPr>
        <w:t>力求以检查促规范，以规范促提升。</w:t>
      </w:r>
      <w:r w:rsidR="000C7EA4" w:rsidRPr="000C7EA4">
        <w:rPr>
          <w:rFonts w:ascii="宋体" w:hAnsi="宋体" w:hint="eastAsia"/>
          <w:b/>
          <w:sz w:val="24"/>
        </w:rPr>
        <w:t>一是</w:t>
      </w:r>
      <w:r w:rsidR="000C7EA4">
        <w:rPr>
          <w:rFonts w:ascii="宋体" w:hAnsi="宋体" w:hint="eastAsia"/>
          <w:sz w:val="24"/>
        </w:rPr>
        <w:t>各学科都开展了作业展评活动。</w:t>
      </w:r>
      <w:r w:rsidR="000C7EA4" w:rsidRPr="000C7EA4">
        <w:rPr>
          <w:rFonts w:ascii="宋体" w:hAnsi="宋体" w:hint="eastAsia"/>
          <w:sz w:val="24"/>
        </w:rPr>
        <w:t>同</w:t>
      </w:r>
      <w:r w:rsidR="000C7EA4">
        <w:rPr>
          <w:rFonts w:ascii="宋体" w:hAnsi="宋体" w:hint="eastAsia"/>
          <w:sz w:val="24"/>
        </w:rPr>
        <w:t>年级</w:t>
      </w:r>
      <w:r w:rsidR="000C7EA4" w:rsidRPr="000C7EA4">
        <w:rPr>
          <w:rFonts w:ascii="宋体" w:hAnsi="宋体" w:hint="eastAsia"/>
          <w:sz w:val="24"/>
        </w:rPr>
        <w:t>学科老师相互查看不同班级的作业，在比较中，学习优点，发现不足。</w:t>
      </w:r>
      <w:r w:rsidR="000C7EA4" w:rsidRPr="000C7EA4">
        <w:rPr>
          <w:rFonts w:ascii="宋体" w:hAnsi="宋体" w:hint="eastAsia"/>
          <w:b/>
          <w:sz w:val="24"/>
        </w:rPr>
        <w:t>二是</w:t>
      </w:r>
      <w:r w:rsidR="000C7EA4" w:rsidRPr="000C7EA4">
        <w:rPr>
          <w:rFonts w:ascii="宋体" w:hAnsi="宋体" w:hint="eastAsia"/>
          <w:sz w:val="24"/>
        </w:rPr>
        <w:t>在</w:t>
      </w:r>
      <w:r w:rsidR="000C7EA4">
        <w:rPr>
          <w:rFonts w:ascii="宋体" w:hAnsi="宋体" w:hint="eastAsia"/>
          <w:sz w:val="24"/>
        </w:rPr>
        <w:t>各学科主任</w:t>
      </w:r>
      <w:r w:rsidR="000C7EA4" w:rsidRPr="000C7EA4">
        <w:rPr>
          <w:rFonts w:ascii="宋体" w:hAnsi="宋体" w:hint="eastAsia"/>
          <w:sz w:val="24"/>
        </w:rPr>
        <w:t>的精心组织下，</w:t>
      </w:r>
      <w:r w:rsidR="000C7EA4">
        <w:rPr>
          <w:rFonts w:ascii="宋体" w:hAnsi="宋体" w:hint="eastAsia"/>
          <w:sz w:val="24"/>
        </w:rPr>
        <w:t>先</w:t>
      </w:r>
      <w:r w:rsidR="000C7EA4" w:rsidRPr="000C7EA4">
        <w:rPr>
          <w:rFonts w:ascii="宋体" w:hAnsi="宋体" w:hint="eastAsia"/>
          <w:sz w:val="24"/>
        </w:rPr>
        <w:t>由各年级教研组长</w:t>
      </w:r>
      <w:r w:rsidR="000C7EA4">
        <w:rPr>
          <w:rFonts w:ascii="宋体" w:hAnsi="宋体" w:hint="eastAsia"/>
          <w:sz w:val="24"/>
        </w:rPr>
        <w:t>和骨干教师对所有老师的备课笔记进行了集中检查，再由两校区学科责任人汇总分析，</w:t>
      </w:r>
      <w:r w:rsidR="000C7EA4" w:rsidRPr="000C7EA4">
        <w:rPr>
          <w:rFonts w:ascii="宋体" w:hAnsi="宋体" w:hint="eastAsia"/>
          <w:sz w:val="24"/>
        </w:rPr>
        <w:t>有针对性改进不足之处，明确今后教学工作的重点和方向，不断推进教学质量的提升！</w:t>
      </w:r>
    </w:p>
    <w:p w:rsidR="00E61505" w:rsidRDefault="00DE00B6" w:rsidP="002A1745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（二）</w:t>
      </w:r>
      <w:r w:rsidR="00E61505">
        <w:rPr>
          <w:rFonts w:ascii="宋体" w:hAnsi="宋体" w:hint="eastAsia"/>
          <w:b/>
          <w:bCs/>
          <w:sz w:val="24"/>
        </w:rPr>
        <w:t>三课联动</w:t>
      </w:r>
      <w:r w:rsidR="000C7EA4">
        <w:rPr>
          <w:rFonts w:ascii="宋体" w:hAnsi="宋体" w:hint="eastAsia"/>
          <w:b/>
          <w:bCs/>
          <w:sz w:val="24"/>
        </w:rPr>
        <w:t>，</w:t>
      </w:r>
      <w:r w:rsidR="00497902">
        <w:rPr>
          <w:rFonts w:ascii="宋体" w:hAnsi="宋体" w:hint="eastAsia"/>
          <w:b/>
          <w:bCs/>
          <w:sz w:val="24"/>
        </w:rPr>
        <w:t>共生共长。</w:t>
      </w:r>
    </w:p>
    <w:p w:rsidR="00CC7734" w:rsidRDefault="00CF53CA" w:rsidP="00CC7734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CF53CA">
        <w:rPr>
          <w:rFonts w:ascii="宋体" w:hAnsi="宋体"/>
          <w:sz w:val="24"/>
        </w:rPr>
        <w:t>学校聚焦于</w:t>
      </w:r>
      <w:r>
        <w:rPr>
          <w:rFonts w:ascii="宋体" w:hAnsi="宋体" w:hint="eastAsia"/>
          <w:sz w:val="24"/>
        </w:rPr>
        <w:t>学生</w:t>
      </w:r>
      <w:r w:rsidRPr="00CF53CA">
        <w:rPr>
          <w:rFonts w:ascii="宋体" w:hAnsi="宋体"/>
          <w:sz w:val="24"/>
        </w:rPr>
        <w:t>核心素养，采取课程牵动、课堂撬动、课题引动的“三动”策略，达成共生共长之效局。</w:t>
      </w:r>
    </w:p>
    <w:p w:rsidR="00CC7734" w:rsidRDefault="00DE00B6" w:rsidP="00CC7734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1.课程牵动，让核心素养落地。</w:t>
      </w:r>
    </w:p>
    <w:p w:rsidR="00CC7734" w:rsidRDefault="007F7086" w:rsidP="00CC7734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（1）</w:t>
      </w:r>
      <w:r w:rsidR="003F0FA5">
        <w:rPr>
          <w:rFonts w:ascii="宋体" w:hAnsi="宋体" w:hint="eastAsia"/>
          <w:b/>
          <w:sz w:val="24"/>
        </w:rPr>
        <w:t>国家课程，校本实施。</w:t>
      </w:r>
    </w:p>
    <w:p w:rsidR="003F0FA5" w:rsidRPr="00201859" w:rsidRDefault="003F0FA5" w:rsidP="003F0FA5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 w:cstheme="minorEastAsia"/>
        </w:rPr>
      </w:pPr>
      <w:r>
        <w:rPr>
          <w:rFonts w:hint="eastAsia"/>
          <w:b/>
        </w:rPr>
        <w:t>一是</w:t>
      </w:r>
      <w:r w:rsidRPr="00201859">
        <w:rPr>
          <w:rFonts w:asciiTheme="majorEastAsia" w:eastAsiaTheme="majorEastAsia" w:hAnsiTheme="majorEastAsia" w:cstheme="minorEastAsia" w:hint="eastAsia"/>
          <w:b/>
          <w:color w:val="000000" w:themeColor="text1"/>
        </w:rPr>
        <w:t>分层培养</w:t>
      </w:r>
      <w:r w:rsidRPr="00201859">
        <w:rPr>
          <w:rStyle w:val="a4"/>
          <w:rFonts w:asciiTheme="majorEastAsia" w:eastAsiaTheme="majorEastAsia" w:hAnsiTheme="majorEastAsia" w:cstheme="minorEastAsia" w:hint="eastAsia"/>
          <w:color w:val="000000" w:themeColor="text1"/>
          <w:shd w:val="clear" w:color="auto" w:fill="FFFFFF"/>
        </w:rPr>
        <w:t>。</w:t>
      </w:r>
      <w:r w:rsidRPr="00201859">
        <w:rPr>
          <w:rFonts w:asciiTheme="majorEastAsia" w:eastAsiaTheme="majorEastAsia" w:hAnsiTheme="majorEastAsia" w:cstheme="minorEastAsia" w:hint="eastAsia"/>
          <w:color w:val="000000" w:themeColor="text1"/>
          <w:shd w:val="clear" w:color="auto" w:fill="FFFFFF"/>
        </w:rPr>
        <w:t>我校</w:t>
      </w:r>
      <w:r w:rsidRPr="00201859">
        <w:rPr>
          <w:rFonts w:asciiTheme="majorEastAsia" w:eastAsiaTheme="majorEastAsia" w:hAnsiTheme="majorEastAsia" w:cstheme="minorEastAsia" w:hint="eastAsia"/>
          <w:color w:val="000000"/>
          <w:shd w:val="clear" w:color="auto" w:fill="FFFFFF"/>
        </w:rPr>
        <w:t>将“成人”作为重要的评价指标，摸清家底，分类要求，设定目标，机制跟上。在推进相关项目和研究的时候，选准苗子，搭台子、给位子、压担子，以人的成长和发展带动项目和研究的发展。</w:t>
      </w:r>
      <w:r w:rsidRPr="00201859">
        <w:rPr>
          <w:rFonts w:asciiTheme="majorEastAsia" w:eastAsiaTheme="majorEastAsia" w:hAnsiTheme="majorEastAsia" w:cstheme="minorEastAsia" w:hint="eastAsia"/>
        </w:rPr>
        <w:t>新秀成长团重点锤炼学科教学上新的“四大基本功”；能手成长团重点在课题与课堂研究上下功夫，提升研究能力；经验分享团以提高“命题能力”和“作业点评”能力，分享经验为重点。</w:t>
      </w:r>
    </w:p>
    <w:p w:rsidR="003F0FA5" w:rsidRDefault="003F0FA5" w:rsidP="003F0FA5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二是</w:t>
      </w:r>
      <w:r w:rsidRPr="00B04DD1">
        <w:rPr>
          <w:rFonts w:ascii="宋体" w:hAnsi="宋体" w:hint="eastAsia"/>
          <w:b/>
          <w:sz w:val="24"/>
        </w:rPr>
        <w:t>丰富</w:t>
      </w:r>
      <w:r>
        <w:rPr>
          <w:rFonts w:ascii="宋体" w:hAnsi="宋体" w:hint="eastAsia"/>
          <w:b/>
          <w:sz w:val="24"/>
        </w:rPr>
        <w:t>教研</w:t>
      </w:r>
    </w:p>
    <w:p w:rsidR="003F0FA5" w:rsidRDefault="003F0FA5" w:rsidP="003F0FA5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前沿学习：</w:t>
      </w:r>
      <w:r w:rsidRPr="007F7086">
        <w:rPr>
          <w:rFonts w:ascii="宋体" w:hAnsi="宋体" w:hint="eastAsia"/>
          <w:bCs/>
          <w:sz w:val="24"/>
        </w:rPr>
        <w:t>既有</w:t>
      </w:r>
      <w:r w:rsidRPr="002D771D">
        <w:rPr>
          <w:rFonts w:ascii="宋体" w:hAnsi="宋体" w:hint="eastAsia"/>
          <w:bCs/>
          <w:sz w:val="24"/>
        </w:rPr>
        <w:t>骨干推荐学科前沿理论的聚焦式学习，也</w:t>
      </w:r>
      <w:r>
        <w:rPr>
          <w:rFonts w:ascii="宋体" w:hAnsi="宋体" w:hint="eastAsia"/>
          <w:bCs/>
          <w:sz w:val="24"/>
        </w:rPr>
        <w:t>有外出学习后的分享</w:t>
      </w:r>
      <w:r w:rsidRPr="002D771D">
        <w:rPr>
          <w:rFonts w:ascii="宋体" w:hAnsi="宋体" w:hint="eastAsia"/>
          <w:bCs/>
          <w:sz w:val="24"/>
        </w:rPr>
        <w:t>，</w:t>
      </w:r>
      <w:r>
        <w:rPr>
          <w:rFonts w:ascii="宋体" w:hAnsi="宋体" w:hint="eastAsia"/>
          <w:sz w:val="24"/>
        </w:rPr>
        <w:t>还有专家们来校进行的</w:t>
      </w:r>
      <w:r w:rsidRPr="00B04DD1">
        <w:rPr>
          <w:rFonts w:ascii="宋体" w:hAnsi="宋体" w:hint="eastAsia"/>
          <w:sz w:val="24"/>
        </w:rPr>
        <w:t>专题讲座，教师们在倾听与比较中激发工作的热情，</w:t>
      </w:r>
      <w:r w:rsidRPr="00B04DD1">
        <w:rPr>
          <w:rFonts w:ascii="宋体" w:hAnsi="宋体" w:hint="eastAsia"/>
          <w:sz w:val="24"/>
        </w:rPr>
        <w:lastRenderedPageBreak/>
        <w:t>燃烧教育的激情。</w:t>
      </w:r>
    </w:p>
    <w:p w:rsidR="003F0FA5" w:rsidRPr="002B5022" w:rsidRDefault="003F0FA5" w:rsidP="003F0FA5">
      <w:pPr>
        <w:spacing w:line="440" w:lineRule="exact"/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>课例打磨：</w:t>
      </w:r>
      <w:r w:rsidRPr="00AA4BCF">
        <w:rPr>
          <w:rFonts w:ascii="宋体" w:hAnsi="宋体" w:hint="eastAsia"/>
          <w:bCs/>
          <w:sz w:val="24"/>
        </w:rPr>
        <w:t>各学科</w:t>
      </w:r>
      <w:r>
        <w:rPr>
          <w:rFonts w:ascii="宋体" w:hAnsi="宋体" w:hint="eastAsia"/>
          <w:bCs/>
          <w:sz w:val="24"/>
        </w:rPr>
        <w:t>采用了</w:t>
      </w:r>
      <w:r w:rsidRPr="00AA4BCF">
        <w:rPr>
          <w:rFonts w:ascii="宋体" w:hAnsi="宋体" w:cs="宋体" w:hint="eastAsia"/>
          <w:sz w:val="24"/>
        </w:rPr>
        <w:t>“同课异构”“同系滚动”等形式开展</w:t>
      </w:r>
      <w:r>
        <w:rPr>
          <w:rFonts w:ascii="宋体" w:hAnsi="宋体" w:cs="宋体" w:hint="eastAsia"/>
          <w:sz w:val="24"/>
        </w:rPr>
        <w:t>了比较扎实的磨课研讨，通过一节课磨出一类课，提炼一种策略。</w:t>
      </w:r>
      <w:r w:rsidRPr="002B5022">
        <w:rPr>
          <w:rFonts w:asciiTheme="minorEastAsia" w:hAnsiTheme="minorEastAsia" w:hint="eastAsia"/>
          <w:sz w:val="24"/>
          <w:szCs w:val="24"/>
        </w:rPr>
        <w:t>在三数组提出了</w:t>
      </w:r>
      <w:r w:rsidRPr="002B5022">
        <w:rPr>
          <w:rFonts w:asciiTheme="minorEastAsia" w:hAnsiTheme="minorEastAsia" w:hint="eastAsia"/>
          <w:b/>
          <w:sz w:val="24"/>
          <w:szCs w:val="24"/>
        </w:rPr>
        <w:t>“种子课研讨”</w:t>
      </w:r>
      <w:r w:rsidRPr="002B5022">
        <w:rPr>
          <w:rFonts w:asciiTheme="minorEastAsia" w:hAnsiTheme="minorEastAsia" w:hint="eastAsia"/>
          <w:sz w:val="24"/>
          <w:szCs w:val="24"/>
        </w:rPr>
        <w:t>行动建议，按照班级顺序，选择比较难把握的课例内容，第1节课带着思考观课，第2节课带着问题议课，第三节课带着智慧重建。</w:t>
      </w:r>
      <w:r>
        <w:rPr>
          <w:rFonts w:asciiTheme="minorEastAsia" w:hAnsiTheme="minorEastAsia" w:hint="eastAsia"/>
          <w:sz w:val="24"/>
          <w:szCs w:val="24"/>
        </w:rPr>
        <w:t>试行下来组内老师觉得比较有效，在教研组长月例会时进行了推广介绍。</w:t>
      </w:r>
    </w:p>
    <w:p w:rsidR="003F0FA5" w:rsidRDefault="003F0FA5" w:rsidP="003F0FA5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/>
          <w:sz w:val="24"/>
        </w:rPr>
      </w:pPr>
      <w:r w:rsidRPr="00B04DD1">
        <w:rPr>
          <w:rFonts w:ascii="宋体" w:hAnsi="宋体" w:hint="eastAsia"/>
          <w:b/>
          <w:bCs/>
          <w:sz w:val="24"/>
        </w:rPr>
        <w:t>素养T台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 w:hint="eastAsia"/>
          <w:bCs/>
          <w:sz w:val="24"/>
        </w:rPr>
        <w:t>数学组</w:t>
      </w:r>
      <w:r>
        <w:rPr>
          <w:rFonts w:ascii="宋体" w:hAnsi="宋体" w:hint="eastAsia"/>
          <w:sz w:val="24"/>
        </w:rPr>
        <w:t>开展了粉笔字</w:t>
      </w:r>
      <w:r w:rsidRPr="00B04DD1">
        <w:rPr>
          <w:rFonts w:ascii="宋体" w:hAnsi="宋体" w:hint="eastAsia"/>
          <w:sz w:val="24"/>
        </w:rPr>
        <w:t>基本功大赛</w:t>
      </w:r>
      <w:r>
        <w:rPr>
          <w:rFonts w:ascii="宋体" w:hAnsi="宋体" w:hint="eastAsia"/>
          <w:sz w:val="24"/>
        </w:rPr>
        <w:t>，按照先培后赛的程序开展，将日常性练习和阶段性展评相结合，</w:t>
      </w:r>
      <w:r w:rsidRPr="002D771D">
        <w:rPr>
          <w:rFonts w:ascii="宋体" w:hAnsi="宋体" w:hint="eastAsia"/>
          <w:bCs/>
          <w:sz w:val="24"/>
        </w:rPr>
        <w:t>勤学苦练厚“底子”</w:t>
      </w:r>
      <w:r>
        <w:rPr>
          <w:rFonts w:ascii="宋体" w:hAnsi="宋体" w:hint="eastAsia"/>
          <w:sz w:val="24"/>
        </w:rPr>
        <w:t>。</w:t>
      </w:r>
    </w:p>
    <w:p w:rsidR="003F0FA5" w:rsidRDefault="003F0FA5" w:rsidP="003F0FA5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主题</w:t>
      </w:r>
      <w:r w:rsidRPr="00B04DD1">
        <w:rPr>
          <w:rFonts w:ascii="宋体" w:hAnsi="宋体" w:hint="eastAsia"/>
          <w:b/>
          <w:bCs/>
          <w:sz w:val="24"/>
        </w:rPr>
        <w:t>沙龙：</w:t>
      </w:r>
      <w:r w:rsidRPr="00B04DD1">
        <w:rPr>
          <w:rFonts w:ascii="宋体" w:hAnsi="宋体" w:hint="eastAsia"/>
          <w:sz w:val="24"/>
        </w:rPr>
        <w:t>期末</w:t>
      </w:r>
      <w:r>
        <w:rPr>
          <w:rFonts w:ascii="宋体" w:hAnsi="宋体" w:hint="eastAsia"/>
          <w:sz w:val="24"/>
        </w:rPr>
        <w:t>各学科组</w:t>
      </w:r>
      <w:r w:rsidRPr="00B04DD1">
        <w:rPr>
          <w:rFonts w:ascii="宋体" w:hAnsi="宋体" w:hint="eastAsia"/>
          <w:sz w:val="24"/>
        </w:rPr>
        <w:t>举办主题沙龙教研活动，</w:t>
      </w:r>
      <w:r>
        <w:rPr>
          <w:rFonts w:ascii="宋体" w:hAnsi="宋体" w:hint="eastAsia"/>
          <w:sz w:val="24"/>
        </w:rPr>
        <w:t>讲述教研组的故事，有专题研究之经验分享，也有学科活动之趣事讲述，</w:t>
      </w:r>
      <w:r w:rsidRPr="00B04DD1">
        <w:rPr>
          <w:rFonts w:ascii="宋体" w:hAnsi="宋体" w:hint="eastAsia"/>
          <w:sz w:val="24"/>
        </w:rPr>
        <w:t>全面感受各教研组团队文化氛围、研究气场和学习情况，遵循“发现问题——积极实践——展示研讨——总结提高”的原则，在沙龙中相互学习。</w:t>
      </w:r>
    </w:p>
    <w:p w:rsidR="00CC7734" w:rsidRDefault="007F7086" w:rsidP="00226051">
      <w:pPr>
        <w:adjustRightInd w:val="0"/>
        <w:snapToGrid w:val="0"/>
        <w:spacing w:line="440" w:lineRule="exact"/>
        <w:ind w:firstLineChars="200" w:firstLine="482"/>
        <w:jc w:val="left"/>
        <w:rPr>
          <w:sz w:val="24"/>
          <w:szCs w:val="24"/>
        </w:rPr>
      </w:pPr>
      <w:r>
        <w:rPr>
          <w:rFonts w:ascii="宋体" w:hAnsi="宋体" w:hint="eastAsia"/>
          <w:b/>
          <w:sz w:val="24"/>
        </w:rPr>
        <w:t>（2）校本课程，特色开发。</w:t>
      </w:r>
      <w:r w:rsidR="009648C4" w:rsidRPr="00F351AD">
        <w:rPr>
          <w:rFonts w:hint="eastAsia"/>
          <w:sz w:val="24"/>
          <w:szCs w:val="24"/>
        </w:rPr>
        <w:t>我们积极申报了以</w:t>
      </w:r>
      <w:r w:rsidR="009648C4" w:rsidRPr="00F351AD">
        <w:rPr>
          <w:rFonts w:hint="eastAsia"/>
          <w:sz w:val="24"/>
          <w:szCs w:val="24"/>
        </w:rPr>
        <w:t xml:space="preserve"> </w:t>
      </w:r>
      <w:r w:rsidR="009648C4" w:rsidRPr="00F351AD">
        <w:rPr>
          <w:rFonts w:hint="eastAsia"/>
          <w:sz w:val="24"/>
          <w:szCs w:val="24"/>
        </w:rPr>
        <w:t>“食”光美味，“育”见美好为主题的食育课程基地，</w:t>
      </w:r>
      <w:r w:rsidR="009648C4">
        <w:rPr>
          <w:rFonts w:ascii="宋体" w:hAnsi="宋体" w:hint="eastAsia"/>
          <w:color w:val="000000"/>
          <w:sz w:val="24"/>
        </w:rPr>
        <w:t>本着"必须给学生补上食育课,让孩子们吃得安全、吃得健康、吃得科学、吃得文明、吃的有趣"的理念，</w:t>
      </w:r>
      <w:r w:rsidR="009648C4">
        <w:rPr>
          <w:rFonts w:ascii="宋体" w:hAnsi="宋体" w:cs="宋体" w:hint="eastAsia"/>
          <w:kern w:val="0"/>
          <w:sz w:val="24"/>
        </w:rPr>
        <w:t>以生命融入食育，以食育润泽生命。</w:t>
      </w:r>
      <w:r w:rsidR="009648C4">
        <w:rPr>
          <w:rFonts w:ascii="宋体" w:hAnsi="宋体" w:cs="Arial" w:hint="eastAsia"/>
          <w:b/>
          <w:color w:val="000000"/>
          <w:sz w:val="24"/>
        </w:rPr>
        <w:t>本学期主要是</w:t>
      </w:r>
      <w:r w:rsidR="009648C4">
        <w:rPr>
          <w:rFonts w:ascii="宋体" w:eastAsia="宋体" w:hAnsi="宋体" w:cs="Arial" w:hint="eastAsia"/>
          <w:b/>
          <w:color w:val="000000"/>
          <w:sz w:val="24"/>
        </w:rPr>
        <w:t>建构</w:t>
      </w:r>
      <w:r w:rsidR="009648C4">
        <w:rPr>
          <w:rFonts w:ascii="宋体" w:hAnsi="宋体" w:cs="Arial" w:hint="eastAsia"/>
          <w:b/>
          <w:color w:val="000000"/>
          <w:sz w:val="24"/>
        </w:rPr>
        <w:t>了</w:t>
      </w:r>
      <w:r w:rsidR="009648C4">
        <w:rPr>
          <w:rFonts w:ascii="宋体" w:eastAsia="宋体" w:hAnsi="宋体" w:cs="Arial" w:hint="eastAsia"/>
          <w:b/>
          <w:color w:val="000000"/>
          <w:sz w:val="24"/>
        </w:rPr>
        <w:t>课程开发图谱：</w:t>
      </w:r>
      <w:r w:rsidR="009648C4">
        <w:rPr>
          <w:rFonts w:ascii="宋体" w:eastAsia="宋体" w:hAnsi="宋体" w:cs="Arial"/>
          <w:color w:val="000000"/>
          <w:sz w:val="24"/>
          <w:shd w:val="clear" w:color="auto" w:fill="FEFEFE"/>
        </w:rPr>
        <w:t>在研究中国学生发展 “核心素养”的基础上，</w:t>
      </w:r>
      <w:r w:rsidR="009648C4">
        <w:rPr>
          <w:rFonts w:ascii="宋体" w:eastAsia="宋体" w:hAnsi="宋体" w:cs="Arial" w:hint="eastAsia"/>
          <w:color w:val="000000"/>
          <w:sz w:val="24"/>
          <w:shd w:val="clear" w:color="auto" w:fill="FEFEFE"/>
        </w:rPr>
        <w:t>基于学校的育人目标</w:t>
      </w:r>
      <w:r w:rsidR="009648C4">
        <w:rPr>
          <w:rFonts w:ascii="宋体" w:eastAsia="宋体" w:hAnsi="宋体" w:cs="Arial"/>
          <w:color w:val="000000"/>
          <w:sz w:val="24"/>
          <w:shd w:val="clear" w:color="auto" w:fill="FEFEFE"/>
        </w:rPr>
        <w:t>，提出了围绕学生生活能力的</w:t>
      </w:r>
      <w:r w:rsidR="009648C4" w:rsidRPr="00CD796F">
        <w:rPr>
          <w:rFonts w:ascii="宋体" w:eastAsia="宋体" w:hAnsi="宋体" w:cs="Arial"/>
          <w:color w:val="000000"/>
          <w:sz w:val="24"/>
          <w:shd w:val="clear" w:color="auto" w:fill="FEFEFE"/>
        </w:rPr>
        <w:t>动手、创造、管理、沟通、交往、合作</w:t>
      </w:r>
      <w:r w:rsidR="009648C4">
        <w:rPr>
          <w:rFonts w:ascii="宋体" w:eastAsia="宋体" w:hAnsi="宋体" w:cs="Arial"/>
          <w:color w:val="000000"/>
          <w:sz w:val="24"/>
          <w:shd w:val="clear" w:color="auto" w:fill="FEFEFE"/>
        </w:rPr>
        <w:t>的食育课程素养，</w:t>
      </w:r>
      <w:r w:rsidR="009648C4">
        <w:rPr>
          <w:rFonts w:ascii="宋体" w:eastAsia="宋体" w:hAnsi="宋体" w:cs="Times New Roman" w:hint="eastAsia"/>
          <w:color w:val="000000"/>
          <w:sz w:val="24"/>
        </w:rPr>
        <w:t>从课程目标、课程内容、课程学习方式、课程评价等课程要素来整体构建适合学校发展的“食育课程文化体系”，低年级以感知为主，中年级以体验为主，高年级则以研究为主。</w:t>
      </w:r>
    </w:p>
    <w:p w:rsidR="00CC7734" w:rsidRDefault="00DE00B6" w:rsidP="00CC7734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2.课堂撬动，促教学质量提升。</w:t>
      </w:r>
    </w:p>
    <w:p w:rsidR="00CF53CA" w:rsidRDefault="00CF53CA" w:rsidP="00CC7734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/>
          <w:sz w:val="24"/>
        </w:rPr>
      </w:pPr>
      <w:r w:rsidRPr="00437409">
        <w:rPr>
          <w:rFonts w:ascii="宋体" w:hAnsi="宋体" w:hint="eastAsia"/>
          <w:b/>
          <w:sz w:val="24"/>
        </w:rPr>
        <w:t>（1）</w:t>
      </w:r>
      <w:r>
        <w:rPr>
          <w:rFonts w:ascii="宋体" w:hAnsi="宋体" w:hint="eastAsia"/>
          <w:b/>
          <w:sz w:val="24"/>
        </w:rPr>
        <w:t>日常</w:t>
      </w:r>
      <w:r w:rsidRPr="00437409">
        <w:rPr>
          <w:rFonts w:ascii="宋体" w:hAnsi="宋体"/>
          <w:b/>
          <w:sz w:val="24"/>
        </w:rPr>
        <w:t>推门课。</w:t>
      </w:r>
      <w:r>
        <w:rPr>
          <w:rFonts w:ascii="宋体" w:hAnsi="宋体" w:hint="eastAsia"/>
          <w:sz w:val="24"/>
        </w:rPr>
        <w:t>各学科组继续组建随堂听课调研小组，</w:t>
      </w:r>
      <w:r>
        <w:rPr>
          <w:rFonts w:ascii="宋体" w:hAnsi="宋体"/>
          <w:sz w:val="24"/>
        </w:rPr>
        <w:t>了解教师在常态情况下的教学准备、教学水平和班级管理等情况，对教师的教学情况进行有效地监督和帮助。</w:t>
      </w:r>
    </w:p>
    <w:p w:rsidR="00CC7734" w:rsidRDefault="00CF53CA" w:rsidP="00CC7734">
      <w:pPr>
        <w:widowControl/>
        <w:adjustRightInd w:val="0"/>
        <w:spacing w:line="440" w:lineRule="exact"/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437409">
        <w:rPr>
          <w:rFonts w:ascii="宋体" w:hAnsi="宋体" w:hint="eastAsia"/>
          <w:b/>
          <w:sz w:val="24"/>
        </w:rPr>
        <w:t>（2）</w:t>
      </w:r>
      <w:r>
        <w:rPr>
          <w:rFonts w:ascii="宋体" w:hAnsi="宋体" w:hint="eastAsia"/>
          <w:b/>
          <w:sz w:val="24"/>
        </w:rPr>
        <w:t>定向调研</w:t>
      </w:r>
      <w:r w:rsidRPr="00437409">
        <w:rPr>
          <w:rFonts w:ascii="宋体" w:hAnsi="宋体"/>
          <w:b/>
          <w:sz w:val="24"/>
        </w:rPr>
        <w:t>课。</w:t>
      </w:r>
      <w:r>
        <w:rPr>
          <w:rFonts w:ascii="宋体" w:hAnsi="宋体"/>
          <w:sz w:val="24"/>
        </w:rPr>
        <w:t>为了更好地培养青年教师，帮助其“一年过关，三年上路，五年成才”，</w:t>
      </w:r>
      <w:r>
        <w:rPr>
          <w:rFonts w:ascii="宋体" w:hAnsi="宋体" w:hint="eastAsia"/>
          <w:sz w:val="24"/>
        </w:rPr>
        <w:t>语数英学科都</w:t>
      </w:r>
      <w:r w:rsidRPr="002B5022">
        <w:rPr>
          <w:rFonts w:asciiTheme="minorEastAsia" w:hAnsiTheme="minorEastAsia" w:hint="eastAsia"/>
          <w:sz w:val="24"/>
          <w:szCs w:val="24"/>
        </w:rPr>
        <w:t>策划组织</w:t>
      </w:r>
      <w:r>
        <w:rPr>
          <w:rFonts w:asciiTheme="minorEastAsia" w:hAnsiTheme="minorEastAsia" w:hint="eastAsia"/>
          <w:sz w:val="24"/>
          <w:szCs w:val="24"/>
        </w:rPr>
        <w:t>了工作三年内新教师和薄弱教师的</w:t>
      </w:r>
      <w:r w:rsidRPr="002B5022">
        <w:rPr>
          <w:rFonts w:asciiTheme="minorEastAsia" w:hAnsiTheme="minorEastAsia" w:hint="eastAsia"/>
          <w:sz w:val="24"/>
          <w:szCs w:val="24"/>
        </w:rPr>
        <w:t>课堂常规</w:t>
      </w:r>
      <w:r>
        <w:rPr>
          <w:rFonts w:asciiTheme="minorEastAsia" w:hAnsiTheme="minorEastAsia" w:hint="eastAsia"/>
          <w:sz w:val="24"/>
          <w:szCs w:val="24"/>
        </w:rPr>
        <w:t>定向</w:t>
      </w:r>
      <w:r w:rsidRPr="002B5022">
        <w:rPr>
          <w:rFonts w:asciiTheme="minorEastAsia" w:hAnsiTheme="minorEastAsia" w:hint="eastAsia"/>
          <w:sz w:val="24"/>
          <w:szCs w:val="24"/>
        </w:rPr>
        <w:t>调研</w:t>
      </w:r>
      <w:r>
        <w:rPr>
          <w:rFonts w:asciiTheme="minorEastAsia" w:hAnsiTheme="minorEastAsia" w:hint="eastAsia"/>
          <w:sz w:val="24"/>
          <w:szCs w:val="24"/>
        </w:rPr>
        <w:t>，调研结束后召集分别全体老师进行有针对性的反馈，不仅提炼亮点，更是诊断问题，提出改进意见。</w:t>
      </w:r>
      <w:r w:rsidR="007F7086">
        <w:rPr>
          <w:rFonts w:asciiTheme="minorEastAsia" w:hAnsiTheme="minorEastAsia" w:hint="eastAsia"/>
          <w:sz w:val="24"/>
          <w:szCs w:val="24"/>
        </w:rPr>
        <w:t>数学组在一年级常规调研后，提出了学生操作常规要具体化标准，提出了学生常规要长程化培养，并形成了学校层面的常规递进式培养标准，让所有老师对标操作。</w:t>
      </w:r>
    </w:p>
    <w:p w:rsidR="00DE00B6" w:rsidRDefault="00DE00B6" w:rsidP="00CC7734">
      <w:pPr>
        <w:widowControl/>
        <w:adjustRightInd w:val="0"/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3.课题引动，为成长搭建平台。</w:t>
      </w:r>
    </w:p>
    <w:p w:rsidR="00CF53CA" w:rsidRDefault="00CF53CA" w:rsidP="00CC7734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（1）</w:t>
      </w:r>
      <w:r w:rsidRPr="00B04DD1">
        <w:rPr>
          <w:rFonts w:ascii="宋体" w:hAnsi="宋体" w:hint="eastAsia"/>
          <w:b/>
          <w:sz w:val="24"/>
        </w:rPr>
        <w:t>集智众筹：</w:t>
      </w:r>
      <w:r w:rsidRPr="00CF5F02">
        <w:rPr>
          <w:rFonts w:ascii="宋体" w:hAnsi="宋体" w:hint="eastAsia"/>
          <w:sz w:val="24"/>
        </w:rPr>
        <w:t>各学科组</w:t>
      </w:r>
      <w:r>
        <w:rPr>
          <w:rFonts w:ascii="宋体" w:hAnsi="宋体" w:hint="eastAsia"/>
          <w:sz w:val="24"/>
        </w:rPr>
        <w:t>在</w:t>
      </w:r>
      <w:r w:rsidRPr="00CF5F02">
        <w:rPr>
          <w:rFonts w:ascii="宋体" w:hAnsi="宋体" w:hint="eastAsia"/>
          <w:sz w:val="24"/>
        </w:rPr>
        <w:t>梳理学科已有的研究成果，调研学科组教师的成长需求，诊断存在的问题及归因分析</w:t>
      </w:r>
      <w:r>
        <w:rPr>
          <w:rFonts w:ascii="宋体" w:hAnsi="宋体" w:hint="eastAsia"/>
          <w:sz w:val="24"/>
        </w:rPr>
        <w:t>基础上，都</w:t>
      </w:r>
      <w:r w:rsidRPr="00CF5F02">
        <w:rPr>
          <w:rFonts w:ascii="宋体" w:hAnsi="宋体" w:hint="eastAsia"/>
          <w:sz w:val="24"/>
        </w:rPr>
        <w:t>建立</w:t>
      </w:r>
      <w:r>
        <w:rPr>
          <w:rFonts w:ascii="宋体" w:hAnsi="宋体" w:hint="eastAsia"/>
          <w:sz w:val="24"/>
        </w:rPr>
        <w:t>了</w:t>
      </w:r>
      <w:r w:rsidRPr="00CF5F02">
        <w:rPr>
          <w:rFonts w:ascii="宋体" w:hAnsi="宋体" w:hint="eastAsia"/>
          <w:sz w:val="24"/>
        </w:rPr>
        <w:t>研究核心小组。</w:t>
      </w:r>
      <w:r>
        <w:rPr>
          <w:rFonts w:ascii="宋体" w:hAnsi="宋体" w:hint="eastAsia"/>
          <w:sz w:val="24"/>
        </w:rPr>
        <w:t>同时</w:t>
      </w:r>
      <w:r w:rsidRPr="00CF5F02">
        <w:rPr>
          <w:rFonts w:ascii="宋体" w:hAnsi="宋体" w:hint="eastAsia"/>
          <w:sz w:val="24"/>
        </w:rPr>
        <w:t>召集学科组骨干开展主题研讨，确定</w:t>
      </w:r>
      <w:r>
        <w:rPr>
          <w:rFonts w:ascii="宋体" w:hAnsi="宋体" w:hint="eastAsia"/>
          <w:sz w:val="24"/>
        </w:rPr>
        <w:t>了</w:t>
      </w:r>
      <w:r w:rsidRPr="00CF5F02">
        <w:rPr>
          <w:rFonts w:ascii="宋体" w:hAnsi="宋体" w:hint="eastAsia"/>
          <w:sz w:val="24"/>
        </w:rPr>
        <w:t>研究项目。</w:t>
      </w:r>
      <w:r w:rsidRPr="00CF53CA">
        <w:rPr>
          <w:rFonts w:ascii="宋体" w:hAnsi="宋体" w:hint="eastAsia"/>
          <w:sz w:val="24"/>
        </w:rPr>
        <w:t>使得每次研究活动都有主题、能聚焦</w:t>
      </w:r>
      <w:r>
        <w:rPr>
          <w:rFonts w:ascii="宋体" w:hAnsi="宋体" w:hint="eastAsia"/>
          <w:sz w:val="24"/>
        </w:rPr>
        <w:t>。</w:t>
      </w:r>
    </w:p>
    <w:p w:rsidR="00C51208" w:rsidRDefault="00C51208" w:rsidP="00CC7734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/>
          <w:sz w:val="24"/>
        </w:rPr>
      </w:pPr>
      <w:r w:rsidRPr="00C51208">
        <w:rPr>
          <w:rFonts w:ascii="宋体" w:hAnsi="宋体" w:hint="eastAsia"/>
          <w:b/>
          <w:sz w:val="24"/>
        </w:rPr>
        <w:t>（2）骨干先行：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数学组在确定研究项目后，首先由骨干教师推出了本学科样本课，再集体进行案例剖析。</w:t>
      </w:r>
    </w:p>
    <w:p w:rsidR="008B2462" w:rsidRDefault="00FB2A10" w:rsidP="00C63A9B">
      <w:pPr>
        <w:spacing w:line="440" w:lineRule="exact"/>
        <w:ind w:firstLineChars="150" w:firstLine="361"/>
        <w:jc w:val="left"/>
        <w:rPr>
          <w:b/>
          <w:sz w:val="24"/>
          <w:szCs w:val="24"/>
        </w:rPr>
      </w:pPr>
      <w:r w:rsidRPr="00FB2A10">
        <w:rPr>
          <w:rFonts w:hint="eastAsia"/>
          <w:b/>
          <w:sz w:val="24"/>
          <w:szCs w:val="24"/>
        </w:rPr>
        <w:t>（二）问题反思</w:t>
      </w:r>
    </w:p>
    <w:p w:rsidR="008B2462" w:rsidRDefault="00884653" w:rsidP="008B2462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1478B1">
        <w:rPr>
          <w:rFonts w:asciiTheme="majorEastAsia" w:eastAsiaTheme="majorEastAsia" w:hAnsiTheme="majorEastAsia" w:hint="eastAsia"/>
          <w:b/>
          <w:sz w:val="24"/>
          <w:szCs w:val="24"/>
        </w:rPr>
        <w:t>1.课程建设：</w:t>
      </w:r>
      <w:r w:rsidRPr="001478B1"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="001478B1" w:rsidRPr="001478B1">
        <w:rPr>
          <w:rFonts w:asciiTheme="majorEastAsia" w:eastAsiaTheme="majorEastAsia" w:hAnsiTheme="majorEastAsia" w:hint="eastAsia"/>
          <w:sz w:val="24"/>
          <w:szCs w:val="24"/>
        </w:rPr>
        <w:t>国家课程校本化实施质量有待进一步提升，表现在</w:t>
      </w:r>
      <w:r w:rsidR="001478B1">
        <w:rPr>
          <w:rFonts w:asciiTheme="majorEastAsia" w:eastAsiaTheme="majorEastAsia" w:hAnsiTheme="majorEastAsia" w:hint="eastAsia"/>
          <w:sz w:val="24"/>
          <w:szCs w:val="24"/>
        </w:rPr>
        <w:t>专题研究不聚焦，日常研究不落地，学科质量不均衡。</w:t>
      </w:r>
      <w:r w:rsidR="001478B1" w:rsidRPr="001478B1">
        <w:rPr>
          <w:rFonts w:asciiTheme="majorEastAsia" w:eastAsiaTheme="majorEastAsia" w:hAnsiTheme="majorEastAsia" w:hint="eastAsia"/>
          <w:sz w:val="24"/>
          <w:szCs w:val="24"/>
        </w:rPr>
        <w:t>（2）校本课程特色化开发能力有待进一步提升，表现在</w:t>
      </w:r>
      <w:r w:rsidRPr="001478B1">
        <w:rPr>
          <w:rFonts w:asciiTheme="majorEastAsia" w:eastAsiaTheme="majorEastAsia" w:hAnsiTheme="majorEastAsia" w:hint="eastAsia"/>
          <w:sz w:val="24"/>
          <w:szCs w:val="24"/>
        </w:rPr>
        <w:t>顶层设计不够整体</w:t>
      </w:r>
      <w:r w:rsidR="001478B1" w:rsidRPr="001478B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1478B1">
        <w:rPr>
          <w:rFonts w:asciiTheme="majorEastAsia" w:eastAsiaTheme="majorEastAsia" w:hAnsiTheme="majorEastAsia" w:hint="eastAsia"/>
          <w:sz w:val="24"/>
          <w:szCs w:val="24"/>
        </w:rPr>
        <w:t>校本亮点不够凸显</w:t>
      </w:r>
      <w:r w:rsidR="001478B1" w:rsidRPr="001478B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1478B1">
        <w:rPr>
          <w:rFonts w:asciiTheme="majorEastAsia" w:eastAsiaTheme="majorEastAsia" w:hAnsiTheme="majorEastAsia" w:hint="eastAsia"/>
          <w:sz w:val="24"/>
          <w:szCs w:val="24"/>
        </w:rPr>
        <w:t>成果提炼不够到位</w:t>
      </w:r>
      <w:r w:rsidR="001478B1" w:rsidRPr="001478B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84653" w:rsidRDefault="00884653" w:rsidP="008B2462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478B1">
        <w:rPr>
          <w:rFonts w:asciiTheme="majorEastAsia" w:eastAsiaTheme="majorEastAsia" w:hAnsiTheme="majorEastAsia" w:hint="eastAsia"/>
          <w:b/>
          <w:sz w:val="24"/>
          <w:szCs w:val="24"/>
        </w:rPr>
        <w:t>2. 教师发展</w:t>
      </w:r>
      <w:r w:rsidR="001478B1" w:rsidRPr="001478B1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AC2B62" w:rsidRPr="00AC2B62">
        <w:rPr>
          <w:rFonts w:asciiTheme="majorEastAsia" w:eastAsiaTheme="majorEastAsia" w:hAnsiTheme="majorEastAsia" w:hint="eastAsia"/>
          <w:sz w:val="24"/>
          <w:szCs w:val="24"/>
        </w:rPr>
        <w:t>（1）新教师基数大，流动频繁。</w:t>
      </w:r>
      <w:r w:rsidR="00FE5EA2">
        <w:rPr>
          <w:rFonts w:asciiTheme="majorEastAsia" w:eastAsiaTheme="majorEastAsia" w:hAnsiTheme="majorEastAsia" w:hint="eastAsia"/>
          <w:sz w:val="24"/>
          <w:szCs w:val="24"/>
        </w:rPr>
        <w:t>（2）部分教师发展内驱力不强。</w:t>
      </w:r>
    </w:p>
    <w:p w:rsidR="00884653" w:rsidRDefault="00884653" w:rsidP="00C63A9B">
      <w:pPr>
        <w:spacing w:line="440" w:lineRule="exact"/>
        <w:ind w:firstLineChars="150" w:firstLine="36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（三）后续设想</w:t>
      </w:r>
    </w:p>
    <w:p w:rsidR="009E2CD4" w:rsidRPr="00F64A43" w:rsidRDefault="009E2CD4" w:rsidP="00CC6099">
      <w:pPr>
        <w:spacing w:line="440" w:lineRule="exact"/>
        <w:ind w:firstLineChars="200" w:firstLine="482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="00D80E4C">
        <w:rPr>
          <w:rFonts w:hint="eastAsia"/>
          <w:b/>
          <w:sz w:val="24"/>
          <w:szCs w:val="24"/>
        </w:rPr>
        <w:t>打造课程建设新样态：</w:t>
      </w:r>
      <w:r w:rsidR="00870F35" w:rsidRPr="00870F35">
        <w:rPr>
          <w:rFonts w:hint="eastAsia"/>
          <w:b/>
          <w:sz w:val="24"/>
          <w:szCs w:val="24"/>
        </w:rPr>
        <w:t>（</w:t>
      </w:r>
      <w:r w:rsidR="00870F35" w:rsidRPr="00870F35">
        <w:rPr>
          <w:rFonts w:hint="eastAsia"/>
          <w:b/>
          <w:sz w:val="24"/>
          <w:szCs w:val="24"/>
        </w:rPr>
        <w:t>2</w:t>
      </w:r>
      <w:r w:rsidR="00870F35" w:rsidRPr="00870F35">
        <w:rPr>
          <w:rFonts w:hint="eastAsia"/>
          <w:b/>
          <w:sz w:val="24"/>
          <w:szCs w:val="24"/>
        </w:rPr>
        <w:t>）</w:t>
      </w:r>
      <w:r w:rsidR="00870F35">
        <w:rPr>
          <w:rFonts w:hint="eastAsia"/>
          <w:b/>
          <w:sz w:val="24"/>
          <w:szCs w:val="24"/>
        </w:rPr>
        <w:t>立品：</w:t>
      </w:r>
      <w:r w:rsidR="00F64A43" w:rsidRPr="00CC6099">
        <w:rPr>
          <w:rFonts w:hint="eastAsia"/>
          <w:sz w:val="24"/>
          <w:szCs w:val="24"/>
        </w:rPr>
        <w:t>依托前瞻性项目，各学科组开展扎实的基于深度学习的教学设计、关键问题驱动深度学习与核心素养提升三位一体的实践研究。</w:t>
      </w:r>
      <w:r w:rsidR="00F64A43">
        <w:rPr>
          <w:rFonts w:hint="eastAsia"/>
          <w:sz w:val="24"/>
          <w:szCs w:val="24"/>
        </w:rPr>
        <w:t>力求做到四统一：设计与实施的统一、目标与内容的统一、任务与活动的统一、诊断与改进的统一。</w:t>
      </w:r>
      <w:r w:rsidR="00870F35" w:rsidRPr="00870F35">
        <w:rPr>
          <w:rFonts w:hint="eastAsia"/>
          <w:sz w:val="24"/>
          <w:szCs w:val="24"/>
        </w:rPr>
        <w:t>努力实现由“教学”向“教研”的真正转型，即要在现有课例研讨基础上，推动已有经验的总结提升</w:t>
      </w:r>
      <w:r w:rsidR="00870F35">
        <w:rPr>
          <w:rFonts w:hint="eastAsia"/>
          <w:sz w:val="24"/>
          <w:szCs w:val="24"/>
        </w:rPr>
        <w:t>。教育研究不只是实践，还需要有基于反思与实践的言说，不仅仅是教学行动中的种种改进，还一定要包含更多的理性思考尤其是教研结论的表达。就是要有“研之有道”的物化</w:t>
      </w:r>
      <w:r w:rsidR="008B46F4">
        <w:rPr>
          <w:rFonts w:hint="eastAsia"/>
          <w:sz w:val="24"/>
          <w:szCs w:val="24"/>
        </w:rPr>
        <w:t>，要让教研成果可视化</w:t>
      </w:r>
      <w:r w:rsidR="006D0935">
        <w:rPr>
          <w:rFonts w:hint="eastAsia"/>
          <w:sz w:val="24"/>
          <w:szCs w:val="24"/>
        </w:rPr>
        <w:t>（</w:t>
      </w:r>
      <w:r w:rsidR="006D0935" w:rsidRPr="006D0935">
        <w:rPr>
          <w:rFonts w:hint="eastAsia"/>
          <w:b/>
          <w:sz w:val="24"/>
          <w:szCs w:val="24"/>
        </w:rPr>
        <w:t>期初有规划——</w:t>
      </w:r>
      <w:r w:rsidR="00A90A4B">
        <w:rPr>
          <w:rFonts w:hint="eastAsia"/>
          <w:b/>
          <w:sz w:val="24"/>
          <w:szCs w:val="24"/>
        </w:rPr>
        <w:t>组组有主题</w:t>
      </w:r>
      <w:r w:rsidR="006D0935" w:rsidRPr="006D0935">
        <w:rPr>
          <w:rFonts w:hint="eastAsia"/>
          <w:b/>
          <w:sz w:val="24"/>
          <w:szCs w:val="24"/>
        </w:rPr>
        <w:t>、</w:t>
      </w:r>
      <w:r w:rsidR="006D0935">
        <w:rPr>
          <w:rFonts w:hint="eastAsia"/>
          <w:b/>
          <w:sz w:val="24"/>
          <w:szCs w:val="24"/>
        </w:rPr>
        <w:t>想好呈现方式；</w:t>
      </w:r>
      <w:r w:rsidR="006D0935" w:rsidRPr="006D0935">
        <w:rPr>
          <w:rFonts w:hint="eastAsia"/>
          <w:b/>
          <w:sz w:val="24"/>
          <w:szCs w:val="24"/>
        </w:rPr>
        <w:t>期中有积累——</w:t>
      </w:r>
      <w:r w:rsidR="00A90A4B">
        <w:rPr>
          <w:rFonts w:hint="eastAsia"/>
          <w:b/>
          <w:sz w:val="24"/>
          <w:szCs w:val="24"/>
        </w:rPr>
        <w:t>组组有研究</w:t>
      </w:r>
      <w:r w:rsidR="006D0935">
        <w:rPr>
          <w:rFonts w:hint="eastAsia"/>
          <w:b/>
          <w:sz w:val="24"/>
          <w:szCs w:val="24"/>
        </w:rPr>
        <w:t>，做好资料</w:t>
      </w:r>
      <w:r w:rsidR="006D0935" w:rsidRPr="006D0935">
        <w:rPr>
          <w:rFonts w:hint="eastAsia"/>
          <w:b/>
          <w:sz w:val="24"/>
          <w:szCs w:val="24"/>
        </w:rPr>
        <w:t>收集</w:t>
      </w:r>
      <w:r w:rsidR="006D0935">
        <w:rPr>
          <w:rFonts w:hint="eastAsia"/>
          <w:b/>
          <w:sz w:val="24"/>
          <w:szCs w:val="24"/>
        </w:rPr>
        <w:t>；</w:t>
      </w:r>
      <w:r w:rsidR="006D0935" w:rsidRPr="006D0935">
        <w:rPr>
          <w:rFonts w:hint="eastAsia"/>
          <w:b/>
          <w:sz w:val="24"/>
          <w:szCs w:val="24"/>
        </w:rPr>
        <w:t>期末有总结——</w:t>
      </w:r>
      <w:r w:rsidR="00A90A4B">
        <w:rPr>
          <w:rFonts w:hint="eastAsia"/>
          <w:b/>
          <w:sz w:val="24"/>
          <w:szCs w:val="24"/>
        </w:rPr>
        <w:t>组组有提炼，思考成果的创新点和深化点</w:t>
      </w:r>
      <w:r w:rsidR="006D0935">
        <w:rPr>
          <w:rFonts w:hint="eastAsia"/>
          <w:sz w:val="24"/>
          <w:szCs w:val="24"/>
        </w:rPr>
        <w:t>）</w:t>
      </w:r>
      <w:r w:rsidR="00870F35">
        <w:rPr>
          <w:rFonts w:hint="eastAsia"/>
          <w:sz w:val="24"/>
          <w:szCs w:val="24"/>
        </w:rPr>
        <w:t>。</w:t>
      </w:r>
      <w:r w:rsidR="00CC6099">
        <w:rPr>
          <w:rFonts w:hint="eastAsia"/>
          <w:b/>
          <w:sz w:val="24"/>
          <w:szCs w:val="24"/>
        </w:rPr>
        <w:t>（</w:t>
      </w:r>
      <w:r w:rsidR="00870F35">
        <w:rPr>
          <w:rFonts w:hint="eastAsia"/>
          <w:b/>
          <w:sz w:val="24"/>
          <w:szCs w:val="24"/>
        </w:rPr>
        <w:t>2</w:t>
      </w:r>
      <w:r w:rsidR="00CC6099">
        <w:rPr>
          <w:rFonts w:hint="eastAsia"/>
          <w:b/>
          <w:sz w:val="24"/>
          <w:szCs w:val="24"/>
        </w:rPr>
        <w:t>）</w:t>
      </w:r>
      <w:r w:rsidR="00870F35">
        <w:rPr>
          <w:rFonts w:hint="eastAsia"/>
          <w:b/>
          <w:sz w:val="24"/>
          <w:szCs w:val="24"/>
        </w:rPr>
        <w:t>铸牌：</w:t>
      </w:r>
      <w:r w:rsidR="00F64A43" w:rsidRPr="00F64A43">
        <w:rPr>
          <w:rFonts w:hint="eastAsia"/>
          <w:sz w:val="24"/>
          <w:szCs w:val="24"/>
        </w:rPr>
        <w:t>食育课程要</w:t>
      </w:r>
      <w:r w:rsidR="00F64A43">
        <w:rPr>
          <w:rFonts w:hint="eastAsia"/>
          <w:sz w:val="24"/>
          <w:szCs w:val="24"/>
        </w:rPr>
        <w:t>按计划</w:t>
      </w:r>
      <w:r w:rsidR="00F64A43" w:rsidRPr="00F64A43">
        <w:rPr>
          <w:rFonts w:hint="eastAsia"/>
          <w:sz w:val="24"/>
          <w:szCs w:val="24"/>
        </w:rPr>
        <w:t>落地实施，</w:t>
      </w:r>
      <w:r w:rsidR="00AE7302">
        <w:rPr>
          <w:rFonts w:hint="eastAsia"/>
          <w:sz w:val="24"/>
          <w:szCs w:val="24"/>
        </w:rPr>
        <w:t>更要创新开发与设计融学科式学习，如与语文融合开展食育里的诗词</w:t>
      </w:r>
      <w:r w:rsidR="00AA3E79">
        <w:rPr>
          <w:rFonts w:hint="eastAsia"/>
          <w:sz w:val="24"/>
          <w:szCs w:val="24"/>
        </w:rPr>
        <w:t>；与数学融合研究营养配餐；与英语融合开展感恩节系列活动，渗透中西餐礼仪文化等；</w:t>
      </w:r>
      <w:r w:rsidR="002462D7">
        <w:rPr>
          <w:rFonts w:hint="eastAsia"/>
          <w:sz w:val="24"/>
          <w:szCs w:val="24"/>
        </w:rPr>
        <w:t>还可与美术融合开展以食立美活动等。</w:t>
      </w:r>
    </w:p>
    <w:p w:rsidR="00D95140" w:rsidRDefault="009E2CD4" w:rsidP="00CC6099">
      <w:pPr>
        <w:spacing w:line="440" w:lineRule="exact"/>
        <w:ind w:firstLineChars="200" w:firstLine="482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 w:rsidR="00D95140">
        <w:rPr>
          <w:rFonts w:hint="eastAsia"/>
          <w:b/>
          <w:sz w:val="24"/>
          <w:szCs w:val="24"/>
        </w:rPr>
        <w:t>打造教师成长新样态：</w:t>
      </w:r>
      <w:r w:rsidR="00FE5EA2" w:rsidRPr="00FE5EA2">
        <w:rPr>
          <w:rFonts w:hint="eastAsia"/>
          <w:sz w:val="24"/>
          <w:szCs w:val="24"/>
        </w:rPr>
        <w:t>在现有教师俱乐部的基础上，因人因需建立各种联盟</w:t>
      </w:r>
      <w:r w:rsidR="00D95140">
        <w:rPr>
          <w:rFonts w:hint="eastAsia"/>
          <w:sz w:val="24"/>
          <w:szCs w:val="24"/>
        </w:rPr>
        <w:t>，目标导引，任务驱动。</w:t>
      </w:r>
    </w:p>
    <w:tbl>
      <w:tblPr>
        <w:tblStyle w:val="a6"/>
        <w:tblW w:w="0" w:type="auto"/>
        <w:tblLook w:val="04A0"/>
      </w:tblPr>
      <w:tblGrid>
        <w:gridCol w:w="1384"/>
        <w:gridCol w:w="2126"/>
        <w:gridCol w:w="3261"/>
        <w:gridCol w:w="1751"/>
      </w:tblGrid>
      <w:tr w:rsidR="00D95140" w:rsidTr="00D95140">
        <w:tc>
          <w:tcPr>
            <w:tcW w:w="1384" w:type="dxa"/>
          </w:tcPr>
          <w:p w:rsidR="00D95140" w:rsidRPr="00D80E4C" w:rsidRDefault="00D95140" w:rsidP="00D9514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D80E4C">
              <w:rPr>
                <w:rFonts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2126" w:type="dxa"/>
          </w:tcPr>
          <w:p w:rsidR="00D95140" w:rsidRPr="00D80E4C" w:rsidRDefault="00D95140" w:rsidP="00D9514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D80E4C">
              <w:rPr>
                <w:rFonts w:hint="eastAsia"/>
                <w:b/>
                <w:sz w:val="24"/>
                <w:szCs w:val="24"/>
              </w:rPr>
              <w:t>对象</w:t>
            </w:r>
          </w:p>
        </w:tc>
        <w:tc>
          <w:tcPr>
            <w:tcW w:w="3261" w:type="dxa"/>
          </w:tcPr>
          <w:p w:rsidR="00D95140" w:rsidRPr="00D80E4C" w:rsidRDefault="00D95140" w:rsidP="00D9514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D80E4C">
              <w:rPr>
                <w:rFonts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1751" w:type="dxa"/>
          </w:tcPr>
          <w:p w:rsidR="00D95140" w:rsidRPr="00D80E4C" w:rsidRDefault="00D95140" w:rsidP="00D9514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D80E4C">
              <w:rPr>
                <w:rFonts w:hint="eastAsia"/>
                <w:b/>
                <w:sz w:val="24"/>
                <w:szCs w:val="24"/>
              </w:rPr>
              <w:t>领衔人</w:t>
            </w:r>
          </w:p>
        </w:tc>
      </w:tr>
      <w:tr w:rsidR="00D95140" w:rsidTr="00D95140">
        <w:tc>
          <w:tcPr>
            <w:tcW w:w="1384" w:type="dxa"/>
          </w:tcPr>
          <w:p w:rsidR="00D95140" w:rsidRDefault="00D95140" w:rsidP="00D9514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入门营</w:t>
            </w:r>
          </w:p>
        </w:tc>
        <w:tc>
          <w:tcPr>
            <w:tcW w:w="2126" w:type="dxa"/>
          </w:tcPr>
          <w:p w:rsidR="00D95140" w:rsidRDefault="00D95140" w:rsidP="00D9514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职初教师</w:t>
            </w:r>
          </w:p>
        </w:tc>
        <w:tc>
          <w:tcPr>
            <w:tcW w:w="3261" w:type="dxa"/>
          </w:tcPr>
          <w:p w:rsidR="00D95140" w:rsidRDefault="00D95140" w:rsidP="00D9514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一年入门</w:t>
            </w:r>
          </w:p>
        </w:tc>
        <w:tc>
          <w:tcPr>
            <w:tcW w:w="1751" w:type="dxa"/>
          </w:tcPr>
          <w:p w:rsidR="00D95140" w:rsidRDefault="00D95140" w:rsidP="008B46F4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曹燕</w:t>
            </w:r>
          </w:p>
        </w:tc>
      </w:tr>
      <w:tr w:rsidR="00D95140" w:rsidTr="00D95140">
        <w:tc>
          <w:tcPr>
            <w:tcW w:w="1384" w:type="dxa"/>
          </w:tcPr>
          <w:p w:rsidR="00D95140" w:rsidRDefault="00D95140" w:rsidP="00D9514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成长营</w:t>
            </w:r>
          </w:p>
        </w:tc>
        <w:tc>
          <w:tcPr>
            <w:tcW w:w="2126" w:type="dxa"/>
          </w:tcPr>
          <w:p w:rsidR="00D95140" w:rsidRDefault="00D95140" w:rsidP="00D9514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青年教师</w:t>
            </w:r>
          </w:p>
        </w:tc>
        <w:tc>
          <w:tcPr>
            <w:tcW w:w="3261" w:type="dxa"/>
          </w:tcPr>
          <w:p w:rsidR="00D95140" w:rsidRDefault="00D95140" w:rsidP="00D9514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三年入格</w:t>
            </w:r>
          </w:p>
        </w:tc>
        <w:tc>
          <w:tcPr>
            <w:tcW w:w="1751" w:type="dxa"/>
          </w:tcPr>
          <w:p w:rsidR="00D95140" w:rsidRDefault="00D95140" w:rsidP="00D9514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教研组长</w:t>
            </w:r>
          </w:p>
        </w:tc>
      </w:tr>
      <w:tr w:rsidR="00D95140" w:rsidTr="00D95140">
        <w:tc>
          <w:tcPr>
            <w:tcW w:w="1384" w:type="dxa"/>
          </w:tcPr>
          <w:p w:rsidR="00D95140" w:rsidRDefault="00D95140" w:rsidP="00D9514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骨干营</w:t>
            </w:r>
          </w:p>
        </w:tc>
        <w:tc>
          <w:tcPr>
            <w:tcW w:w="2126" w:type="dxa"/>
          </w:tcPr>
          <w:p w:rsidR="00D95140" w:rsidRDefault="00D95140" w:rsidP="00D9514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五级梯队候选人</w:t>
            </w:r>
          </w:p>
        </w:tc>
        <w:tc>
          <w:tcPr>
            <w:tcW w:w="3261" w:type="dxa"/>
          </w:tcPr>
          <w:p w:rsidR="00D95140" w:rsidRDefault="00D95140" w:rsidP="00D9514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通过一年的努力，争取在专业称号上有建树或提升。</w:t>
            </w:r>
          </w:p>
        </w:tc>
        <w:tc>
          <w:tcPr>
            <w:tcW w:w="1751" w:type="dxa"/>
          </w:tcPr>
          <w:p w:rsidR="00D95140" w:rsidRDefault="00D95140" w:rsidP="00D9514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学科主任</w:t>
            </w:r>
          </w:p>
        </w:tc>
      </w:tr>
      <w:tr w:rsidR="00D95140" w:rsidTr="00D95140">
        <w:tc>
          <w:tcPr>
            <w:tcW w:w="1384" w:type="dxa"/>
          </w:tcPr>
          <w:p w:rsidR="00D95140" w:rsidRDefault="00D95140" w:rsidP="00D9514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特色营</w:t>
            </w:r>
          </w:p>
        </w:tc>
        <w:tc>
          <w:tcPr>
            <w:tcW w:w="2126" w:type="dxa"/>
          </w:tcPr>
          <w:p w:rsidR="00D95140" w:rsidRDefault="00D95140" w:rsidP="00D9514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学科领军教师</w:t>
            </w:r>
          </w:p>
        </w:tc>
        <w:tc>
          <w:tcPr>
            <w:tcW w:w="3261" w:type="dxa"/>
          </w:tcPr>
          <w:p w:rsidR="00D95140" w:rsidRDefault="00D95140" w:rsidP="00D9514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有自己的教学风格特色，在区域内有影响力</w:t>
            </w:r>
          </w:p>
        </w:tc>
        <w:tc>
          <w:tcPr>
            <w:tcW w:w="1751" w:type="dxa"/>
          </w:tcPr>
          <w:p w:rsidR="00D95140" w:rsidRDefault="00D95140" w:rsidP="00D9514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外聘导师</w:t>
            </w:r>
            <w:r w:rsidR="0019053B">
              <w:rPr>
                <w:rFonts w:hint="eastAsia"/>
                <w:sz w:val="24"/>
                <w:szCs w:val="24"/>
              </w:rPr>
              <w:t>（薛辉、蒋敏杰）</w:t>
            </w:r>
          </w:p>
        </w:tc>
      </w:tr>
    </w:tbl>
    <w:p w:rsidR="00884653" w:rsidRPr="00FE5EA2" w:rsidRDefault="00884653" w:rsidP="00D95140">
      <w:pPr>
        <w:spacing w:line="440" w:lineRule="exact"/>
        <w:ind w:firstLine="200"/>
        <w:jc w:val="left"/>
        <w:rPr>
          <w:sz w:val="24"/>
          <w:szCs w:val="24"/>
        </w:rPr>
      </w:pPr>
    </w:p>
    <w:sectPr w:rsidR="00884653" w:rsidRPr="00FE5EA2" w:rsidSect="00C6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432" w:rsidRDefault="00CF2432" w:rsidP="00AE7302">
      <w:pPr>
        <w:spacing w:line="240" w:lineRule="auto"/>
      </w:pPr>
      <w:r>
        <w:separator/>
      </w:r>
    </w:p>
  </w:endnote>
  <w:endnote w:type="continuationSeparator" w:id="0">
    <w:p w:rsidR="00CF2432" w:rsidRDefault="00CF2432" w:rsidP="00AE7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432" w:rsidRDefault="00CF2432" w:rsidP="00AE7302">
      <w:pPr>
        <w:spacing w:line="240" w:lineRule="auto"/>
      </w:pPr>
      <w:r>
        <w:separator/>
      </w:r>
    </w:p>
  </w:footnote>
  <w:footnote w:type="continuationSeparator" w:id="0">
    <w:p w:rsidR="00CF2432" w:rsidRDefault="00CF2432" w:rsidP="00AE73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505"/>
    <w:rsid w:val="000647EF"/>
    <w:rsid w:val="000C4BFC"/>
    <w:rsid w:val="000C7EA4"/>
    <w:rsid w:val="000E3B7C"/>
    <w:rsid w:val="001478B1"/>
    <w:rsid w:val="0019053B"/>
    <w:rsid w:val="00226051"/>
    <w:rsid w:val="002462D7"/>
    <w:rsid w:val="002A1745"/>
    <w:rsid w:val="003F0FA5"/>
    <w:rsid w:val="003F652B"/>
    <w:rsid w:val="004952B8"/>
    <w:rsid w:val="00497902"/>
    <w:rsid w:val="005D1BDC"/>
    <w:rsid w:val="0060613E"/>
    <w:rsid w:val="006D0935"/>
    <w:rsid w:val="00730C52"/>
    <w:rsid w:val="007F2608"/>
    <w:rsid w:val="007F7086"/>
    <w:rsid w:val="00870F35"/>
    <w:rsid w:val="00884653"/>
    <w:rsid w:val="00896E58"/>
    <w:rsid w:val="008A7F85"/>
    <w:rsid w:val="008B2462"/>
    <w:rsid w:val="008B46F4"/>
    <w:rsid w:val="009648C4"/>
    <w:rsid w:val="009E2CD4"/>
    <w:rsid w:val="00A90A4B"/>
    <w:rsid w:val="00AA3E79"/>
    <w:rsid w:val="00AC2B62"/>
    <w:rsid w:val="00AE7302"/>
    <w:rsid w:val="00BA6E65"/>
    <w:rsid w:val="00BF65C3"/>
    <w:rsid w:val="00C25BC8"/>
    <w:rsid w:val="00C51208"/>
    <w:rsid w:val="00C622C8"/>
    <w:rsid w:val="00C63A9B"/>
    <w:rsid w:val="00CC6099"/>
    <w:rsid w:val="00CC7734"/>
    <w:rsid w:val="00CD796F"/>
    <w:rsid w:val="00CF2432"/>
    <w:rsid w:val="00CF53CA"/>
    <w:rsid w:val="00D80E4C"/>
    <w:rsid w:val="00D95140"/>
    <w:rsid w:val="00DE00B6"/>
    <w:rsid w:val="00E61505"/>
    <w:rsid w:val="00EB2B46"/>
    <w:rsid w:val="00F47304"/>
    <w:rsid w:val="00F64A43"/>
    <w:rsid w:val="00F85D63"/>
    <w:rsid w:val="00FB2A10"/>
    <w:rsid w:val="00FE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6150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E61505"/>
    <w:rPr>
      <w:b/>
      <w:bCs/>
    </w:rPr>
  </w:style>
  <w:style w:type="paragraph" w:styleId="HTML">
    <w:name w:val="HTML Preformatted"/>
    <w:basedOn w:val="a"/>
    <w:link w:val="HTMLChar"/>
    <w:qFormat/>
    <w:rsid w:val="00E6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E61505"/>
    <w:rPr>
      <w:rFonts w:ascii="Arial" w:eastAsia="宋体" w:hAnsi="Arial" w:cs="Arial"/>
      <w:kern w:val="0"/>
      <w:sz w:val="24"/>
      <w:szCs w:val="24"/>
    </w:rPr>
  </w:style>
  <w:style w:type="paragraph" w:customStyle="1" w:styleId="reader-word-layerreader-word-s1-4">
    <w:name w:val="reader-word-layer reader-word-s1-4"/>
    <w:basedOn w:val="a"/>
    <w:rsid w:val="00E6150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F53CA"/>
    <w:pPr>
      <w:ind w:firstLineChars="200" w:firstLine="420"/>
    </w:pPr>
  </w:style>
  <w:style w:type="table" w:styleId="a6">
    <w:name w:val="Table Grid"/>
    <w:basedOn w:val="a1"/>
    <w:uiPriority w:val="59"/>
    <w:rsid w:val="00D951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AE7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AE7302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AE730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AE73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68E9BE-B299-4398-B64A-F7F23FF1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4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dcterms:created xsi:type="dcterms:W3CDTF">2020-12-29T02:59:00Z</dcterms:created>
  <dcterms:modified xsi:type="dcterms:W3CDTF">2021-01-06T03:10:00Z</dcterms:modified>
</cp:coreProperties>
</file>