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丁晓晴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适应期向成长期转化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科研水平有待提高，实践能力较强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有冲劲有想法，教育观念新颖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自律性需提高，教育理论阅读量不大，教学实践次数少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主观：水平有限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客观：薛小有才华的老师很多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外出培训，加入培育站学习与思考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阅读教育理论，书写教育论文，挑战教育实践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一次校级公开课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理论实践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一篇教育论文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报刊发表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教学实践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一次区级公开课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课堂展示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读教育理论，外出听课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教育论文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为年级组作贡献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听课反思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校、区级公开课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竞赛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0DACD"/>
    <w:multiLevelType w:val="singleLevel"/>
    <w:tmpl w:val="7F60DA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251396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2021-10-28T02:29:39Z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6E628943053F45368BEEE3901979D922</vt:lpwstr>
  </property>
</Properties>
</file>