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吴轲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  <w:lang w:val="en-US" w:eastAsia="zh-Hans"/>
              </w:rPr>
              <w:t>.</w:t>
            </w:r>
            <w:r>
              <w:rPr>
                <w:rFonts w:hint="default"/>
                <w:sz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较有亲和力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有团队合作精神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充满活力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激情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善于学习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能独立完成自己的本职工作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并能虚心向有教学经验的教师学习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没有灵活机变的能力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上课时受教案的限制较多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个人的发展意愿及对发展需要努力的方向不明确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个人的能力不足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提供学习的机会</w:t>
            </w:r>
            <w:r>
              <w:rPr>
                <w:rFonts w:hint="default"/>
                <w:b/>
                <w:sz w:val="24"/>
                <w:lang w:eastAsia="zh-Hans"/>
              </w:rPr>
              <w:t>，</w:t>
            </w:r>
            <w:r>
              <w:rPr>
                <w:rFonts w:hint="eastAsia"/>
                <w:b/>
                <w:sz w:val="24"/>
                <w:lang w:val="en-US" w:eastAsia="zh-Hans"/>
              </w:rPr>
              <w:t>能上公开课</w:t>
            </w:r>
            <w:r>
              <w:rPr>
                <w:rFonts w:hint="default"/>
                <w:b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认真完成本职工作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有机会能上公开课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有机会参与课题研究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市区新秀</w:t>
            </w:r>
            <w:r>
              <w:rPr>
                <w:rFonts w:hint="default"/>
                <w:b/>
                <w:sz w:val="24"/>
                <w:u w:val="single"/>
                <w:lang w:eastAsia="zh-Hans"/>
              </w:rPr>
              <w:t>、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课堂教学扎实的教师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备好每节课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上好每节课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能开放自己的课堂</w:t>
            </w:r>
          </w:p>
        </w:tc>
      </w:tr>
      <w:tr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发表论文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平时多反思</w:t>
            </w:r>
            <w:r>
              <w:rPr>
                <w:rFonts w:hint="default" w:ascii="宋体" w:hAnsi="宋体" w:cs="宋体"/>
                <w:color w:val="333333"/>
                <w:kern w:val="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将自己的困惑与经验写下来</w:t>
            </w:r>
            <w:r>
              <w:rPr>
                <w:rFonts w:hint="default" w:ascii="宋体" w:hAnsi="宋体" w:cs="宋体"/>
                <w:color w:val="333333"/>
                <w:kern w:val="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集合成论文</w:t>
            </w:r>
            <w:r>
              <w:rPr>
                <w:rFonts w:hint="default" w:ascii="宋体" w:hAnsi="宋体" w:cs="宋体"/>
                <w:color w:val="333333"/>
                <w:kern w:val="0"/>
                <w:lang w:eastAsia="zh-Hans"/>
              </w:rPr>
              <w:t>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lang w:val="en-US" w:eastAsia="zh-Hans"/>
              </w:rPr>
              <w:t>在杂志上发表论文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上区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市级公开课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多听其他教师的课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形成自己的教学风格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不断总结提升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多阅读教学类书籍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积极参加网络或线下培训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能参与学校的课题研究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观摩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学习学校的团队建设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能上出高质量的课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有不断研究创新的意识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完善自己的基本功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吴轲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default"/>
                <w:sz w:val="24"/>
              </w:rPr>
              <w:t>2021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default"/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default"/>
                <w:sz w:val="24"/>
              </w:rPr>
              <w:t>28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A2F91"/>
    <w:multiLevelType w:val="singleLevel"/>
    <w:tmpl w:val="617A2F9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7A31A4"/>
    <w:multiLevelType w:val="singleLevel"/>
    <w:tmpl w:val="617A31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CF72C7B"/>
    <w:rsid w:val="7D3A2B97"/>
    <w:rsid w:val="7DEC778F"/>
    <w:rsid w:val="7FFFBF58"/>
    <w:rsid w:val="EFFFE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ScaleCrop>false</ScaleCrop>
  <LinksUpToDate>false</LinksUpToDate>
  <CharactersWithSpaces>6916</CharactersWithSpaces>
  <Application>WPS Office_3.0.1.4848_F1E327BC-269C-435d-A152-05C5408002CA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wk0718</cp:lastModifiedBy>
  <cp:lastPrinted>2018-09-19T20:22:00Z</cp:lastPrinted>
  <dcterms:modified xsi:type="dcterms:W3CDTF">2021-10-28T12:36:30Z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2052-3.0.1.4848</vt:lpwstr>
  </property>
  <property fmtid="{D5CDD505-2E9C-101B-9397-08002B2CF9AE}" pid="3" name="ICV">
    <vt:lpwstr>6E628943053F45368BEEE3901979D922</vt:lpwstr>
  </property>
</Properties>
</file>