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ascii="黑体" w:hAnsi="黑体" w:eastAsia="黑体"/>
          <w:sz w:val="32"/>
          <w:szCs w:val="32"/>
        </w:rPr>
        <w:t>新北区“姚建法名教师成长营”暨“多元表征”课题组第</w:t>
      </w:r>
      <w:r>
        <w:rPr>
          <w:rFonts w:hint="eastAsia" w:ascii="黑体" w:hAnsi="黑体" w:eastAsia="黑体"/>
          <w:sz w:val="32"/>
          <w:szCs w:val="32"/>
          <w:lang w:val="en-US" w:eastAsia="zh-CN"/>
        </w:rPr>
        <w:t>三十八</w:t>
      </w:r>
      <w:r>
        <w:rPr>
          <w:rFonts w:hint="eastAsia" w:ascii="黑体" w:hAnsi="黑体" w:eastAsia="黑体"/>
          <w:sz w:val="32"/>
          <w:szCs w:val="32"/>
        </w:rPr>
        <w:t>次活动的通知</w:t>
      </w:r>
    </w:p>
    <w:p>
      <w:pPr>
        <w:ind w:firstLine="480"/>
        <w:jc w:val="left"/>
        <w:rPr>
          <w:sz w:val="24"/>
          <w:szCs w:val="24"/>
        </w:rPr>
      </w:pPr>
      <w:bookmarkStart w:id="0" w:name="_GoBack"/>
      <w:r>
        <w:rPr>
          <w:rFonts w:hint="eastAsia" w:ascii="宋体" w:hAnsi="宋体" w:eastAsia="宋体"/>
          <w:bCs/>
          <w:sz w:val="24"/>
          <w:szCs w:val="28"/>
          <w:lang w:val="en-US" w:eastAsia="zh-CN"/>
        </w:rPr>
        <w:t>如何通过小学生数学多元表征学习提升学业质量水平？</w:t>
      </w:r>
      <w:r>
        <w:rPr>
          <w:rFonts w:hint="eastAsia" w:ascii="宋体" w:hAnsi="宋体" w:eastAsia="宋体"/>
          <w:bCs/>
          <w:sz w:val="24"/>
          <w:szCs w:val="28"/>
        </w:rPr>
        <w:t>现</w:t>
      </w:r>
      <w:r>
        <w:rPr>
          <w:rFonts w:hint="eastAsia" w:ascii="宋体" w:hAnsi="宋体" w:eastAsia="宋体"/>
          <w:bCs/>
          <w:sz w:val="24"/>
          <w:szCs w:val="28"/>
          <w:lang w:val="en-US" w:eastAsia="zh-CN"/>
        </w:rPr>
        <w:t>结合江苏省特级教师蔡宏圣与江苏省师培中心徐伯钧主任的专题讲座，</w:t>
      </w:r>
      <w:r>
        <w:rPr>
          <w:rFonts w:hint="eastAsia"/>
          <w:sz w:val="24"/>
          <w:szCs w:val="24"/>
        </w:rPr>
        <w:t>开展成长营暨多元表征课题组第</w:t>
      </w:r>
      <w:r>
        <w:rPr>
          <w:rFonts w:hint="eastAsia"/>
          <w:sz w:val="24"/>
          <w:szCs w:val="24"/>
          <w:lang w:val="en-US" w:eastAsia="zh-CN"/>
        </w:rPr>
        <w:t>三十八</w:t>
      </w:r>
      <w:r>
        <w:rPr>
          <w:rFonts w:hint="eastAsia"/>
          <w:sz w:val="24"/>
          <w:szCs w:val="24"/>
        </w:rPr>
        <w:t>次活动。</w:t>
      </w:r>
    </w:p>
    <w:bookmarkEnd w:id="0"/>
    <w:p>
      <w:pPr>
        <w:rPr>
          <w:rFonts w:hint="default" w:eastAsiaTheme="minorEastAsia"/>
          <w:b/>
          <w:color w:val="FF0000"/>
          <w:sz w:val="24"/>
          <w:szCs w:val="24"/>
          <w:lang w:val="en-US" w:eastAsia="zh-CN"/>
        </w:rPr>
      </w:pPr>
      <w:r>
        <w:rPr>
          <w:rFonts w:hint="eastAsia"/>
          <w:b/>
          <w:sz w:val="24"/>
          <w:szCs w:val="24"/>
        </w:rPr>
        <w:t xml:space="preserve">    一、活动时间：</w:t>
      </w:r>
      <w:r>
        <w:rPr>
          <w:rFonts w:hint="eastAsia"/>
          <w:sz w:val="24"/>
          <w:szCs w:val="24"/>
        </w:rPr>
        <w:t>202</w:t>
      </w:r>
      <w:r>
        <w:rPr>
          <w:rFonts w:hint="eastAsia"/>
          <w:sz w:val="24"/>
          <w:szCs w:val="24"/>
          <w:lang w:val="en-US" w:eastAsia="zh-CN"/>
        </w:rPr>
        <w:t>2</w:t>
      </w:r>
      <w:r>
        <w:rPr>
          <w:rFonts w:hint="eastAsia"/>
          <w:sz w:val="24"/>
          <w:szCs w:val="24"/>
        </w:rPr>
        <w:t>年</w:t>
      </w:r>
      <w:r>
        <w:rPr>
          <w:rFonts w:hint="eastAsia"/>
          <w:sz w:val="24"/>
          <w:szCs w:val="24"/>
          <w:lang w:val="en-US" w:eastAsia="zh-CN"/>
        </w:rPr>
        <w:t>3</w:t>
      </w:r>
      <w:r>
        <w:rPr>
          <w:rFonts w:hint="eastAsia"/>
          <w:b/>
          <w:sz w:val="24"/>
          <w:szCs w:val="24"/>
        </w:rPr>
        <w:t>月</w:t>
      </w:r>
      <w:r>
        <w:rPr>
          <w:rFonts w:hint="eastAsia"/>
          <w:b/>
          <w:sz w:val="24"/>
          <w:szCs w:val="24"/>
          <w:lang w:val="en-US" w:eastAsia="zh-CN"/>
        </w:rPr>
        <w:t>26</w:t>
      </w:r>
      <w:r>
        <w:rPr>
          <w:rFonts w:hint="eastAsia"/>
          <w:b/>
          <w:sz w:val="24"/>
          <w:szCs w:val="24"/>
        </w:rPr>
        <w:t>日</w:t>
      </w:r>
      <w:r>
        <w:rPr>
          <w:rFonts w:hint="eastAsia"/>
          <w:b w:val="0"/>
          <w:bCs/>
          <w:color w:val="FF0000"/>
          <w:sz w:val="24"/>
          <w:szCs w:val="24"/>
        </w:rPr>
        <w:t>周</w:t>
      </w:r>
      <w:r>
        <w:rPr>
          <w:rFonts w:hint="eastAsia"/>
          <w:b w:val="0"/>
          <w:bCs/>
          <w:color w:val="FF0000"/>
          <w:sz w:val="24"/>
          <w:szCs w:val="24"/>
          <w:lang w:val="en-US" w:eastAsia="zh-CN"/>
        </w:rPr>
        <w:t>六</w:t>
      </w:r>
    </w:p>
    <w:p>
      <w:pPr>
        <w:rPr>
          <w:rFonts w:hint="default" w:eastAsiaTheme="minorEastAsia"/>
          <w:b w:val="0"/>
          <w:bCs/>
          <w:color w:val="FF0000"/>
          <w:sz w:val="24"/>
          <w:szCs w:val="24"/>
          <w:lang w:val="en-US" w:eastAsia="zh-CN"/>
        </w:rPr>
      </w:pPr>
      <w:r>
        <w:rPr>
          <w:rFonts w:hint="eastAsia"/>
          <w:b/>
          <w:sz w:val="24"/>
          <w:szCs w:val="24"/>
        </w:rPr>
        <w:t xml:space="preserve">    </w:t>
      </w:r>
      <w:r>
        <w:rPr>
          <w:rFonts w:hint="eastAsia"/>
          <w:b/>
          <w:color w:val="FF0000"/>
          <w:sz w:val="24"/>
          <w:szCs w:val="24"/>
        </w:rPr>
        <w:t>二、</w:t>
      </w:r>
      <w:r>
        <w:rPr>
          <w:rFonts w:hint="eastAsia"/>
          <w:b/>
          <w:color w:val="FF0000"/>
          <w:sz w:val="24"/>
          <w:szCs w:val="24"/>
          <w:lang w:val="en-US" w:eastAsia="zh-CN"/>
        </w:rPr>
        <w:t>活动主题：</w:t>
      </w:r>
      <w:r>
        <w:rPr>
          <w:rFonts w:hint="eastAsia"/>
          <w:b w:val="0"/>
          <w:bCs/>
          <w:color w:val="FF0000"/>
          <w:sz w:val="24"/>
          <w:szCs w:val="24"/>
          <w:lang w:val="en-US" w:eastAsia="zh-CN"/>
        </w:rPr>
        <w:t>居家视频学习与案例研修</w:t>
      </w:r>
    </w:p>
    <w:p>
      <w:pPr>
        <w:ind w:firstLine="482" w:firstLineChars="200"/>
        <w:rPr>
          <w:b/>
          <w:sz w:val="24"/>
          <w:szCs w:val="24"/>
        </w:rPr>
      </w:pPr>
      <w:r>
        <w:rPr>
          <w:rFonts w:hint="eastAsia"/>
          <w:b/>
          <w:sz w:val="24"/>
          <w:szCs w:val="24"/>
          <w:lang w:val="en-US" w:eastAsia="zh-CN"/>
        </w:rPr>
        <w:t>三</w:t>
      </w:r>
      <w:r>
        <w:rPr>
          <w:rFonts w:hint="eastAsia"/>
          <w:b/>
          <w:sz w:val="24"/>
          <w:szCs w:val="24"/>
        </w:rPr>
        <w:t>、参加对象：</w:t>
      </w:r>
    </w:p>
    <w:p>
      <w:pPr>
        <w:rPr>
          <w:sz w:val="24"/>
          <w:szCs w:val="24"/>
        </w:rPr>
      </w:pPr>
      <w:r>
        <w:rPr>
          <w:rFonts w:hint="eastAsia"/>
          <w:b/>
          <w:sz w:val="24"/>
          <w:szCs w:val="24"/>
        </w:rPr>
        <w:t xml:space="preserve">    1、新北区“姚建法名教师成长营”全体营员</w:t>
      </w:r>
      <w:r>
        <w:rPr>
          <w:rFonts w:hint="eastAsia"/>
          <w:sz w:val="24"/>
          <w:szCs w:val="24"/>
        </w:rPr>
        <w:t>（圩塘张小玲、</w:t>
      </w:r>
      <w:r>
        <w:rPr>
          <w:rFonts w:hint="eastAsia"/>
          <w:sz w:val="24"/>
          <w:szCs w:val="24"/>
          <w:lang w:val="en-US" w:eastAsia="zh-CN"/>
        </w:rPr>
        <w:t>河海实验</w:t>
      </w:r>
      <w:r>
        <w:rPr>
          <w:rFonts w:hint="eastAsia"/>
          <w:sz w:val="24"/>
          <w:szCs w:val="24"/>
        </w:rPr>
        <w:t>蔡腾飞、新桥殷娟、新桥罗雯娟、龙虎徐子燕、百草园胡珂、飞龙王怡雯、安家王斌、薛家陈嘉烨、春江王红、百丈吴秀娟、孟实王兰兰、九里李婷、龙二蔡芬、新二徐艺、三井陈沁、龙城杨洋）</w:t>
      </w:r>
    </w:p>
    <w:p>
      <w:pPr>
        <w:rPr>
          <w:sz w:val="24"/>
          <w:szCs w:val="24"/>
        </w:rPr>
      </w:pPr>
      <w:r>
        <w:rPr>
          <w:rFonts w:hint="eastAsia"/>
          <w:b/>
          <w:sz w:val="24"/>
          <w:szCs w:val="24"/>
        </w:rPr>
        <w:t xml:space="preserve">    2、“多元表征”课题组核心成员</w:t>
      </w:r>
      <w:r>
        <w:rPr>
          <w:rFonts w:hint="eastAsia"/>
          <w:sz w:val="24"/>
          <w:szCs w:val="24"/>
        </w:rPr>
        <w:t>（新桥殷娟、罗雯娟、冯洁、李娟、陈惠、陈洁、刘群、刘孝玲；百丈赵春香、褚君）</w:t>
      </w:r>
    </w:p>
    <w:p>
      <w:pPr>
        <w:rPr>
          <w:b/>
          <w:sz w:val="24"/>
          <w:szCs w:val="24"/>
        </w:rPr>
      </w:pPr>
      <w:r>
        <w:rPr>
          <w:rFonts w:hint="eastAsia"/>
          <w:b/>
          <w:sz w:val="24"/>
          <w:szCs w:val="24"/>
        </w:rPr>
        <w:t xml:space="preserve">    3、新北区“姚建法名教师成长营”编外</w:t>
      </w:r>
      <w:r>
        <w:rPr>
          <w:rFonts w:hint="eastAsia"/>
          <w:sz w:val="24"/>
          <w:szCs w:val="24"/>
        </w:rPr>
        <w:t>（安家黄剑峰、奔牛何亚丽、河海</w:t>
      </w:r>
      <w:r>
        <w:rPr>
          <w:rFonts w:hint="eastAsia"/>
          <w:sz w:val="24"/>
          <w:szCs w:val="24"/>
          <w:lang w:val="en-US" w:eastAsia="zh-CN"/>
        </w:rPr>
        <w:t>袁锦</w:t>
      </w:r>
      <w:r>
        <w:rPr>
          <w:rFonts w:hint="eastAsia"/>
          <w:sz w:val="24"/>
          <w:szCs w:val="24"/>
        </w:rPr>
        <w:t>、吕墅朱茜、小河陈佳丽）</w:t>
      </w:r>
    </w:p>
    <w:p>
      <w:pPr>
        <w:rPr>
          <w:b/>
          <w:sz w:val="24"/>
          <w:szCs w:val="24"/>
        </w:rPr>
      </w:pPr>
      <w:r>
        <w:rPr>
          <w:rFonts w:hint="eastAsia"/>
          <w:b/>
          <w:sz w:val="24"/>
          <w:szCs w:val="24"/>
        </w:rPr>
        <w:t xml:space="preserve">    四、活动议程：</w:t>
      </w:r>
    </w:p>
    <w:tbl>
      <w:tblPr>
        <w:tblStyle w:val="7"/>
        <w:tblW w:w="1210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82"/>
        <w:gridCol w:w="993"/>
        <w:gridCol w:w="8040"/>
        <w:gridCol w:w="15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jc w:val="center"/>
        </w:trPr>
        <w:tc>
          <w:tcPr>
            <w:tcW w:w="1482" w:type="dxa"/>
            <w:tcBorders>
              <w:top w:val="single" w:color="000000" w:themeColor="text1" w:sz="12" w:space="0"/>
              <w:left w:val="single" w:color="000000" w:themeColor="text1" w:sz="12" w:space="0"/>
              <w:right w:val="single" w:color="auto" w:sz="4" w:space="0"/>
            </w:tcBorders>
          </w:tcPr>
          <w:p>
            <w:pPr>
              <w:jc w:val="center"/>
              <w:rPr>
                <w:b/>
                <w:sz w:val="24"/>
                <w:szCs w:val="24"/>
              </w:rPr>
            </w:pPr>
            <w:r>
              <w:rPr>
                <w:rFonts w:hint="eastAsia"/>
                <w:b/>
                <w:sz w:val="24"/>
                <w:szCs w:val="24"/>
              </w:rPr>
              <w:t>环节</w:t>
            </w:r>
          </w:p>
        </w:tc>
        <w:tc>
          <w:tcPr>
            <w:tcW w:w="993" w:type="dxa"/>
            <w:tcBorders>
              <w:top w:val="single" w:color="000000" w:themeColor="text1" w:sz="12" w:space="0"/>
              <w:bottom w:val="single" w:color="auto" w:sz="4" w:space="0"/>
              <w:right w:val="single" w:color="auto" w:sz="4" w:space="0"/>
            </w:tcBorders>
          </w:tcPr>
          <w:p>
            <w:pPr>
              <w:jc w:val="center"/>
              <w:rPr>
                <w:rFonts w:hint="default" w:eastAsiaTheme="minorEastAsia"/>
                <w:b/>
                <w:sz w:val="24"/>
                <w:szCs w:val="24"/>
                <w:lang w:val="en-US" w:eastAsia="zh-CN"/>
              </w:rPr>
            </w:pPr>
            <w:r>
              <w:rPr>
                <w:rFonts w:hint="eastAsia"/>
                <w:b/>
                <w:sz w:val="24"/>
                <w:szCs w:val="24"/>
                <w:lang w:val="en-US" w:eastAsia="zh-CN"/>
              </w:rPr>
              <w:t>主讲</w:t>
            </w:r>
          </w:p>
        </w:tc>
        <w:tc>
          <w:tcPr>
            <w:tcW w:w="8040" w:type="dxa"/>
            <w:tcBorders>
              <w:top w:val="single" w:color="000000" w:themeColor="text1" w:sz="12" w:space="0"/>
              <w:left w:val="single" w:color="auto" w:sz="4" w:space="0"/>
              <w:bottom w:val="single" w:color="auto" w:sz="4" w:space="0"/>
              <w:right w:val="single" w:color="auto" w:sz="4" w:space="0"/>
            </w:tcBorders>
          </w:tcPr>
          <w:p>
            <w:pPr>
              <w:jc w:val="center"/>
              <w:rPr>
                <w:b/>
                <w:sz w:val="24"/>
                <w:szCs w:val="24"/>
              </w:rPr>
            </w:pPr>
            <w:r>
              <w:rPr>
                <w:rFonts w:hint="eastAsia"/>
                <w:b/>
                <w:color w:val="FF0000"/>
                <w:sz w:val="24"/>
                <w:szCs w:val="24"/>
                <w:lang w:val="en-US" w:eastAsia="zh-CN"/>
              </w:rPr>
              <w:t>线上学习主要</w:t>
            </w:r>
            <w:r>
              <w:rPr>
                <w:rFonts w:hint="eastAsia"/>
                <w:b/>
                <w:color w:val="FF0000"/>
                <w:sz w:val="24"/>
                <w:szCs w:val="24"/>
              </w:rPr>
              <w:t>内容</w:t>
            </w:r>
          </w:p>
        </w:tc>
        <w:tc>
          <w:tcPr>
            <w:tcW w:w="1588" w:type="dxa"/>
            <w:tcBorders>
              <w:top w:val="single" w:color="000000" w:themeColor="text1" w:sz="12" w:space="0"/>
              <w:left w:val="single" w:color="auto" w:sz="4" w:space="0"/>
              <w:bottom w:val="single" w:color="auto" w:sz="4" w:space="0"/>
              <w:right w:val="single" w:color="auto" w:sz="4" w:space="0"/>
            </w:tcBorders>
          </w:tcPr>
          <w:p>
            <w:pPr>
              <w:jc w:val="center"/>
              <w:rPr>
                <w:rFonts w:hint="default" w:eastAsiaTheme="minorEastAsia"/>
                <w:b/>
                <w:sz w:val="24"/>
                <w:szCs w:val="24"/>
                <w:lang w:val="en-US" w:eastAsia="zh-CN"/>
              </w:rPr>
            </w:pPr>
            <w:r>
              <w:rPr>
                <w:rFonts w:hint="eastAsia"/>
                <w:b/>
                <w:sz w:val="24"/>
                <w:szCs w:val="24"/>
                <w:lang w:val="en-US" w:eastAsia="zh-CN"/>
              </w:rPr>
              <w:t>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jc w:val="center"/>
        </w:trPr>
        <w:tc>
          <w:tcPr>
            <w:tcW w:w="1482" w:type="dxa"/>
            <w:tcBorders>
              <w:left w:val="single" w:color="000000" w:themeColor="text1" w:sz="12" w:space="0"/>
              <w:right w:val="single" w:color="auto" w:sz="4" w:space="0"/>
            </w:tcBorders>
            <w:vAlign w:val="center"/>
          </w:tcPr>
          <w:p>
            <w:pPr>
              <w:jc w:val="center"/>
              <w:rPr>
                <w:rFonts w:hint="default" w:eastAsiaTheme="minorEastAsia"/>
                <w:b/>
                <w:sz w:val="24"/>
                <w:szCs w:val="24"/>
                <w:lang w:val="en-US" w:eastAsia="zh-CN"/>
              </w:rPr>
            </w:pPr>
            <w:r>
              <w:rPr>
                <w:rFonts w:hint="eastAsia"/>
                <w:sz w:val="24"/>
                <w:szCs w:val="24"/>
                <w:lang w:val="en-US" w:eastAsia="zh-CN"/>
              </w:rPr>
              <w:t>视频报告1</w:t>
            </w:r>
          </w:p>
        </w:tc>
        <w:tc>
          <w:tcPr>
            <w:tcW w:w="993" w:type="dxa"/>
            <w:tcBorders>
              <w:top w:val="single" w:color="auto" w:sz="4" w:space="0"/>
              <w:right w:val="single" w:color="auto" w:sz="4" w:space="0"/>
            </w:tcBorders>
            <w:vAlign w:val="center"/>
          </w:tcPr>
          <w:p>
            <w:pPr>
              <w:jc w:val="center"/>
              <w:rPr>
                <w:rFonts w:hint="default" w:eastAsiaTheme="minorEastAsia"/>
                <w:sz w:val="24"/>
                <w:szCs w:val="24"/>
                <w:lang w:val="en-US" w:eastAsia="zh-CN"/>
              </w:rPr>
            </w:pPr>
            <w:r>
              <w:rPr>
                <w:rFonts w:hint="eastAsia"/>
                <w:sz w:val="24"/>
                <w:szCs w:val="24"/>
                <w:lang w:val="en-US" w:eastAsia="zh-CN"/>
              </w:rPr>
              <w:t>蔡宏圣</w:t>
            </w:r>
          </w:p>
        </w:tc>
        <w:tc>
          <w:tcPr>
            <w:tcW w:w="804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sz w:val="24"/>
                <w:szCs w:val="24"/>
                <w:lang w:val="en-US" w:eastAsia="zh-CN"/>
              </w:rPr>
            </w:pPr>
            <w:r>
              <w:rPr>
                <w:rFonts w:hint="eastAsia"/>
                <w:sz w:val="24"/>
                <w:szCs w:val="24"/>
                <w:lang w:val="en-US" w:eastAsia="zh-CN"/>
              </w:rPr>
              <w:t>整体视角下小学数学教学的再梳理——图形与几何为例</w:t>
            </w:r>
          </w:p>
        </w:tc>
        <w:tc>
          <w:tcPr>
            <w:tcW w:w="1588" w:type="dxa"/>
            <w:vMerge w:val="restart"/>
            <w:tcBorders>
              <w:top w:val="single" w:color="auto" w:sz="4" w:space="0"/>
              <w:left w:val="single" w:color="auto" w:sz="4" w:space="0"/>
              <w:right w:val="single" w:color="auto" w:sz="4" w:space="0"/>
            </w:tcBorders>
            <w:vAlign w:val="center"/>
          </w:tcPr>
          <w:p>
            <w:pPr>
              <w:jc w:val="center"/>
              <w:rPr>
                <w:rFonts w:hint="default" w:eastAsia="宋体"/>
                <w:sz w:val="24"/>
                <w:szCs w:val="24"/>
                <w:lang w:val="en-US" w:eastAsia="zh-CN"/>
              </w:rPr>
            </w:pPr>
            <w:r>
              <w:rPr>
                <w:rFonts w:hint="eastAsia" w:eastAsia="宋体"/>
                <w:sz w:val="24"/>
                <w:szCs w:val="24"/>
                <w:lang w:val="en-US" w:eastAsia="zh-CN"/>
              </w:rPr>
              <w:t>拍学习照片发群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jc w:val="center"/>
        </w:trPr>
        <w:tc>
          <w:tcPr>
            <w:tcW w:w="1482" w:type="dxa"/>
            <w:tcBorders>
              <w:left w:val="single" w:color="000000" w:themeColor="text1" w:sz="12" w:space="0"/>
              <w:right w:val="single" w:color="auto" w:sz="4" w:space="0"/>
            </w:tcBorders>
            <w:vAlign w:val="center"/>
          </w:tcPr>
          <w:p>
            <w:pPr>
              <w:jc w:val="center"/>
              <w:rPr>
                <w:rFonts w:hint="default"/>
                <w:sz w:val="24"/>
                <w:szCs w:val="24"/>
                <w:lang w:val="en-US" w:eastAsia="zh-CN"/>
              </w:rPr>
            </w:pPr>
            <w:r>
              <w:rPr>
                <w:rFonts w:hint="eastAsia"/>
                <w:sz w:val="24"/>
                <w:szCs w:val="24"/>
                <w:lang w:val="en-US" w:eastAsia="zh-CN"/>
              </w:rPr>
              <w:t>视频报告2</w:t>
            </w:r>
          </w:p>
        </w:tc>
        <w:tc>
          <w:tcPr>
            <w:tcW w:w="993" w:type="dxa"/>
            <w:tcBorders>
              <w:top w:val="single" w:color="auto" w:sz="4" w:space="0"/>
              <w:right w:val="single" w:color="auto" w:sz="4" w:space="0"/>
            </w:tcBorders>
            <w:vAlign w:val="center"/>
          </w:tcPr>
          <w:p>
            <w:pPr>
              <w:jc w:val="center"/>
              <w:rPr>
                <w:rFonts w:hint="default"/>
                <w:sz w:val="24"/>
                <w:szCs w:val="24"/>
                <w:lang w:val="en-US" w:eastAsia="zh-CN"/>
              </w:rPr>
            </w:pPr>
            <w:r>
              <w:rPr>
                <w:rFonts w:hint="eastAsia"/>
                <w:sz w:val="24"/>
                <w:szCs w:val="24"/>
                <w:lang w:val="en-US" w:eastAsia="zh-CN"/>
              </w:rPr>
              <w:t>徐伯钧</w:t>
            </w:r>
          </w:p>
        </w:tc>
        <w:tc>
          <w:tcPr>
            <w:tcW w:w="804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lang w:val="en-US" w:eastAsia="zh-CN"/>
              </w:rPr>
            </w:pPr>
            <w:r>
              <w:rPr>
                <w:rFonts w:hint="eastAsia"/>
                <w:sz w:val="24"/>
                <w:szCs w:val="24"/>
                <w:lang w:val="en-US" w:eastAsia="zh-CN"/>
              </w:rPr>
              <w:t>教育科研的逻辑</w:t>
            </w:r>
          </w:p>
        </w:tc>
        <w:tc>
          <w:tcPr>
            <w:tcW w:w="1588" w:type="dxa"/>
            <w:vMerge w:val="continue"/>
            <w:tcBorders>
              <w:left w:val="single" w:color="auto" w:sz="4" w:space="0"/>
              <w:right w:val="single" w:color="auto" w:sz="4" w:space="0"/>
            </w:tcBorders>
            <w:vAlign w:val="center"/>
          </w:tcPr>
          <w:p>
            <w:pPr>
              <w:jc w:val="center"/>
              <w:rPr>
                <w:rFonts w:hint="eastAsia" w:eastAsia="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jc w:val="center"/>
        </w:trPr>
        <w:tc>
          <w:tcPr>
            <w:tcW w:w="1482" w:type="dxa"/>
            <w:tcBorders>
              <w:left w:val="single" w:color="000000" w:themeColor="text1" w:sz="12" w:space="0"/>
              <w:right w:val="single" w:color="auto" w:sz="4" w:space="0"/>
            </w:tcBorders>
            <w:vAlign w:val="center"/>
          </w:tcPr>
          <w:p>
            <w:pPr>
              <w:jc w:val="center"/>
              <w:rPr>
                <w:rFonts w:hint="default"/>
                <w:b w:val="0"/>
                <w:bCs/>
                <w:sz w:val="24"/>
                <w:szCs w:val="24"/>
                <w:lang w:val="en-US" w:eastAsia="zh-CN"/>
              </w:rPr>
            </w:pPr>
            <w:r>
              <w:rPr>
                <w:rFonts w:hint="eastAsia"/>
                <w:b w:val="0"/>
                <w:bCs/>
                <w:sz w:val="24"/>
                <w:szCs w:val="24"/>
                <w:lang w:val="en-US" w:eastAsia="zh-CN"/>
              </w:rPr>
              <w:t>案例撰写</w:t>
            </w:r>
          </w:p>
        </w:tc>
        <w:tc>
          <w:tcPr>
            <w:tcW w:w="993" w:type="dxa"/>
            <w:tcBorders>
              <w:top w:val="single" w:color="auto" w:sz="4" w:space="0"/>
              <w:right w:val="single" w:color="auto" w:sz="4" w:space="0"/>
            </w:tcBorders>
            <w:vAlign w:val="center"/>
          </w:tcPr>
          <w:p>
            <w:pPr>
              <w:numPr>
                <w:ilvl w:val="0"/>
                <w:numId w:val="0"/>
              </w:numPr>
              <w:jc w:val="center"/>
              <w:rPr>
                <w:rFonts w:hint="default"/>
                <w:b w:val="0"/>
                <w:bCs/>
                <w:sz w:val="24"/>
                <w:szCs w:val="24"/>
                <w:lang w:val="en-US" w:eastAsia="zh-CN"/>
              </w:rPr>
            </w:pPr>
            <w:r>
              <w:rPr>
                <w:rFonts w:hint="eastAsia"/>
                <w:b w:val="0"/>
                <w:bCs/>
                <w:sz w:val="24"/>
                <w:szCs w:val="24"/>
                <w:lang w:val="en-US" w:eastAsia="zh-CN"/>
              </w:rPr>
              <w:t>营员</w:t>
            </w:r>
          </w:p>
        </w:tc>
        <w:tc>
          <w:tcPr>
            <w:tcW w:w="8040" w:type="dxa"/>
            <w:tcBorders>
              <w:top w:val="single" w:color="auto" w:sz="4" w:space="0"/>
              <w:left w:val="single" w:color="auto" w:sz="4" w:space="0"/>
              <w:right w:val="single" w:color="auto" w:sz="4" w:space="0"/>
            </w:tcBorders>
            <w:vAlign w:val="center"/>
          </w:tcPr>
          <w:p>
            <w:pPr>
              <w:numPr>
                <w:ilvl w:val="0"/>
                <w:numId w:val="0"/>
              </w:numPr>
              <w:jc w:val="left"/>
              <w:rPr>
                <w:rFonts w:hint="eastAsia"/>
                <w:sz w:val="24"/>
                <w:szCs w:val="24"/>
                <w:lang w:val="en-US" w:eastAsia="zh-CN"/>
              </w:rPr>
            </w:pPr>
            <w:r>
              <w:rPr>
                <w:rFonts w:hint="eastAsia"/>
                <w:sz w:val="24"/>
                <w:szCs w:val="24"/>
                <w:lang w:val="en-US" w:eastAsia="zh-CN"/>
              </w:rPr>
              <w:t>挖掘报告中多元表征要素，聚焦动作表征、图像表征、符号表征中的一种，3月27日前围绕“图形与几何”领域将教学案例的题目（需含表征字样）发群共享。</w:t>
            </w:r>
          </w:p>
          <w:p>
            <w:pPr>
              <w:numPr>
                <w:ilvl w:val="0"/>
                <w:numId w:val="0"/>
              </w:numPr>
              <w:jc w:val="left"/>
              <w:rPr>
                <w:rFonts w:hint="eastAsia"/>
                <w:sz w:val="24"/>
                <w:szCs w:val="24"/>
                <w:lang w:val="en-US" w:eastAsia="zh-CN"/>
              </w:rPr>
            </w:pPr>
            <w:r>
              <w:rPr>
                <w:rFonts w:hint="eastAsia"/>
                <w:sz w:val="24"/>
                <w:szCs w:val="24"/>
                <w:lang w:val="en-US" w:eastAsia="zh-CN"/>
              </w:rPr>
              <w:t>3月31日前完成详实案例1篇，发给各组组长汇总。</w:t>
            </w:r>
          </w:p>
          <w:p>
            <w:pPr>
              <w:numPr>
                <w:ilvl w:val="0"/>
                <w:numId w:val="0"/>
              </w:numPr>
              <w:jc w:val="left"/>
              <w:rPr>
                <w:rFonts w:hint="default"/>
                <w:b w:val="0"/>
                <w:bCs/>
                <w:sz w:val="24"/>
                <w:szCs w:val="24"/>
                <w:lang w:val="en-US" w:eastAsia="zh-CN"/>
              </w:rPr>
            </w:pPr>
            <w:r>
              <w:rPr>
                <w:rFonts w:hint="eastAsia"/>
                <w:sz w:val="24"/>
                <w:szCs w:val="24"/>
                <w:lang w:val="en-US" w:eastAsia="zh-CN"/>
              </w:rPr>
              <w:t>案例要求：字数不少于1000字，至少包含：题目与作者；第一段针对题目的上位解读（至少5行字以上）；第二部分教学实录（师生教与学的对话式的）；第三段针对实录的下位解读（至少8行以上，要么分类、要么分层）；第四段：跳出实录走向教学的一般化（3行字即可）。整个案例至少有一处引用参考文献。</w:t>
            </w:r>
          </w:p>
        </w:tc>
        <w:tc>
          <w:tcPr>
            <w:tcW w:w="1588" w:type="dxa"/>
            <w:vMerge w:val="continue"/>
            <w:tcBorders>
              <w:left w:val="single" w:color="auto" w:sz="4" w:space="0"/>
              <w:right w:val="single" w:color="auto" w:sz="4" w:space="0"/>
            </w:tcBorders>
            <w:vAlign w:val="center"/>
          </w:tcPr>
          <w:p>
            <w:pPr>
              <w:jc w:val="center"/>
              <w:rPr>
                <w:rFonts w:hint="default" w:eastAsiaTheme="minorEastAsia"/>
                <w:b w:val="0"/>
                <w:bCs/>
                <w:sz w:val="24"/>
                <w:szCs w:val="24"/>
                <w:lang w:val="en-US" w:eastAsia="zh-CN"/>
              </w:rPr>
            </w:pPr>
          </w:p>
        </w:tc>
      </w:tr>
    </w:tbl>
    <w:p>
      <w:pPr>
        <w:rPr>
          <w:b/>
          <w:sz w:val="24"/>
          <w:szCs w:val="24"/>
        </w:rPr>
      </w:pPr>
      <w:r>
        <w:rPr>
          <w:rFonts w:hint="eastAsia"/>
          <w:b/>
          <w:sz w:val="24"/>
          <w:szCs w:val="24"/>
        </w:rPr>
        <w:t xml:space="preserve">    五、通讯：</w:t>
      </w:r>
      <w:r>
        <w:rPr>
          <w:rFonts w:hint="eastAsia"/>
          <w:b/>
          <w:sz w:val="24"/>
          <w:szCs w:val="24"/>
          <w:lang w:val="en-US" w:eastAsia="zh-CN"/>
        </w:rPr>
        <w:t>蔡腾飞</w:t>
      </w:r>
      <w:r>
        <w:rPr>
          <w:rFonts w:hint="eastAsia"/>
          <w:b/>
          <w:sz w:val="24"/>
          <w:szCs w:val="24"/>
        </w:rPr>
        <w:t>小组</w:t>
      </w:r>
    </w:p>
    <w:p>
      <w:pPr>
        <w:ind w:right="349" w:rightChars="166"/>
        <w:jc w:val="right"/>
        <w:rPr>
          <w:sz w:val="24"/>
          <w:szCs w:val="24"/>
        </w:rPr>
      </w:pPr>
      <w:r>
        <w:rPr>
          <w:rFonts w:hint="eastAsia"/>
          <w:sz w:val="24"/>
          <w:szCs w:val="24"/>
        </w:rPr>
        <w:t>常州市新北区教育管理服务中心</w:t>
      </w:r>
    </w:p>
    <w:p>
      <w:pPr>
        <w:ind w:right="349" w:rightChars="166"/>
        <w:jc w:val="right"/>
        <w:rPr>
          <w:sz w:val="24"/>
          <w:szCs w:val="24"/>
        </w:rPr>
      </w:pPr>
      <w:r>
        <w:rPr>
          <w:rFonts w:hint="eastAsia"/>
          <w:sz w:val="24"/>
          <w:szCs w:val="24"/>
        </w:rPr>
        <w:t>新北区“姚建法名教师成长营”</w:t>
      </w:r>
    </w:p>
    <w:p>
      <w:pPr>
        <w:ind w:right="349" w:rightChars="166"/>
        <w:jc w:val="right"/>
        <w:rPr>
          <w:rFonts w:hint="default" w:eastAsiaTheme="minorEastAsia"/>
          <w:sz w:val="24"/>
          <w:szCs w:val="24"/>
          <w:lang w:val="en-US" w:eastAsia="zh-CN"/>
        </w:rPr>
      </w:pPr>
      <w:r>
        <w:rPr>
          <w:rFonts w:hint="eastAsia"/>
          <w:sz w:val="24"/>
          <w:szCs w:val="24"/>
        </w:rPr>
        <w:t>202</w:t>
      </w:r>
      <w:r>
        <w:rPr>
          <w:rFonts w:hint="eastAsia"/>
          <w:sz w:val="24"/>
          <w:szCs w:val="24"/>
          <w:lang w:val="en-US" w:eastAsia="zh-CN"/>
        </w:rPr>
        <w:t>2</w:t>
      </w:r>
      <w:r>
        <w:rPr>
          <w:rFonts w:hint="eastAsia"/>
          <w:sz w:val="24"/>
          <w:szCs w:val="24"/>
        </w:rPr>
        <w:t>.</w:t>
      </w:r>
      <w:r>
        <w:rPr>
          <w:rFonts w:hint="eastAsia"/>
          <w:sz w:val="24"/>
          <w:szCs w:val="24"/>
          <w:lang w:val="en-US" w:eastAsia="zh-CN"/>
        </w:rPr>
        <w:t>3.24</w:t>
      </w:r>
    </w:p>
    <w:sectPr>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97BB9"/>
    <w:rsid w:val="00002295"/>
    <w:rsid w:val="00006A3E"/>
    <w:rsid w:val="0000717C"/>
    <w:rsid w:val="00024548"/>
    <w:rsid w:val="00025B51"/>
    <w:rsid w:val="00025E3C"/>
    <w:rsid w:val="000620D0"/>
    <w:rsid w:val="00067402"/>
    <w:rsid w:val="0007014D"/>
    <w:rsid w:val="000714D2"/>
    <w:rsid w:val="00077314"/>
    <w:rsid w:val="000851B0"/>
    <w:rsid w:val="00092585"/>
    <w:rsid w:val="000976C0"/>
    <w:rsid w:val="000B311A"/>
    <w:rsid w:val="000D17ED"/>
    <w:rsid w:val="000D47FA"/>
    <w:rsid w:val="000E1CF3"/>
    <w:rsid w:val="000E29B2"/>
    <w:rsid w:val="000F44C7"/>
    <w:rsid w:val="00101C00"/>
    <w:rsid w:val="00106E46"/>
    <w:rsid w:val="00114DE6"/>
    <w:rsid w:val="00117ABE"/>
    <w:rsid w:val="001201EA"/>
    <w:rsid w:val="00122A57"/>
    <w:rsid w:val="00140D74"/>
    <w:rsid w:val="0014652C"/>
    <w:rsid w:val="001609FA"/>
    <w:rsid w:val="00173C38"/>
    <w:rsid w:val="001767BC"/>
    <w:rsid w:val="00181938"/>
    <w:rsid w:val="00191756"/>
    <w:rsid w:val="001951EF"/>
    <w:rsid w:val="001953EB"/>
    <w:rsid w:val="001B7404"/>
    <w:rsid w:val="001B7F16"/>
    <w:rsid w:val="001D6DF0"/>
    <w:rsid w:val="001E7951"/>
    <w:rsid w:val="001F18C9"/>
    <w:rsid w:val="00206841"/>
    <w:rsid w:val="002226CA"/>
    <w:rsid w:val="002277EA"/>
    <w:rsid w:val="0024434B"/>
    <w:rsid w:val="00244B4D"/>
    <w:rsid w:val="002511C2"/>
    <w:rsid w:val="00266673"/>
    <w:rsid w:val="00266EF4"/>
    <w:rsid w:val="00271A45"/>
    <w:rsid w:val="00276837"/>
    <w:rsid w:val="0027708E"/>
    <w:rsid w:val="002A377C"/>
    <w:rsid w:val="002C0813"/>
    <w:rsid w:val="002D01CE"/>
    <w:rsid w:val="002D2E30"/>
    <w:rsid w:val="002E3F08"/>
    <w:rsid w:val="002E3F5A"/>
    <w:rsid w:val="002E48BF"/>
    <w:rsid w:val="002F3BA1"/>
    <w:rsid w:val="002F775C"/>
    <w:rsid w:val="00327DA0"/>
    <w:rsid w:val="00330B96"/>
    <w:rsid w:val="00337195"/>
    <w:rsid w:val="003374B6"/>
    <w:rsid w:val="00343EA3"/>
    <w:rsid w:val="00345644"/>
    <w:rsid w:val="00346F30"/>
    <w:rsid w:val="003565F4"/>
    <w:rsid w:val="00361C0D"/>
    <w:rsid w:val="00371D8C"/>
    <w:rsid w:val="00372768"/>
    <w:rsid w:val="00376802"/>
    <w:rsid w:val="00377B3E"/>
    <w:rsid w:val="00385DF9"/>
    <w:rsid w:val="00386AF8"/>
    <w:rsid w:val="003A32AC"/>
    <w:rsid w:val="003A4F0E"/>
    <w:rsid w:val="003A7771"/>
    <w:rsid w:val="003B57EA"/>
    <w:rsid w:val="003C41BE"/>
    <w:rsid w:val="003D3E07"/>
    <w:rsid w:val="003D6963"/>
    <w:rsid w:val="003F1B6C"/>
    <w:rsid w:val="004131B7"/>
    <w:rsid w:val="00426EEF"/>
    <w:rsid w:val="00433EE7"/>
    <w:rsid w:val="00442405"/>
    <w:rsid w:val="00470F26"/>
    <w:rsid w:val="004716E0"/>
    <w:rsid w:val="004729A8"/>
    <w:rsid w:val="0048120A"/>
    <w:rsid w:val="004D1267"/>
    <w:rsid w:val="004D1D42"/>
    <w:rsid w:val="004D27B7"/>
    <w:rsid w:val="004D68AA"/>
    <w:rsid w:val="004E393C"/>
    <w:rsid w:val="004E467D"/>
    <w:rsid w:val="00512E1F"/>
    <w:rsid w:val="00516EBE"/>
    <w:rsid w:val="00535323"/>
    <w:rsid w:val="00542F4C"/>
    <w:rsid w:val="00544CE2"/>
    <w:rsid w:val="00560856"/>
    <w:rsid w:val="00566B69"/>
    <w:rsid w:val="00575107"/>
    <w:rsid w:val="00577F69"/>
    <w:rsid w:val="00582616"/>
    <w:rsid w:val="005905F3"/>
    <w:rsid w:val="005C0C35"/>
    <w:rsid w:val="005C6344"/>
    <w:rsid w:val="005D6638"/>
    <w:rsid w:val="005E1AEE"/>
    <w:rsid w:val="005E35B4"/>
    <w:rsid w:val="005F5759"/>
    <w:rsid w:val="005F7AF6"/>
    <w:rsid w:val="0061237B"/>
    <w:rsid w:val="00617737"/>
    <w:rsid w:val="00622741"/>
    <w:rsid w:val="006264C1"/>
    <w:rsid w:val="0063336A"/>
    <w:rsid w:val="006534E5"/>
    <w:rsid w:val="006679DF"/>
    <w:rsid w:val="00681C05"/>
    <w:rsid w:val="00681CEE"/>
    <w:rsid w:val="00687EE7"/>
    <w:rsid w:val="00694798"/>
    <w:rsid w:val="006B5888"/>
    <w:rsid w:val="006B5BB5"/>
    <w:rsid w:val="006C0A55"/>
    <w:rsid w:val="006C2F5A"/>
    <w:rsid w:val="006D1608"/>
    <w:rsid w:val="006D2C58"/>
    <w:rsid w:val="006D4EB2"/>
    <w:rsid w:val="006D5976"/>
    <w:rsid w:val="006E0AD9"/>
    <w:rsid w:val="006E3BB4"/>
    <w:rsid w:val="006E4C93"/>
    <w:rsid w:val="006E5F2D"/>
    <w:rsid w:val="006F51A4"/>
    <w:rsid w:val="00710C31"/>
    <w:rsid w:val="0071478F"/>
    <w:rsid w:val="0072024E"/>
    <w:rsid w:val="007250AA"/>
    <w:rsid w:val="00734421"/>
    <w:rsid w:val="00735D20"/>
    <w:rsid w:val="00736469"/>
    <w:rsid w:val="0075048A"/>
    <w:rsid w:val="00754915"/>
    <w:rsid w:val="00771DE8"/>
    <w:rsid w:val="0079682B"/>
    <w:rsid w:val="00797C55"/>
    <w:rsid w:val="007A0999"/>
    <w:rsid w:val="007A21B4"/>
    <w:rsid w:val="007A30AF"/>
    <w:rsid w:val="007B311F"/>
    <w:rsid w:val="007C6116"/>
    <w:rsid w:val="007E258F"/>
    <w:rsid w:val="007E368E"/>
    <w:rsid w:val="00800619"/>
    <w:rsid w:val="008031D4"/>
    <w:rsid w:val="008042F9"/>
    <w:rsid w:val="008108D4"/>
    <w:rsid w:val="008200F5"/>
    <w:rsid w:val="00820125"/>
    <w:rsid w:val="00845125"/>
    <w:rsid w:val="008751DD"/>
    <w:rsid w:val="0088349D"/>
    <w:rsid w:val="00885456"/>
    <w:rsid w:val="008873CF"/>
    <w:rsid w:val="00887BD9"/>
    <w:rsid w:val="00894629"/>
    <w:rsid w:val="00897BB9"/>
    <w:rsid w:val="008A4EE7"/>
    <w:rsid w:val="008A6E33"/>
    <w:rsid w:val="008B0B78"/>
    <w:rsid w:val="008B1BFA"/>
    <w:rsid w:val="008B731B"/>
    <w:rsid w:val="008C0BA2"/>
    <w:rsid w:val="008C4C85"/>
    <w:rsid w:val="008C7275"/>
    <w:rsid w:val="008D2B61"/>
    <w:rsid w:val="008D5D34"/>
    <w:rsid w:val="00910491"/>
    <w:rsid w:val="009156BA"/>
    <w:rsid w:val="00917336"/>
    <w:rsid w:val="00920CC2"/>
    <w:rsid w:val="00940845"/>
    <w:rsid w:val="00940A0E"/>
    <w:rsid w:val="00946EFA"/>
    <w:rsid w:val="009A0EB9"/>
    <w:rsid w:val="009A7020"/>
    <w:rsid w:val="009A7B18"/>
    <w:rsid w:val="009B3783"/>
    <w:rsid w:val="009B431E"/>
    <w:rsid w:val="009B6552"/>
    <w:rsid w:val="009D065B"/>
    <w:rsid w:val="009E471A"/>
    <w:rsid w:val="009F38AC"/>
    <w:rsid w:val="009F4115"/>
    <w:rsid w:val="009F54FE"/>
    <w:rsid w:val="009F580D"/>
    <w:rsid w:val="009F7222"/>
    <w:rsid w:val="00A0586F"/>
    <w:rsid w:val="00A27545"/>
    <w:rsid w:val="00A31AC1"/>
    <w:rsid w:val="00A6534D"/>
    <w:rsid w:val="00A76725"/>
    <w:rsid w:val="00A841AB"/>
    <w:rsid w:val="00A90036"/>
    <w:rsid w:val="00AA49B5"/>
    <w:rsid w:val="00AB0B0F"/>
    <w:rsid w:val="00AB3A61"/>
    <w:rsid w:val="00AB3FFF"/>
    <w:rsid w:val="00AC1C96"/>
    <w:rsid w:val="00AC420B"/>
    <w:rsid w:val="00AD5EA1"/>
    <w:rsid w:val="00AE30CF"/>
    <w:rsid w:val="00AE5037"/>
    <w:rsid w:val="00AE5E0B"/>
    <w:rsid w:val="00AF1DF5"/>
    <w:rsid w:val="00AF6095"/>
    <w:rsid w:val="00B01983"/>
    <w:rsid w:val="00B337C5"/>
    <w:rsid w:val="00B60290"/>
    <w:rsid w:val="00B65A07"/>
    <w:rsid w:val="00B83327"/>
    <w:rsid w:val="00B835A0"/>
    <w:rsid w:val="00B83891"/>
    <w:rsid w:val="00B902E6"/>
    <w:rsid w:val="00BA294E"/>
    <w:rsid w:val="00BB7F80"/>
    <w:rsid w:val="00BC14E1"/>
    <w:rsid w:val="00BC26B2"/>
    <w:rsid w:val="00BC2AFA"/>
    <w:rsid w:val="00BD0E07"/>
    <w:rsid w:val="00BD1D84"/>
    <w:rsid w:val="00BD2422"/>
    <w:rsid w:val="00BD38E9"/>
    <w:rsid w:val="00BE0927"/>
    <w:rsid w:val="00BE0D46"/>
    <w:rsid w:val="00C03435"/>
    <w:rsid w:val="00C0462F"/>
    <w:rsid w:val="00C201C0"/>
    <w:rsid w:val="00C21D8D"/>
    <w:rsid w:val="00C26BC1"/>
    <w:rsid w:val="00C347CF"/>
    <w:rsid w:val="00C409C3"/>
    <w:rsid w:val="00C5564C"/>
    <w:rsid w:val="00C61B91"/>
    <w:rsid w:val="00C769F4"/>
    <w:rsid w:val="00C803E1"/>
    <w:rsid w:val="00C8446E"/>
    <w:rsid w:val="00C92EEB"/>
    <w:rsid w:val="00C95CDA"/>
    <w:rsid w:val="00CB4BA2"/>
    <w:rsid w:val="00CC288B"/>
    <w:rsid w:val="00CC484D"/>
    <w:rsid w:val="00CD1602"/>
    <w:rsid w:val="00CD6CBC"/>
    <w:rsid w:val="00CF0A05"/>
    <w:rsid w:val="00CF3BB4"/>
    <w:rsid w:val="00D00E86"/>
    <w:rsid w:val="00D36E29"/>
    <w:rsid w:val="00D37B68"/>
    <w:rsid w:val="00D50BC5"/>
    <w:rsid w:val="00D55CE3"/>
    <w:rsid w:val="00D658A9"/>
    <w:rsid w:val="00D845B5"/>
    <w:rsid w:val="00D850E7"/>
    <w:rsid w:val="00D90CA0"/>
    <w:rsid w:val="00D93738"/>
    <w:rsid w:val="00D9589D"/>
    <w:rsid w:val="00D96593"/>
    <w:rsid w:val="00DE4BB7"/>
    <w:rsid w:val="00DE6E21"/>
    <w:rsid w:val="00E01A01"/>
    <w:rsid w:val="00E021DF"/>
    <w:rsid w:val="00E32C23"/>
    <w:rsid w:val="00E354AB"/>
    <w:rsid w:val="00E434C8"/>
    <w:rsid w:val="00E63B07"/>
    <w:rsid w:val="00E753C1"/>
    <w:rsid w:val="00E764A1"/>
    <w:rsid w:val="00E84D39"/>
    <w:rsid w:val="00EA7C57"/>
    <w:rsid w:val="00EC72D6"/>
    <w:rsid w:val="00ED04B4"/>
    <w:rsid w:val="00ED3AAC"/>
    <w:rsid w:val="00ED74DB"/>
    <w:rsid w:val="00EF711D"/>
    <w:rsid w:val="00F17691"/>
    <w:rsid w:val="00F23E5C"/>
    <w:rsid w:val="00F30584"/>
    <w:rsid w:val="00F348B6"/>
    <w:rsid w:val="00F36925"/>
    <w:rsid w:val="00F37860"/>
    <w:rsid w:val="00F4788A"/>
    <w:rsid w:val="00F51EA4"/>
    <w:rsid w:val="00F8046E"/>
    <w:rsid w:val="00FB75DC"/>
    <w:rsid w:val="00FC07EE"/>
    <w:rsid w:val="00FC0FD0"/>
    <w:rsid w:val="00FC21E8"/>
    <w:rsid w:val="00FC4505"/>
    <w:rsid w:val="00FD0F9C"/>
    <w:rsid w:val="00FD443B"/>
    <w:rsid w:val="00FD6915"/>
    <w:rsid w:val="00FE108E"/>
    <w:rsid w:val="00FE146F"/>
    <w:rsid w:val="025E31F8"/>
    <w:rsid w:val="027F5A36"/>
    <w:rsid w:val="035C5045"/>
    <w:rsid w:val="06011ED8"/>
    <w:rsid w:val="0AB87F3C"/>
    <w:rsid w:val="0F827E3C"/>
    <w:rsid w:val="12070C7D"/>
    <w:rsid w:val="13751279"/>
    <w:rsid w:val="171E4D37"/>
    <w:rsid w:val="18CF0E48"/>
    <w:rsid w:val="19794C5C"/>
    <w:rsid w:val="19AE61A3"/>
    <w:rsid w:val="1C7D61C1"/>
    <w:rsid w:val="1E9E355A"/>
    <w:rsid w:val="1F53437D"/>
    <w:rsid w:val="1FE50445"/>
    <w:rsid w:val="22A13B1A"/>
    <w:rsid w:val="24290551"/>
    <w:rsid w:val="25AA5DFF"/>
    <w:rsid w:val="26AB2ED2"/>
    <w:rsid w:val="27504864"/>
    <w:rsid w:val="27905CE4"/>
    <w:rsid w:val="2CA80113"/>
    <w:rsid w:val="2F7A1F14"/>
    <w:rsid w:val="3012563E"/>
    <w:rsid w:val="34BF5724"/>
    <w:rsid w:val="34F15BE0"/>
    <w:rsid w:val="351B2E14"/>
    <w:rsid w:val="35C90555"/>
    <w:rsid w:val="37BB3276"/>
    <w:rsid w:val="38B25D7C"/>
    <w:rsid w:val="3B9E43DE"/>
    <w:rsid w:val="41FF56FE"/>
    <w:rsid w:val="428F5DA8"/>
    <w:rsid w:val="430052DC"/>
    <w:rsid w:val="46330320"/>
    <w:rsid w:val="493D3B00"/>
    <w:rsid w:val="49BA4C81"/>
    <w:rsid w:val="4A5E4ECF"/>
    <w:rsid w:val="4EB76460"/>
    <w:rsid w:val="4F5C4CD2"/>
    <w:rsid w:val="509F054C"/>
    <w:rsid w:val="50EF43D0"/>
    <w:rsid w:val="513B75CC"/>
    <w:rsid w:val="520428BD"/>
    <w:rsid w:val="52BB6197"/>
    <w:rsid w:val="55AD0BA6"/>
    <w:rsid w:val="55E97AB7"/>
    <w:rsid w:val="56766367"/>
    <w:rsid w:val="592B7873"/>
    <w:rsid w:val="5A605046"/>
    <w:rsid w:val="5C0A27AB"/>
    <w:rsid w:val="6ACB40EB"/>
    <w:rsid w:val="6B261824"/>
    <w:rsid w:val="6DBB76BC"/>
    <w:rsid w:val="6E0C4471"/>
    <w:rsid w:val="788807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日期 Char"/>
    <w:basedOn w:val="8"/>
    <w:link w:val="2"/>
    <w:semiHidden/>
    <w:qFormat/>
    <w:uiPriority w:val="99"/>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102</Words>
  <Characters>583</Characters>
  <Lines>4</Lines>
  <Paragraphs>1</Paragraphs>
  <TotalTime>28</TotalTime>
  <ScaleCrop>false</ScaleCrop>
  <LinksUpToDate>false</LinksUpToDate>
  <CharactersWithSpaces>684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2020-01-07T13:54:00Z</dcterms:created>
  <dc:creator>微软用户</dc:creator>
  <cp:lastModifiedBy>南窗去水</cp:lastModifiedBy>
  <cp:lastPrinted>2022-02-25T08:44:00Z</cp:lastPrinted>
  <dcterms:modified xsi:type="dcterms:W3CDTF">2022-03-24T06:13:48Z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B5BE95C589704952A607D911D71AE422</vt:lpwstr>
  </property>
</Properties>
</file>