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黑体" w:eastAsia="黑体"/>
          <w:b/>
          <w:color w:val="000000"/>
          <w:sz w:val="32"/>
        </w:rPr>
      </w:pPr>
      <w:r>
        <w:rPr>
          <w:rFonts w:hint="eastAsia" w:ascii="黑体" w:hAnsi="黑体" w:eastAsia="黑体"/>
          <w:b/>
          <w:color w:val="000000"/>
          <w:sz w:val="32"/>
        </w:rPr>
        <w:t>常州市新北区新桥街道中心幼儿园会议记录（滨江园区）会议记录</w:t>
      </w:r>
    </w:p>
    <w:tbl>
      <w:tblPr>
        <w:tblStyle w:val="6"/>
        <w:tblpPr w:leftFromText="180" w:rightFromText="180" w:vertAnchor="text" w:horzAnchor="page" w:tblpX="1267" w:tblpY="6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950"/>
        <w:gridCol w:w="972"/>
        <w:gridCol w:w="2394"/>
        <w:gridCol w:w="1181"/>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35" w:type="dxa"/>
            <w:vAlign w:val="center"/>
          </w:tcPr>
          <w:p>
            <w:pPr>
              <w:snapToGrid w:val="0"/>
              <w:spacing w:line="360" w:lineRule="exact"/>
              <w:jc w:val="center"/>
              <w:rPr>
                <w:rFonts w:ascii="宋体" w:hAnsi="宋体"/>
                <w:color w:val="000000"/>
                <w:szCs w:val="21"/>
              </w:rPr>
            </w:pPr>
            <w:r>
              <w:rPr>
                <w:rFonts w:hint="eastAsia" w:ascii="宋体" w:hAnsi="宋体"/>
                <w:color w:val="000000"/>
                <w:szCs w:val="21"/>
              </w:rPr>
              <w:t>主  题</w:t>
            </w:r>
          </w:p>
        </w:tc>
        <w:tc>
          <w:tcPr>
            <w:tcW w:w="8365" w:type="dxa"/>
            <w:gridSpan w:val="5"/>
            <w:vAlign w:val="center"/>
          </w:tcPr>
          <w:p>
            <w:pPr>
              <w:snapToGrid w:val="0"/>
              <w:spacing w:line="360" w:lineRule="exact"/>
              <w:rPr>
                <w:rFonts w:hint="default" w:ascii="宋体" w:hAnsi="宋体" w:eastAsia="宋体"/>
                <w:color w:val="000000"/>
                <w:szCs w:val="21"/>
                <w:lang w:val="en-US" w:eastAsia="zh-CN"/>
              </w:rPr>
            </w:pPr>
            <w:r>
              <w:rPr>
                <w:rFonts w:hint="default" w:ascii="宋体" w:hAnsi="宋体" w:eastAsia="宋体"/>
                <w:color w:val="000000"/>
                <w:szCs w:val="21"/>
                <w:lang w:val="en-US" w:eastAsia="zh-CN"/>
              </w:rPr>
              <w:t>后法典时代的校园安全风险防控</w:t>
            </w:r>
            <w:r>
              <w:rPr>
                <w:rFonts w:hint="eastAsia" w:ascii="宋体" w:hAnsi="宋体"/>
                <w:color w:val="000000"/>
                <w:szCs w:val="21"/>
                <w:lang w:val="en-US" w:eastAsia="zh-CN"/>
              </w:rPr>
              <w:t>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35" w:type="dxa"/>
            <w:vAlign w:val="center"/>
          </w:tcPr>
          <w:p>
            <w:pPr>
              <w:snapToGrid w:val="0"/>
              <w:spacing w:line="360" w:lineRule="exact"/>
              <w:jc w:val="center"/>
              <w:rPr>
                <w:rFonts w:ascii="宋体" w:hAnsi="宋体"/>
                <w:color w:val="000000"/>
                <w:szCs w:val="21"/>
              </w:rPr>
            </w:pPr>
            <w:r>
              <w:rPr>
                <w:rFonts w:hint="eastAsia" w:ascii="宋体" w:hAnsi="宋体"/>
                <w:color w:val="000000"/>
                <w:szCs w:val="21"/>
              </w:rPr>
              <w:t>目  标</w:t>
            </w:r>
          </w:p>
        </w:tc>
        <w:tc>
          <w:tcPr>
            <w:tcW w:w="8365" w:type="dxa"/>
            <w:gridSpan w:val="5"/>
            <w:vAlign w:val="center"/>
          </w:tcPr>
          <w:p>
            <w:pPr>
              <w:numPr>
                <w:ilvl w:val="0"/>
                <w:numId w:val="0"/>
              </w:numPr>
              <w:snapToGrid w:val="0"/>
              <w:spacing w:line="360" w:lineRule="exact"/>
              <w:rPr>
                <w:rFonts w:hint="default" w:ascii="宋体" w:hAnsi="宋体"/>
                <w:color w:val="000000"/>
                <w:szCs w:val="21"/>
                <w:lang w:val="en-US" w:eastAsia="zh-CN"/>
              </w:rPr>
            </w:pPr>
            <w:r>
              <w:rPr>
                <w:rFonts w:hint="eastAsia" w:ascii="宋体" w:hAnsi="宋体"/>
                <w:color w:val="000000"/>
                <w:szCs w:val="21"/>
                <w:lang w:val="en-US" w:eastAsia="zh-CN"/>
              </w:rPr>
              <w:t>了解后法典时代的校园安全风险防控的方法措施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35" w:type="dxa"/>
            <w:vAlign w:val="center"/>
          </w:tcPr>
          <w:p>
            <w:pPr>
              <w:snapToGrid w:val="0"/>
              <w:spacing w:line="360" w:lineRule="exact"/>
              <w:jc w:val="center"/>
              <w:rPr>
                <w:rFonts w:ascii="宋体" w:hAnsi="宋体"/>
                <w:color w:val="000000"/>
                <w:szCs w:val="21"/>
              </w:rPr>
            </w:pPr>
            <w:r>
              <w:rPr>
                <w:rFonts w:hint="eastAsia" w:ascii="宋体" w:hAnsi="宋体"/>
                <w:color w:val="000000"/>
                <w:szCs w:val="21"/>
              </w:rPr>
              <w:t>形  式</w:t>
            </w:r>
          </w:p>
        </w:tc>
        <w:tc>
          <w:tcPr>
            <w:tcW w:w="5316" w:type="dxa"/>
            <w:gridSpan w:val="3"/>
            <w:vAlign w:val="center"/>
          </w:tcPr>
          <w:p>
            <w:pPr>
              <w:snapToGrid w:val="0"/>
              <w:spacing w:line="36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线上培训</w:t>
            </w:r>
          </w:p>
        </w:tc>
        <w:tc>
          <w:tcPr>
            <w:tcW w:w="1181" w:type="dxa"/>
            <w:vAlign w:val="center"/>
          </w:tcPr>
          <w:p>
            <w:pPr>
              <w:snapToGrid w:val="0"/>
              <w:spacing w:line="360" w:lineRule="exact"/>
              <w:jc w:val="center"/>
              <w:rPr>
                <w:rFonts w:ascii="宋体" w:hAnsi="宋体"/>
                <w:color w:val="000000"/>
                <w:szCs w:val="21"/>
              </w:rPr>
            </w:pPr>
            <w:r>
              <w:rPr>
                <w:rFonts w:hint="eastAsia" w:ascii="宋体" w:hAnsi="宋体"/>
                <w:color w:val="000000"/>
                <w:szCs w:val="21"/>
              </w:rPr>
              <w:t>记录人</w:t>
            </w:r>
          </w:p>
        </w:tc>
        <w:tc>
          <w:tcPr>
            <w:tcW w:w="1868" w:type="dxa"/>
            <w:vAlign w:val="center"/>
          </w:tcPr>
          <w:p>
            <w:pPr>
              <w:snapToGrid w:val="0"/>
              <w:spacing w:line="360" w:lineRule="exact"/>
              <w:jc w:val="center"/>
              <w:rPr>
                <w:rFonts w:ascii="宋体" w:hAnsi="宋体"/>
                <w:color w:val="000000"/>
                <w:szCs w:val="21"/>
              </w:rPr>
            </w:pPr>
            <w:r>
              <w:rPr>
                <w:rFonts w:hint="eastAsia" w:ascii="宋体" w:hAnsi="宋体"/>
                <w:color w:val="000000"/>
                <w:szCs w:val="21"/>
              </w:rPr>
              <w:t>高煜恬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35" w:type="dxa"/>
            <w:vAlign w:val="center"/>
          </w:tcPr>
          <w:p>
            <w:pPr>
              <w:snapToGrid w:val="0"/>
              <w:spacing w:line="360" w:lineRule="exact"/>
              <w:jc w:val="center"/>
              <w:rPr>
                <w:rFonts w:ascii="宋体" w:hAnsi="宋体"/>
                <w:color w:val="000000"/>
                <w:szCs w:val="21"/>
              </w:rPr>
            </w:pPr>
            <w:r>
              <w:rPr>
                <w:rFonts w:hint="eastAsia" w:ascii="宋体" w:hAnsi="宋体"/>
                <w:color w:val="000000"/>
                <w:szCs w:val="21"/>
              </w:rPr>
              <w:t>时  间</w:t>
            </w:r>
          </w:p>
        </w:tc>
        <w:tc>
          <w:tcPr>
            <w:tcW w:w="1950" w:type="dxa"/>
            <w:vAlign w:val="center"/>
          </w:tcPr>
          <w:p>
            <w:pPr>
              <w:snapToGrid w:val="0"/>
              <w:spacing w:line="360" w:lineRule="exact"/>
              <w:jc w:val="center"/>
              <w:rPr>
                <w:rFonts w:ascii="宋体" w:hAnsi="宋体"/>
                <w:color w:val="000000"/>
                <w:szCs w:val="21"/>
              </w:rPr>
            </w:pPr>
            <w:r>
              <w:rPr>
                <w:rFonts w:hint="eastAsia" w:ascii="宋体" w:hAnsi="宋体"/>
                <w:color w:val="000000"/>
                <w:szCs w:val="21"/>
              </w:rPr>
              <w:t>20</w:t>
            </w:r>
            <w:r>
              <w:rPr>
                <w:rFonts w:ascii="宋体" w:hAnsi="宋体"/>
                <w:color w:val="000000"/>
                <w:szCs w:val="21"/>
              </w:rPr>
              <w:t>2</w:t>
            </w:r>
            <w:r>
              <w:rPr>
                <w:rFonts w:hint="eastAsia" w:ascii="宋体" w:hAnsi="宋体"/>
                <w:color w:val="000000"/>
                <w:szCs w:val="21"/>
                <w:lang w:val="en-US" w:eastAsia="zh-CN"/>
              </w:rPr>
              <w:t>2</w:t>
            </w:r>
            <w:r>
              <w:rPr>
                <w:rFonts w:hint="eastAsia" w:ascii="宋体" w:hAnsi="宋体"/>
                <w:color w:val="000000"/>
                <w:szCs w:val="21"/>
              </w:rPr>
              <w:t>年</w:t>
            </w:r>
            <w:r>
              <w:rPr>
                <w:rFonts w:hint="eastAsia" w:ascii="宋体" w:hAnsi="宋体"/>
                <w:color w:val="000000"/>
                <w:szCs w:val="21"/>
                <w:lang w:val="en-US" w:eastAsia="zh-CN"/>
              </w:rPr>
              <w:t>2</w:t>
            </w:r>
            <w:r>
              <w:rPr>
                <w:rFonts w:hint="eastAsia" w:ascii="宋体" w:hAnsi="宋体"/>
                <w:color w:val="000000"/>
                <w:szCs w:val="21"/>
              </w:rPr>
              <w:t>月</w:t>
            </w:r>
            <w:r>
              <w:rPr>
                <w:rFonts w:hint="eastAsia" w:ascii="宋体" w:hAnsi="宋体"/>
                <w:color w:val="000000"/>
                <w:szCs w:val="21"/>
                <w:lang w:val="en-US" w:eastAsia="zh-CN"/>
              </w:rPr>
              <w:t>22</w:t>
            </w:r>
            <w:r>
              <w:rPr>
                <w:rFonts w:hint="eastAsia" w:ascii="宋体" w:hAnsi="宋体"/>
                <w:color w:val="000000"/>
                <w:szCs w:val="21"/>
              </w:rPr>
              <w:t>日</w:t>
            </w:r>
          </w:p>
        </w:tc>
        <w:tc>
          <w:tcPr>
            <w:tcW w:w="972" w:type="dxa"/>
            <w:vAlign w:val="center"/>
          </w:tcPr>
          <w:p>
            <w:pPr>
              <w:snapToGrid w:val="0"/>
              <w:spacing w:line="360" w:lineRule="exact"/>
              <w:jc w:val="center"/>
              <w:rPr>
                <w:rFonts w:ascii="宋体" w:hAnsi="宋体"/>
                <w:color w:val="000000"/>
                <w:szCs w:val="21"/>
              </w:rPr>
            </w:pPr>
            <w:r>
              <w:rPr>
                <w:rFonts w:hint="eastAsia" w:ascii="宋体" w:hAnsi="宋体"/>
                <w:color w:val="000000"/>
                <w:szCs w:val="21"/>
              </w:rPr>
              <w:t>地  点</w:t>
            </w:r>
          </w:p>
        </w:tc>
        <w:tc>
          <w:tcPr>
            <w:tcW w:w="2394" w:type="dxa"/>
            <w:vAlign w:val="center"/>
          </w:tcPr>
          <w:p>
            <w:pPr>
              <w:snapToGrid w:val="0"/>
              <w:spacing w:line="36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滨江1音体室</w:t>
            </w:r>
          </w:p>
        </w:tc>
        <w:tc>
          <w:tcPr>
            <w:tcW w:w="1181" w:type="dxa"/>
            <w:vAlign w:val="center"/>
          </w:tcPr>
          <w:p>
            <w:pPr>
              <w:snapToGrid w:val="0"/>
              <w:spacing w:line="360" w:lineRule="exact"/>
              <w:jc w:val="center"/>
              <w:rPr>
                <w:rFonts w:ascii="宋体" w:hAnsi="宋体"/>
                <w:color w:val="000000"/>
                <w:szCs w:val="21"/>
              </w:rPr>
            </w:pPr>
            <w:r>
              <w:rPr>
                <w:rFonts w:hint="eastAsia" w:ascii="宋体" w:hAnsi="宋体"/>
                <w:color w:val="000000"/>
                <w:szCs w:val="21"/>
              </w:rPr>
              <w:t>主持人</w:t>
            </w:r>
          </w:p>
        </w:tc>
        <w:tc>
          <w:tcPr>
            <w:tcW w:w="1868" w:type="dxa"/>
            <w:vAlign w:val="center"/>
          </w:tcPr>
          <w:p>
            <w:pPr>
              <w:snapToGrid w:val="0"/>
              <w:spacing w:line="36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主讲：管华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35" w:type="dxa"/>
            <w:vAlign w:val="center"/>
          </w:tcPr>
          <w:p>
            <w:pPr>
              <w:snapToGrid w:val="0"/>
              <w:spacing w:line="360" w:lineRule="exact"/>
              <w:jc w:val="center"/>
              <w:rPr>
                <w:rFonts w:ascii="宋体" w:hAnsi="宋体"/>
                <w:color w:val="000000"/>
                <w:szCs w:val="21"/>
              </w:rPr>
            </w:pPr>
            <w:r>
              <w:rPr>
                <w:rFonts w:hint="eastAsia" w:ascii="宋体" w:hAnsi="宋体"/>
                <w:color w:val="000000"/>
                <w:szCs w:val="21"/>
              </w:rPr>
              <w:t>参加人员</w:t>
            </w:r>
          </w:p>
        </w:tc>
        <w:tc>
          <w:tcPr>
            <w:tcW w:w="8365" w:type="dxa"/>
            <w:gridSpan w:val="5"/>
            <w:vAlign w:val="center"/>
          </w:tcPr>
          <w:p>
            <w:pPr>
              <w:snapToGrid w:val="0"/>
              <w:spacing w:line="360" w:lineRule="exact"/>
              <w:rPr>
                <w:rFonts w:hint="eastAsia" w:ascii="宋体" w:hAnsi="宋体" w:eastAsia="宋体"/>
                <w:color w:val="000000"/>
                <w:szCs w:val="21"/>
                <w:lang w:eastAsia="zh-CN"/>
              </w:rPr>
            </w:pPr>
            <w:r>
              <w:rPr>
                <w:rFonts w:hint="eastAsia" w:ascii="宋体" w:hAnsi="宋体"/>
                <w:color w:val="000000"/>
                <w:szCs w:val="21"/>
                <w:lang w:val="en-US" w:eastAsia="zh-CN"/>
              </w:rPr>
              <w:t>全体教师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35" w:type="dxa"/>
            <w:vAlign w:val="center"/>
          </w:tcPr>
          <w:p>
            <w:pPr>
              <w:snapToGrid w:val="0"/>
              <w:spacing w:line="360" w:lineRule="exact"/>
              <w:jc w:val="center"/>
              <w:rPr>
                <w:rFonts w:ascii="宋体" w:hAnsi="宋体"/>
                <w:color w:val="000000"/>
                <w:szCs w:val="21"/>
              </w:rPr>
            </w:pPr>
            <w:r>
              <w:rPr>
                <w:rFonts w:hint="eastAsia" w:ascii="宋体" w:hAnsi="宋体"/>
                <w:color w:val="000000"/>
                <w:szCs w:val="21"/>
              </w:rPr>
              <w:t>缺席人员</w:t>
            </w:r>
          </w:p>
        </w:tc>
        <w:tc>
          <w:tcPr>
            <w:tcW w:w="8365" w:type="dxa"/>
            <w:gridSpan w:val="5"/>
            <w:vAlign w:val="center"/>
          </w:tcPr>
          <w:p>
            <w:pPr>
              <w:snapToGrid w:val="0"/>
              <w:spacing w:line="360" w:lineRule="exact"/>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135" w:type="dxa"/>
            <w:vAlign w:val="center"/>
          </w:tcPr>
          <w:p>
            <w:pPr>
              <w:snapToGrid w:val="0"/>
              <w:spacing w:line="360" w:lineRule="exact"/>
              <w:jc w:val="center"/>
              <w:rPr>
                <w:rFonts w:ascii="宋体" w:hAnsi="宋体"/>
                <w:color w:val="000000"/>
                <w:szCs w:val="21"/>
              </w:rPr>
            </w:pPr>
            <w:r>
              <w:rPr>
                <w:rFonts w:hint="eastAsia" w:ascii="宋体" w:hAnsi="宋体"/>
                <w:color w:val="000000"/>
                <w:szCs w:val="21"/>
              </w:rPr>
              <w:t>会</w:t>
            </w:r>
          </w:p>
          <w:p>
            <w:pPr>
              <w:snapToGrid w:val="0"/>
              <w:spacing w:line="360" w:lineRule="exact"/>
              <w:jc w:val="center"/>
              <w:rPr>
                <w:rFonts w:ascii="宋体" w:hAnsi="宋体"/>
                <w:color w:val="000000"/>
                <w:szCs w:val="21"/>
              </w:rPr>
            </w:pPr>
          </w:p>
          <w:p>
            <w:pPr>
              <w:snapToGrid w:val="0"/>
              <w:spacing w:line="360" w:lineRule="exact"/>
              <w:jc w:val="center"/>
              <w:rPr>
                <w:rFonts w:ascii="宋体" w:hAnsi="宋体"/>
                <w:color w:val="000000"/>
                <w:szCs w:val="21"/>
              </w:rPr>
            </w:pPr>
          </w:p>
          <w:p>
            <w:pPr>
              <w:snapToGrid w:val="0"/>
              <w:spacing w:line="360" w:lineRule="exact"/>
              <w:jc w:val="center"/>
              <w:rPr>
                <w:rFonts w:ascii="宋体" w:hAnsi="宋体"/>
                <w:color w:val="000000"/>
                <w:szCs w:val="21"/>
              </w:rPr>
            </w:pPr>
            <w:r>
              <w:rPr>
                <w:rFonts w:hint="eastAsia" w:ascii="宋体" w:hAnsi="宋体"/>
                <w:color w:val="000000"/>
                <w:szCs w:val="21"/>
              </w:rPr>
              <w:t>议</w:t>
            </w:r>
          </w:p>
          <w:p>
            <w:pPr>
              <w:snapToGrid w:val="0"/>
              <w:spacing w:line="360" w:lineRule="exact"/>
              <w:jc w:val="center"/>
              <w:rPr>
                <w:rFonts w:ascii="宋体" w:hAnsi="宋体"/>
                <w:color w:val="000000"/>
                <w:szCs w:val="21"/>
              </w:rPr>
            </w:pPr>
          </w:p>
          <w:p>
            <w:pPr>
              <w:snapToGrid w:val="0"/>
              <w:spacing w:line="360" w:lineRule="exact"/>
              <w:jc w:val="center"/>
              <w:rPr>
                <w:rFonts w:ascii="宋体" w:hAnsi="宋体"/>
                <w:color w:val="000000"/>
                <w:szCs w:val="21"/>
              </w:rPr>
            </w:pPr>
          </w:p>
          <w:p>
            <w:pPr>
              <w:snapToGrid w:val="0"/>
              <w:spacing w:line="360" w:lineRule="exact"/>
              <w:jc w:val="center"/>
              <w:rPr>
                <w:rFonts w:ascii="宋体" w:hAnsi="宋体"/>
                <w:color w:val="000000"/>
                <w:szCs w:val="21"/>
              </w:rPr>
            </w:pPr>
            <w:r>
              <w:rPr>
                <w:rFonts w:hint="eastAsia" w:ascii="宋体" w:hAnsi="宋体"/>
                <w:color w:val="000000"/>
                <w:szCs w:val="21"/>
              </w:rPr>
              <w:t>过</w:t>
            </w:r>
          </w:p>
          <w:p>
            <w:pPr>
              <w:snapToGrid w:val="0"/>
              <w:spacing w:line="360" w:lineRule="exact"/>
              <w:jc w:val="center"/>
              <w:rPr>
                <w:rFonts w:ascii="宋体" w:hAnsi="宋体"/>
                <w:color w:val="000000"/>
                <w:szCs w:val="21"/>
              </w:rPr>
            </w:pPr>
          </w:p>
          <w:p>
            <w:pPr>
              <w:snapToGrid w:val="0"/>
              <w:spacing w:line="360" w:lineRule="exact"/>
              <w:jc w:val="center"/>
              <w:rPr>
                <w:rFonts w:ascii="宋体" w:hAnsi="宋体"/>
                <w:color w:val="000000"/>
                <w:szCs w:val="21"/>
              </w:rPr>
            </w:pPr>
          </w:p>
          <w:p>
            <w:pPr>
              <w:snapToGrid w:val="0"/>
              <w:spacing w:line="360" w:lineRule="exact"/>
              <w:ind w:firstLine="420" w:firstLineChars="200"/>
              <w:rPr>
                <w:rFonts w:ascii="宋体" w:hAnsi="宋体"/>
                <w:color w:val="000000"/>
                <w:szCs w:val="21"/>
              </w:rPr>
            </w:pPr>
            <w:r>
              <w:rPr>
                <w:rFonts w:hint="eastAsia" w:ascii="宋体" w:hAnsi="宋体"/>
                <w:color w:val="000000"/>
                <w:szCs w:val="21"/>
              </w:rPr>
              <w:t>程</w:t>
            </w:r>
          </w:p>
        </w:tc>
        <w:tc>
          <w:tcPr>
            <w:tcW w:w="8365" w:type="dxa"/>
            <w:gridSpan w:val="5"/>
            <w:vAlign w:val="center"/>
          </w:tcPr>
          <w:p>
            <w:pPr>
              <w:keepNext w:val="0"/>
              <w:keepLines w:val="0"/>
              <w:pageBreakBefore w:val="0"/>
              <w:widowControl w:val="0"/>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sz w:val="21"/>
                <w:szCs w:val="21"/>
                <w:lang w:val="en-US" w:eastAsia="zh-CN"/>
              </w:rPr>
            </w:pPr>
            <w:r>
              <w:rPr>
                <w:rFonts w:hint="default" w:asciiTheme="minorEastAsia" w:hAnsiTheme="minorEastAsia" w:eastAsiaTheme="minorEastAsia"/>
                <w:sz w:val="21"/>
                <w:szCs w:val="21"/>
                <w:lang w:val="en-US" w:eastAsia="zh-CN"/>
              </w:rPr>
              <w:t>《民法典》《未成年人保护法》《预防未成年人犯罪法》的颁布对于维护校园安全是重大利好。无论是民事责任年龄的调整，还是归责原则的明确，包括运动伤害事故的处理，都有大量值得学习、研究的新内容。《刑法》修正案（十一）《中小学教育惩戒规则（试行）》也涉及到校园安全风险防控。</w:t>
            </w:r>
          </w:p>
          <w:p>
            <w:pPr>
              <w:keepNext w:val="0"/>
              <w:keepLines w:val="0"/>
              <w:pageBreakBefore w:val="0"/>
              <w:widowControl w:val="0"/>
              <w:tabs>
                <w:tab w:val="left" w:pos="93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未成年人保护法</w:t>
            </w:r>
          </w:p>
          <w:p>
            <w:pPr>
              <w:keepNext w:val="0"/>
              <w:keepLines w:val="0"/>
              <w:pageBreakBefore w:val="0"/>
              <w:widowControl w:val="0"/>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sz w:val="21"/>
                <w:szCs w:val="21"/>
                <w:lang w:val="en-US" w:eastAsia="zh-CN"/>
              </w:rPr>
            </w:pPr>
            <w:r>
              <w:rPr>
                <w:rFonts w:hint="default" w:asciiTheme="minorEastAsia" w:hAnsiTheme="minorEastAsia" w:eastAsiaTheme="minorEastAsia"/>
                <w:sz w:val="21"/>
                <w:szCs w:val="21"/>
                <w:lang w:val="en-US" w:eastAsia="zh-CN"/>
              </w:rPr>
              <w:t>《中华人民共和国未成年人保护法》 已于2020年10月17日经第十三届全人大常务委员会第二十二次会议第二次修订，将于2021年6月1日起施行。本次修改，对现行未成年人保护法作了大幅修改和完善，新增网络保护”“政府保护” 两章，由7章扩展为9章，条文由72条增加到132条，修改几乎涉及原法的每一个条文。</w:t>
            </w:r>
          </w:p>
          <w:p>
            <w:pPr>
              <w:keepNext w:val="0"/>
              <w:keepLines w:val="0"/>
              <w:pageBreakBefore w:val="0"/>
              <w:widowControl w:val="0"/>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一、</w:t>
            </w:r>
            <w:r>
              <w:rPr>
                <w:rFonts w:hint="default" w:asciiTheme="minorEastAsia" w:hAnsiTheme="minorEastAsia" w:eastAsiaTheme="minorEastAsia"/>
                <w:sz w:val="21"/>
                <w:szCs w:val="21"/>
                <w:lang w:val="en-US" w:eastAsia="zh-CN"/>
              </w:rPr>
              <w:t>总则</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原法第三条中规定“国家根据未成年人身心发展特点给子特牙护，保障未成年人的合法权益不受侵犯。修订后的第四条，保护未成年人，应当坚持最有利于未成则。处理涉及未成年人事项，应当符合下列要求：</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口（一）给予未成年人特殊。优先保护；</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口（二）尊重未成年人人格尊严；</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口（三）保护未成年人隐私权和个人信息；</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口（四）适应未成年人身心健康发展的规律和特点；</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口（五）听取未成年人的意见；</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口（六）保护与教育相结合。</w:t>
            </w:r>
          </w:p>
          <w:p>
            <w:pPr>
              <w:keepNext w:val="0"/>
              <w:keepLines w:val="0"/>
              <w:pageBreakBefore w:val="0"/>
              <w:widowControl w:val="0"/>
              <w:tabs>
                <w:tab w:val="left" w:pos="93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尊重未成年人人格、保护未成年人隐私权和个人信息</w:t>
            </w:r>
          </w:p>
          <w:p>
            <w:pPr>
              <w:keepNext w:val="0"/>
              <w:keepLines w:val="0"/>
              <w:pageBreakBefore w:val="0"/>
              <w:widowControl w:val="0"/>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sz w:val="21"/>
                <w:szCs w:val="21"/>
                <w:lang w:val="en-US" w:eastAsia="zh-CN"/>
              </w:rPr>
            </w:pPr>
            <w:r>
              <w:rPr>
                <w:rFonts w:hint="default" w:asciiTheme="minorEastAsia" w:hAnsiTheme="minorEastAsia" w:eastAsiaTheme="minorEastAsia"/>
                <w:b/>
                <w:bCs/>
                <w:sz w:val="21"/>
                <w:szCs w:val="21"/>
                <w:lang w:val="en-US" w:eastAsia="zh-CN"/>
              </w:rPr>
              <w:t>明确监护人和国家各自的责任</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第七条 未成年人的父母或者其他监护人依法对未成年人承担监护职责。国家采取措施指导、支持、帮助和监督未成年人的父母或者其他监护人履行监护职责。调研发现，有家长抱怨幼儿园老师为啥不给孩子报名上小学？</w:t>
            </w:r>
          </w:p>
          <w:p>
            <w:pPr>
              <w:keepNext w:val="0"/>
              <w:keepLines w:val="0"/>
              <w:pageBreakBefore w:val="0"/>
              <w:widowControl w:val="0"/>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sz w:val="21"/>
                <w:szCs w:val="21"/>
                <w:lang w:val="en-US" w:eastAsia="zh-CN"/>
              </w:rPr>
            </w:pPr>
            <w:r>
              <w:rPr>
                <w:rFonts w:hint="default" w:asciiTheme="minorEastAsia" w:hAnsiTheme="minorEastAsia" w:eastAsiaTheme="minorEastAsia"/>
                <w:sz w:val="21"/>
                <w:szCs w:val="21"/>
                <w:lang w:val="en-US" w:eastAsia="zh-CN"/>
              </w:rPr>
              <w:t>强制报告制度</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第十一条 任何组织或者个人发现不利手末成年人身心健康或者侵犯未成人合法权益的情形，都有权劝阳、制止或者向公安、民政．教育等有关当门提出检举、控告。国家机关、居民委员会、村民委员会、密切接触未成年人的单位及其工什人员，在工作中发现未成年人身心健康受到侵害、疑似受到侵害或者面怡其他危险情形的，应当立即向公安、民政、教育等有关部门报告。有关部门接到涉 及未成年人的检举、控告或者报告，应当依法及时受理、处置，并以适当方式将处理结果告知相关单位和人员。</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第一百一十七条 </w:t>
            </w:r>
          </w:p>
          <w:p>
            <w:pPr>
              <w:keepNext w:val="0"/>
              <w:keepLines w:val="0"/>
              <w:pageBreakBefore w:val="0"/>
              <w:widowControl w:val="0"/>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sz w:val="21"/>
                <w:szCs w:val="21"/>
                <w:lang w:val="en-US" w:eastAsia="zh-CN"/>
              </w:rPr>
            </w:pPr>
            <w:r>
              <w:rPr>
                <w:rFonts w:hint="default" w:asciiTheme="minorEastAsia" w:hAnsiTheme="minorEastAsia" w:eastAsiaTheme="minorEastAsia"/>
                <w:sz w:val="21"/>
                <w:szCs w:val="21"/>
                <w:lang w:val="en-US" w:eastAsia="zh-CN"/>
              </w:rPr>
              <w:t>违反本法第十一条第二款规定，未履行报告义务造成严重后果的 ，由上级主管部门或者所在单位对直接货责的主管人员和其他直接贵任人员依法给子处分.</w:t>
            </w:r>
          </w:p>
          <w:p>
            <w:pPr>
              <w:keepNext w:val="0"/>
              <w:keepLines w:val="0"/>
              <w:pageBreakBefore w:val="0"/>
              <w:widowControl w:val="0"/>
              <w:numPr>
                <w:ilvl w:val="0"/>
                <w:numId w:val="1"/>
              </w:numPr>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sz w:val="21"/>
                <w:szCs w:val="21"/>
                <w:lang w:val="en-US" w:eastAsia="zh-CN"/>
              </w:rPr>
            </w:pPr>
            <w:r>
              <w:rPr>
                <w:rFonts w:hint="default" w:asciiTheme="minorEastAsia" w:hAnsiTheme="minorEastAsia" w:eastAsiaTheme="minorEastAsia"/>
                <w:sz w:val="21"/>
                <w:szCs w:val="21"/>
                <w:lang w:val="en-US" w:eastAsia="zh-CN"/>
              </w:rPr>
              <w:t>学校保护</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第二十八条 ．学校应当保障未成年学生受教育的权利，不得违反国家规定开除、变相开除未成年学生。学校应当对尚未完成义务教育的辍学未成年学生进行登记并劝返复学：劝</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返无效的，应当及时向教育行政部门书面报告。</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sz w:val="21"/>
                <w:szCs w:val="21"/>
                <w:lang w:val="en-US" w:eastAsia="zh-CN"/>
              </w:rPr>
            </w:pPr>
            <w:r>
              <w:rPr>
                <w:rFonts w:hint="default" w:asciiTheme="minorEastAsia" w:hAnsiTheme="minorEastAsia" w:eastAsiaTheme="minorEastAsia"/>
                <w:b/>
                <w:bCs/>
                <w:sz w:val="21"/>
                <w:szCs w:val="21"/>
                <w:lang w:val="en-US" w:eastAsia="zh-CN"/>
              </w:rPr>
              <w:t>预防未成年人犯罪法</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第四十三条</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对有严重不良行为的未成年人，未成年人的父母或者其他监护人、所在学校无力管教或者管教无效的，可以向敕育行政部门提出申请经专门教育指导委员会评估同意后，由教育行政部门决定送入专门学校接受专门教育。</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sz w:val="21"/>
                <w:szCs w:val="21"/>
                <w:lang w:val="en-US" w:eastAsia="zh-CN"/>
              </w:rPr>
            </w:pPr>
            <w:r>
              <w:rPr>
                <w:rFonts w:hint="default" w:asciiTheme="minorEastAsia" w:hAnsiTheme="minorEastAsia" w:eastAsiaTheme="minorEastAsia"/>
                <w:sz w:val="21"/>
                <w:szCs w:val="21"/>
                <w:lang w:val="en-US" w:eastAsia="zh-CN"/>
              </w:rPr>
              <w:t>第三十一条</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学校对有不良行为的未成年学生，应当加强管理教育，不得歧视：对拒不改正或者情节严重的 ，学校可以根据情况予以处分或者采取以下管理教育措施：</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（一）予以训导；</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(二）要求遵守特定的行为规范；</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（三）要求参加特定的专题教育；</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（四）要求参加校内服务活动；</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（五）要求接受社会工作者或者其他专业人员的心理辅导和行为干预：</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（六）其他适当的管理教育措施。</w:t>
            </w:r>
            <w:r>
              <w:rPr>
                <w:rFonts w:hint="default" w:asciiTheme="minorEastAsia" w:hAnsiTheme="minorEastAsia" w:eastAsiaTheme="minorEastAsia"/>
                <w:sz w:val="21"/>
                <w:szCs w:val="21"/>
                <w:lang w:val="en-US" w:eastAsia="zh-CN"/>
              </w:rPr>
              <w:br w:type="textWrapping"/>
            </w:r>
            <w:r>
              <w:rPr>
                <w:rFonts w:hint="default" w:asciiTheme="minorEastAsia" w:hAnsiTheme="minorEastAsia" w:eastAsiaTheme="minorEastAsia"/>
                <w:sz w:val="21"/>
                <w:szCs w:val="21"/>
                <w:lang w:val="en-US" w:eastAsia="zh-CN"/>
              </w:rPr>
              <w:t>与《中小学教育惩戒规则（试行）》街接</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中小学教育惩戒规则（试行）</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b w:val="0"/>
                <w:bCs w:val="0"/>
                <w:sz w:val="21"/>
                <w:szCs w:val="21"/>
                <w:lang w:val="en-US" w:eastAsia="zh-CN"/>
              </w:rPr>
            </w:pPr>
            <w:r>
              <w:rPr>
                <w:rFonts w:hint="default" w:asciiTheme="minorEastAsia" w:hAnsiTheme="minorEastAsia" w:eastAsiaTheme="minorEastAsia"/>
                <w:b w:val="0"/>
                <w:bCs w:val="0"/>
                <w:sz w:val="21"/>
                <w:szCs w:val="21"/>
                <w:lang w:val="en-US" w:eastAsia="zh-CN"/>
              </w:rPr>
              <w:t>第二条 本规则所称教育惩戒，是指学校，教师基于教育目的，对违规纪学生进行管理、训导或者以规定方式予以矫治，促使学生引以为戒,识和改正错误的教育行为。</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第八条 教师在课堂教学、日常管理中，对违规违纪情节较为轻微的学</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生生，可以当场实施以下教育惩戒</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（一）点名批评；</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（二）责令赔礼道歉、做口头或者书面检讨；</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（三）适当增加额外的教学或者班级公益服务任务；</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（四）一节课堂教学时间内的教室内站立；</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（五）课后教导；</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（六）学校校规校纪或者班规.</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班级公约规定的其他适当措施。</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b w:val="0"/>
                <w:bCs w:val="0"/>
                <w:sz w:val="21"/>
                <w:szCs w:val="21"/>
                <w:lang w:val="en-US" w:eastAsia="zh-CN"/>
              </w:rPr>
            </w:pPr>
            <w:r>
              <w:rPr>
                <w:rFonts w:hint="default" w:asciiTheme="minorEastAsia" w:hAnsiTheme="minorEastAsia" w:eastAsiaTheme="minorEastAsia"/>
                <w:b w:val="0"/>
                <w:bCs w:val="0"/>
                <w:sz w:val="21"/>
                <w:szCs w:val="21"/>
                <w:lang w:val="en-US" w:eastAsia="zh-CN"/>
              </w:rPr>
              <w:t>第九条 学生违反校规校纪，情节较重或者经当场教育惩戒拒不改正的，学校可以实施以下教育惩戒，并应当及时告知家长：</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（一）由学校德育工作负责人予以训导；</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（二）承担校内公益服务任务；</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（三）安排接受专门的校规校纪、行为规则教育；</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（四）暂停或者限制学生参加游览、校外集体活动以及其他外出菓体</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活动：</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（五）学校校规校纪规定的其他适当措施。</w:t>
            </w:r>
          </w:p>
          <w:p>
            <w:pPr>
              <w:keepNext w:val="0"/>
              <w:keepLines w:val="0"/>
              <w:pageBreakBefore w:val="0"/>
              <w:widowControl w:val="0"/>
              <w:numPr>
                <w:ilvl w:val="0"/>
                <w:numId w:val="2"/>
              </w:numPr>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b w:val="0"/>
                <w:bCs w:val="0"/>
                <w:sz w:val="21"/>
                <w:szCs w:val="21"/>
                <w:lang w:val="en-US" w:eastAsia="zh-CN"/>
              </w:rPr>
            </w:pPr>
            <w:r>
              <w:rPr>
                <w:rFonts w:hint="default" w:asciiTheme="minorEastAsia" w:hAnsiTheme="minorEastAsia" w:eastAsiaTheme="minorEastAsia"/>
                <w:b w:val="0"/>
                <w:bCs w:val="0"/>
                <w:sz w:val="21"/>
                <w:szCs w:val="21"/>
                <w:lang w:val="en-US" w:eastAsia="zh-CN"/>
              </w:rPr>
              <w:t>小学高年级、初中和高中阶段的学生违规违纪情节严重或恶劣的，学校可以实施以下教育惩戒，并应当事先告知家长：</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（一）给予不超过一周的停课或者停学 ，要求家长在家进行教育、</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(二）由法治副校长或者法治辅导员予以训诚；</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三）安排专门的课程或者教育场所，由社会工作者或者其他专业人行心理辅导、行为干预。对违规违纪情节严重，或者经多次教育惩戒仍不改正的学生，学校可比子警告、严重警告、记过或者留校察看的纪律处分。对高中阶段学生可以给子开除学籍的纪律处分。对有严重不良行为的学生，学校可以我法定程序，配合家长、有关部门将其转入专门学校教育矫治。</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预防未成年人犯罪法</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b w:val="0"/>
                <w:bCs w:val="0"/>
                <w:sz w:val="21"/>
                <w:szCs w:val="21"/>
                <w:lang w:val="en-US" w:eastAsia="zh-CN"/>
              </w:rPr>
            </w:pPr>
            <w:r>
              <w:rPr>
                <w:rFonts w:hint="eastAsia" w:asciiTheme="minorEastAsia" w:hAnsiTheme="minorEastAsia" w:eastAsiaTheme="minorEastAsia"/>
                <w:b w:val="0"/>
                <w:bCs w:val="0"/>
                <w:sz w:val="21"/>
                <w:szCs w:val="21"/>
                <w:lang w:val="en-US" w:eastAsia="zh-CN"/>
              </w:rPr>
              <w:t>第</w:t>
            </w:r>
            <w:r>
              <w:rPr>
                <w:rFonts w:hint="default" w:asciiTheme="minorEastAsia" w:hAnsiTheme="minorEastAsia" w:eastAsiaTheme="minorEastAsia"/>
                <w:b w:val="0"/>
                <w:bCs w:val="0"/>
                <w:sz w:val="21"/>
                <w:szCs w:val="21"/>
                <w:lang w:val="en-US" w:eastAsia="zh-CN"/>
              </w:rPr>
              <w:t>六条</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国家加强专门学校建设，对有严重不良行为的未成年人进行专教育。专门教育是国民教育体系的组成部分 ，是对有严重不良行为的成年人进行教育和矫治的重要保护处分指施。省级人民政府应当将专</w:t>
            </w:r>
            <w:r>
              <w:rPr>
                <w:rFonts w:hint="eastAsia" w:asciiTheme="minorEastAsia" w:hAnsiTheme="minorEastAsia" w:eastAsiaTheme="minorEastAsia"/>
                <w:b w:val="0"/>
                <w:bCs w:val="0"/>
                <w:sz w:val="21"/>
                <w:szCs w:val="21"/>
                <w:lang w:val="en-US" w:eastAsia="zh-CN"/>
              </w:rPr>
              <w:t>门</w:t>
            </w:r>
            <w:r>
              <w:rPr>
                <w:rFonts w:hint="default" w:asciiTheme="minorEastAsia" w:hAnsiTheme="minorEastAsia" w:eastAsiaTheme="minorEastAsia"/>
                <w:b w:val="0"/>
                <w:bCs w:val="0"/>
                <w:sz w:val="21"/>
                <w:szCs w:val="21"/>
                <w:lang w:val="en-US" w:eastAsia="zh-CN"/>
              </w:rPr>
              <w:t>教育发展和专门学校建设纳入经济社会发展规划。县级以上地方人民府成立专门教育指导委员会，根据需要合理设置专门学校。专门教育旨导委员会由教育、民政、财政、人力资源社会保障、公安．司法行政、人民检察院、人民法院、共产主义青年团、妇女联合会、关心下一代工作委员会、专门学校等单位，以及律师、社会工作者等人员组成，研究确定专门学校教学．管理等相关工作。专门学校建设和专门教育具体办法，由国务院规定。</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第四章</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对严重不良行为的矫治 43、 44</w:t>
            </w:r>
            <w:r>
              <w:rPr>
                <w:rFonts w:hint="eastAsia" w:asciiTheme="minorEastAsia" w:hAnsiTheme="minorEastAsia" w:eastAsiaTheme="minorEastAsia"/>
                <w:b w:val="0"/>
                <w:bCs w:val="0"/>
                <w:sz w:val="21"/>
                <w:szCs w:val="21"/>
                <w:lang w:val="en-US" w:eastAsia="zh-CN"/>
              </w:rPr>
              <w:t>、</w:t>
            </w:r>
            <w:r>
              <w:rPr>
                <w:rFonts w:hint="default" w:asciiTheme="minorEastAsia" w:hAnsiTheme="minorEastAsia" w:eastAsiaTheme="minorEastAsia"/>
                <w:b w:val="0"/>
                <w:bCs w:val="0"/>
                <w:sz w:val="21"/>
                <w:szCs w:val="21"/>
                <w:lang w:val="en-US" w:eastAsia="zh-CN"/>
              </w:rPr>
              <w:t>45</w:t>
            </w:r>
            <w:r>
              <w:rPr>
                <w:rFonts w:hint="eastAsia" w:asciiTheme="minorEastAsia" w:hAnsiTheme="minorEastAsia" w:eastAsiaTheme="minorEastAsia"/>
                <w:b w:val="0"/>
                <w:bCs w:val="0"/>
                <w:sz w:val="21"/>
                <w:szCs w:val="21"/>
                <w:lang w:val="en-US" w:eastAsia="zh-CN"/>
              </w:rPr>
              <w:t>、</w:t>
            </w:r>
            <w:r>
              <w:rPr>
                <w:rFonts w:hint="default" w:asciiTheme="minorEastAsia" w:hAnsiTheme="minorEastAsia" w:eastAsiaTheme="minorEastAsia"/>
                <w:b w:val="0"/>
                <w:bCs w:val="0"/>
                <w:sz w:val="21"/>
                <w:szCs w:val="21"/>
                <w:lang w:val="en-US" w:eastAsia="zh-CN"/>
              </w:rPr>
              <w:t>46</w:t>
            </w:r>
            <w:r>
              <w:rPr>
                <w:rFonts w:hint="eastAsia" w:asciiTheme="minorEastAsia" w:hAnsiTheme="minorEastAsia" w:eastAsiaTheme="minorEastAsia"/>
                <w:b w:val="0"/>
                <w:bCs w:val="0"/>
                <w:sz w:val="21"/>
                <w:szCs w:val="21"/>
                <w:lang w:val="en-US" w:eastAsia="zh-CN"/>
              </w:rPr>
              <w:t>、</w:t>
            </w:r>
            <w:r>
              <w:rPr>
                <w:rFonts w:hint="default" w:asciiTheme="minorEastAsia" w:hAnsiTheme="minorEastAsia" w:eastAsiaTheme="minorEastAsia"/>
                <w:b w:val="0"/>
                <w:bCs w:val="0"/>
                <w:sz w:val="21"/>
                <w:szCs w:val="21"/>
                <w:lang w:val="en-US" w:eastAsia="zh-CN"/>
              </w:rPr>
              <w:t>47、48条专门规定了专门学校</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b w:val="0"/>
                <w:bCs w:val="0"/>
                <w:sz w:val="21"/>
                <w:szCs w:val="21"/>
                <w:lang w:val="en-US" w:eastAsia="zh-CN"/>
              </w:rPr>
            </w:pPr>
            <w:r>
              <w:rPr>
                <w:rFonts w:hint="eastAsia" w:asciiTheme="minorEastAsia" w:hAnsiTheme="minorEastAsia" w:eastAsiaTheme="minorEastAsia"/>
                <w:b w:val="0"/>
                <w:bCs w:val="0"/>
                <w:sz w:val="21"/>
                <w:szCs w:val="21"/>
                <w:lang w:val="en-US" w:eastAsia="zh-CN"/>
              </w:rPr>
              <w:t>2020刑法修正案（十一）</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b w:val="0"/>
                <w:bCs w:val="0"/>
                <w:sz w:val="21"/>
                <w:szCs w:val="21"/>
                <w:lang w:val="en-US" w:eastAsia="zh-CN"/>
              </w:rPr>
            </w:pPr>
            <w:r>
              <w:rPr>
                <w:rFonts w:hint="default" w:asciiTheme="minorEastAsia" w:hAnsiTheme="minorEastAsia" w:eastAsiaTheme="minorEastAsia"/>
                <w:b w:val="0"/>
                <w:bCs w:val="0"/>
                <w:sz w:val="21"/>
                <w:szCs w:val="21"/>
                <w:lang w:val="en-US" w:eastAsia="zh-CN"/>
              </w:rPr>
              <w:t>•已满十二周岁不满十四周岁的人，犯故意杀人、故意伤害罪，致人死亡或者以特别残忍手段致人重伤造成严重残疾，情节恶劣，经最高人民检察院核准追诉的</w:t>
            </w:r>
            <w:r>
              <w:rPr>
                <w:rFonts w:hint="eastAsia" w:asciiTheme="minorEastAsia" w:hAnsiTheme="minorEastAsia" w:eastAsiaTheme="minorEastAsia"/>
                <w:b w:val="0"/>
                <w:bCs w:val="0"/>
                <w:sz w:val="21"/>
                <w:szCs w:val="21"/>
                <w:lang w:val="en-US" w:eastAsia="zh-CN"/>
              </w:rPr>
              <w:t>，</w:t>
            </w:r>
            <w:r>
              <w:rPr>
                <w:rFonts w:hint="default" w:asciiTheme="minorEastAsia" w:hAnsiTheme="minorEastAsia" w:eastAsiaTheme="minorEastAsia"/>
                <w:b w:val="0"/>
                <w:bCs w:val="0"/>
                <w:sz w:val="21"/>
                <w:szCs w:val="21"/>
                <w:lang w:val="en-US" w:eastAsia="zh-CN"/>
              </w:rPr>
              <w:t>应当负刑事责任。</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•因不满十六周发不子刑事处罚的，责令其父母或者其他监护人加以管教：在必要的时候，依法进行专门矫治教育。</w:t>
            </w:r>
          </w:p>
          <w:p>
            <w:pPr>
              <w:keepNext w:val="0"/>
              <w:keepLines w:val="0"/>
              <w:pageBreakBefore w:val="0"/>
              <w:widowControl w:val="0"/>
              <w:numPr>
                <w:ilvl w:val="0"/>
                <w:numId w:val="3"/>
              </w:numPr>
              <w:tabs>
                <w:tab w:val="left" w:pos="93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b w:val="0"/>
                <w:bCs w:val="0"/>
                <w:sz w:val="21"/>
                <w:szCs w:val="21"/>
                <w:lang w:val="en-US" w:eastAsia="zh-CN"/>
              </w:rPr>
            </w:pPr>
            <w:r>
              <w:rPr>
                <w:rFonts w:hint="eastAsia" w:asciiTheme="minorEastAsia" w:hAnsiTheme="minorEastAsia" w:eastAsiaTheme="minorEastAsia"/>
                <w:b w:val="0"/>
                <w:bCs w:val="0"/>
                <w:sz w:val="21"/>
                <w:szCs w:val="21"/>
                <w:lang w:val="en-US" w:eastAsia="zh-CN"/>
              </w:rPr>
              <w:t>以案说法</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《学生伤害事故处理方法》</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b w:val="0"/>
                <w:bCs w:val="0"/>
                <w:sz w:val="21"/>
                <w:szCs w:val="21"/>
                <w:lang w:val="en-US" w:eastAsia="zh-CN"/>
              </w:rPr>
            </w:pPr>
            <w:r>
              <w:rPr>
                <w:rFonts w:hint="default" w:asciiTheme="minorEastAsia" w:hAnsiTheme="minorEastAsia" w:eastAsiaTheme="minorEastAsia"/>
                <w:b w:val="0"/>
                <w:bCs w:val="0"/>
                <w:sz w:val="21"/>
                <w:szCs w:val="21"/>
                <w:lang w:val="en-US" w:eastAsia="zh-CN"/>
              </w:rPr>
              <w:t>适用条件：在学校实施的教育教学活动或者学校组织的校外活动中，以及在学校负有管理责任的校舍、场地、其他教育教学设施、生活设施內发生的，造成在校学生人身损害后果的事故的处理，适用本办法学校的举办者应当提供符合安全标准的校舍、场地、其他教育教学设施和生活设施。学校应当对在校学生进行必要的安全教育和自护自救教育；应当按照规定，建立健全安全制度，采取相应的管理措施，预防和消除教育教学环境中存在的安全隐患；当发生伤害事故时，应当及时采取措施救助受伤害学生。学生应当遵守学校的规章制度和纪律：在不同的受教育阶段，应当根据自身的年龄、认知能力和法律行为能力，避免和消除相应的危险。</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时间：2002年9月1日起实施效力：规章</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上位法律：《民法典》2021年1月1日起实行</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b w:val="0"/>
                <w:bCs w:val="0"/>
                <w:sz w:val="21"/>
                <w:szCs w:val="21"/>
                <w:lang w:val="en-US" w:eastAsia="zh-CN"/>
              </w:rPr>
            </w:pPr>
            <w:r>
              <w:rPr>
                <w:rFonts w:hint="default" w:asciiTheme="minorEastAsia" w:hAnsiTheme="minorEastAsia" w:eastAsiaTheme="minorEastAsia"/>
                <w:b/>
                <w:bCs/>
                <w:sz w:val="21"/>
                <w:szCs w:val="21"/>
                <w:lang w:val="en-US" w:eastAsia="zh-CN"/>
              </w:rPr>
              <w:t>学校承担责任的情形</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（一)学校的校舍、场地、其他公共设施，以及学校提供给学生使用的学具、教育教学和生活设施、设备不符合国家规定的标准，或者有明显</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不安全因素的；</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（二)学校的安全保卫、消防、设施设备管理等安全管理制度有明显硫漏，或者管理混乱，存在重大安全隐患，而未及时采取措施的；</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(三)学校向学生提供的药品、食品、饮用水等不符合国家或者行业的有关标准、要求的；</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(四)学校组织学生参加教育教学活动或者校外活动，未对学生进行相应的安全教育，并未在可预见的范围内采取必要的安全措施的；</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（五)学校知道教师或者其他工作人员惠有不适宜担任数育教学工作的疾病，但未采取必要搭施的；</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（六)学校违反有关规定，组织或者安排未成年学生从事不直未成年人参加的劳动体育运动或者其他活动的；</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b w:val="0"/>
                <w:bCs w:val="0"/>
                <w:sz w:val="21"/>
                <w:szCs w:val="21"/>
                <w:lang w:val="en-US" w:eastAsia="zh-CN"/>
              </w:rPr>
            </w:pPr>
            <w:r>
              <w:rPr>
                <w:rFonts w:hint="eastAsia" w:asciiTheme="minorEastAsia" w:hAnsiTheme="minorEastAsia" w:eastAsiaTheme="minorEastAsia"/>
                <w:b w:val="0"/>
                <w:bCs w:val="0"/>
                <w:sz w:val="21"/>
                <w:szCs w:val="21"/>
                <w:lang w:val="en-US" w:eastAsia="zh-CN"/>
              </w:rPr>
              <w:t>案例分享</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刑事修正案（十一）</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b w:val="0"/>
                <w:bCs w:val="0"/>
                <w:sz w:val="21"/>
                <w:szCs w:val="21"/>
                <w:lang w:val="en-US" w:eastAsia="zh-CN"/>
              </w:rPr>
            </w:pPr>
            <w:r>
              <w:rPr>
                <w:rFonts w:hint="default" w:asciiTheme="minorEastAsia" w:hAnsiTheme="minorEastAsia" w:eastAsiaTheme="minorEastAsia"/>
                <w:b w:val="0"/>
                <w:bCs w:val="0"/>
                <w:sz w:val="21"/>
                <w:szCs w:val="21"/>
                <w:lang w:val="en-US" w:eastAsia="zh-CN"/>
              </w:rPr>
              <w:t>将刑法第二百三十七条第三款修改为：“猥爽儿童的，处五有期徒刑 ：有下列情形之一的，处五年以上有期徒刑：</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（一）猥衰儿童多人或者多次的；</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（二）聚众猥爽儿童的，或者在公共场所当众猥爽儿童，情节恶劣的；</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（三）造成儿童伤害或者其他严重后果的；</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(四）猥爽手段恶劣或者有其他恶劣情节的</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《关于依法惩治性侵害未成年人犯罪的意见》</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b w:val="0"/>
                <w:bCs w:val="0"/>
                <w:sz w:val="21"/>
                <w:szCs w:val="21"/>
                <w:lang w:val="en-US" w:eastAsia="zh-CN"/>
              </w:rPr>
            </w:pPr>
            <w:r>
              <w:rPr>
                <w:rFonts w:hint="default" w:asciiTheme="minorEastAsia" w:hAnsiTheme="minorEastAsia" w:eastAsiaTheme="minorEastAsia"/>
                <w:b w:val="0"/>
                <w:bCs w:val="0"/>
                <w:sz w:val="21"/>
                <w:szCs w:val="21"/>
                <w:lang w:val="en-US" w:eastAsia="zh-CN"/>
              </w:rPr>
              <w:t>在校园、游泳馆、 儿童游乐场等公共场所对未成年人实施强奸、王犯罪，只要有其他多人在场，不论在场人员是否实际看到，均可以任照刑法第二百三十六条第三款、第二百三十七条的规定，认定为在公共场所“当众”强奸妇女，强制猥爽、侮辱妇女，猥爽儿童。</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b w:val="0"/>
                <w:bCs w:val="0"/>
                <w:sz w:val="21"/>
                <w:szCs w:val="21"/>
                <w:lang w:val="en-US" w:eastAsia="zh-CN"/>
              </w:rPr>
            </w:pPr>
            <w:r>
              <w:rPr>
                <w:rFonts w:hint="default" w:asciiTheme="minorEastAsia" w:hAnsiTheme="minorEastAsia" w:eastAsiaTheme="minorEastAsia"/>
                <w:b w:val="0"/>
                <w:bCs w:val="0"/>
                <w:sz w:val="21"/>
                <w:szCs w:val="21"/>
                <w:lang w:val="en-US" w:eastAsia="zh-CN"/>
              </w:rPr>
              <w:t>刑法修正案（十一）刑法第二百三十六条修改为：以暴力、胁迫或者其他手段强奸妇女的 ，处三年以上十年以下有期徒刑。"奸淫不满十四周岁的幼女的，以强奸论，从重处罚。强奸妇女、奸淫幼女，有下列情形之一的，处十年以上有期徒刑、无期徒刑或者死刑•</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（一）强奸妇女、奸淫幼女情节恶劣的；</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（二）强奸妇女、奸淫幼女多人的；</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（三）在公共场所当众强奸妇女、奸淫幼女的；</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（四）二人以上轮奸的；</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^五）奸淫不满十周岁的幼女或者造成幼女伤書的；</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（六）致使被害人重伤、死亡或者造成其他严重后果的。</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b w:val="0"/>
                <w:bCs w:val="0"/>
                <w:sz w:val="21"/>
                <w:szCs w:val="21"/>
                <w:lang w:val="en-US" w:eastAsia="zh-CN"/>
              </w:rPr>
            </w:pPr>
            <w:r>
              <w:rPr>
                <w:rFonts w:hint="default" w:asciiTheme="minorEastAsia" w:hAnsiTheme="minorEastAsia" w:eastAsiaTheme="minorEastAsia"/>
                <w:b w:val="0"/>
                <w:bCs w:val="0"/>
                <w:sz w:val="21"/>
                <w:szCs w:val="21"/>
                <w:lang w:val="en-US" w:eastAsia="zh-CN"/>
              </w:rPr>
              <w:t>对己满十四周发不满十六周岁的未成年女性会工监护，收养、看护、教育、医疗等特殊职责的人员，与该未成性发生性关系的，处三年以下有期徒刑；情节恶劣的，处三年以上十年以下有期徒刑。</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b w:val="0"/>
                <w:bCs w:val="0"/>
                <w:sz w:val="21"/>
                <w:szCs w:val="21"/>
                <w:lang w:val="en-US" w:eastAsia="zh-CN"/>
              </w:rPr>
            </w:pPr>
            <w:r>
              <w:rPr>
                <w:rFonts w:hint="eastAsia" w:asciiTheme="minorEastAsia" w:hAnsiTheme="minorEastAsia" w:eastAsiaTheme="minorEastAsia"/>
                <w:b w:val="0"/>
                <w:bCs w:val="0"/>
                <w:sz w:val="21"/>
                <w:szCs w:val="21"/>
                <w:lang w:val="en-US" w:eastAsia="zh-CN"/>
              </w:rPr>
              <w:t>案例分享</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b w:val="0"/>
                <w:bCs w:val="0"/>
                <w:sz w:val="21"/>
                <w:szCs w:val="21"/>
                <w:lang w:val="en-US" w:eastAsia="zh-CN"/>
              </w:rPr>
            </w:pPr>
            <w:r>
              <w:rPr>
                <w:rFonts w:hint="default" w:asciiTheme="minorEastAsia" w:hAnsiTheme="minorEastAsia" w:eastAsiaTheme="minorEastAsia"/>
                <w:b w:val="0"/>
                <w:bCs w:val="0"/>
                <w:sz w:val="21"/>
                <w:szCs w:val="21"/>
                <w:lang w:val="en-US" w:eastAsia="zh-CN"/>
              </w:rPr>
              <w:t>家例：小明、小强周末自发到到学校操场踢球，争抢过程中，小明远射小强突然跃起顶球 球正中小强左眼。视网膜脱落，八级份残。侵权责任法第二十四条 受害人和行为人对损害的发生都没有过错的，可以根据实际情况，由双方分担损失。</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第—千一百八十六条 受害人和行为人对损害的发生都没有过错的，依照法律的规定由双方分担损失。</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第一干一百七十六条</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自愿参加具有一定风险的文体活动_因其他参加者的行为受到损害的，受害人不得请求其他参加者承担侵权责任；但是，其他参加者对损害的发生有故意或者重大过失的除外。活动组织者的贵任适用本法第一干一百九十八条至第一千二百零一条的规定。</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b w:val="0"/>
                <w:bCs w:val="0"/>
                <w:sz w:val="21"/>
                <w:szCs w:val="21"/>
                <w:lang w:val="en-US" w:eastAsia="zh-CN"/>
              </w:rPr>
            </w:pPr>
            <w:r>
              <w:rPr>
                <w:rFonts w:hint="default" w:asciiTheme="minorEastAsia" w:hAnsiTheme="minorEastAsia" w:eastAsiaTheme="minorEastAsia"/>
                <w:b/>
                <w:bCs/>
                <w:sz w:val="21"/>
                <w:szCs w:val="21"/>
                <w:lang w:val="en-US" w:eastAsia="zh-CN"/>
              </w:rPr>
              <w:t>《民法典》修改的有关条文</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【申判结果】法院认为，郭女作为在校初中生系限制民事行为能力人，可进行与自己年龄、智力相适应的民事活动，其知道喝酒具有一定的危险性而喝酒，致酒精中毒身亡 ，其父母作为监护人末尽到监护职责，应承担相应的民事贵任。学校应对佳宿学生加强教育和管理，在熄灯就疫之后学生在宿舍吵周喝酒未加以制止，未尽到管理职责，应对此次事故的发生承担部分民事责任。《学生伤害事故处理办法》规定，学校教师或其他工作人员在负有组织、管理未成年学生的工作中发现学生行为具有危险性，但未进行必要的管理、告诚或制止的，应承担相应责任。本案例中学校宿舍管理有明显漏洞，教师末尽到教育管理职责。第一千二百条 限制民事行为能力人在学校或者其他教育机构学习、生活期间受到人身损害，学校或者其他教育机构未尽到教育、管理职责的，应当承担</w:t>
            </w:r>
            <w:r>
              <w:rPr>
                <w:rFonts w:hint="eastAsia" w:asciiTheme="minorEastAsia" w:hAnsiTheme="minorEastAsia" w:eastAsiaTheme="minorEastAsia"/>
                <w:b w:val="0"/>
                <w:bCs w:val="0"/>
                <w:sz w:val="21"/>
                <w:szCs w:val="21"/>
                <w:lang w:val="en-US" w:eastAsia="zh-CN"/>
              </w:rPr>
              <w:t>侵</w:t>
            </w:r>
            <w:r>
              <w:rPr>
                <w:rFonts w:hint="default" w:asciiTheme="minorEastAsia" w:hAnsiTheme="minorEastAsia" w:eastAsiaTheme="minorEastAsia"/>
                <w:b w:val="0"/>
                <w:bCs w:val="0"/>
                <w:sz w:val="21"/>
                <w:szCs w:val="21"/>
                <w:lang w:val="en-US" w:eastAsia="zh-CN"/>
              </w:rPr>
              <w:t>权</w:t>
            </w:r>
            <w:r>
              <w:rPr>
                <w:rFonts w:hint="eastAsia" w:asciiTheme="minorEastAsia" w:hAnsiTheme="minorEastAsia" w:eastAsiaTheme="minorEastAsia"/>
                <w:b w:val="0"/>
                <w:bCs w:val="0"/>
                <w:sz w:val="21"/>
                <w:szCs w:val="21"/>
                <w:lang w:val="en-US" w:eastAsia="zh-CN"/>
              </w:rPr>
              <w:t>责</w:t>
            </w:r>
            <w:r>
              <w:rPr>
                <w:rFonts w:hint="default" w:asciiTheme="minorEastAsia" w:hAnsiTheme="minorEastAsia" w:eastAsiaTheme="minorEastAsia"/>
                <w:b w:val="0"/>
                <w:bCs w:val="0"/>
                <w:sz w:val="21"/>
                <w:szCs w:val="21"/>
                <w:lang w:val="en-US" w:eastAsia="zh-CN"/>
              </w:rPr>
              <w:t>任</w:t>
            </w:r>
            <w:r>
              <w:rPr>
                <w:rFonts w:hint="eastAsia" w:asciiTheme="minorEastAsia" w:hAnsiTheme="minorEastAsia" w:eastAsiaTheme="minorEastAsia"/>
                <w:b w:val="0"/>
                <w:bCs w:val="0"/>
                <w:sz w:val="21"/>
                <w:szCs w:val="21"/>
                <w:lang w:val="en-US" w:eastAsia="zh-CN"/>
              </w:rPr>
              <w:t>。</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b/>
                <w:bCs/>
                <w:sz w:val="21"/>
                <w:szCs w:val="21"/>
                <w:lang w:val="en-US" w:eastAsia="zh-CN"/>
              </w:rPr>
            </w:pPr>
            <w:r>
              <w:rPr>
                <w:rFonts w:hint="default" w:asciiTheme="minorEastAsia" w:hAnsiTheme="minorEastAsia" w:eastAsiaTheme="minorEastAsia"/>
                <w:b/>
                <w:bCs/>
                <w:sz w:val="21"/>
                <w:szCs w:val="21"/>
                <w:lang w:val="en-US" w:eastAsia="zh-CN"/>
              </w:rPr>
              <w:t>《关于完善安全事故处理机制维护学校教育教学秩亨的意见》 2019</w:t>
            </w:r>
          </w:p>
          <w:p>
            <w:pPr>
              <w:keepNext w:val="0"/>
              <w:keepLines w:val="0"/>
              <w:pageBreakBefore w:val="0"/>
              <w:widowControl w:val="0"/>
              <w:numPr>
                <w:numId w:val="0"/>
              </w:numPr>
              <w:tabs>
                <w:tab w:val="left" w:pos="932"/>
              </w:tabs>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b w:val="0"/>
                <w:bCs w:val="0"/>
                <w:sz w:val="21"/>
                <w:szCs w:val="21"/>
                <w:lang w:val="en-US" w:eastAsia="zh-CN"/>
              </w:rPr>
            </w:pPr>
            <w:r>
              <w:rPr>
                <w:rFonts w:hint="default" w:asciiTheme="minorEastAsia" w:hAnsiTheme="minorEastAsia" w:eastAsiaTheme="minorEastAsia"/>
                <w:b w:val="0"/>
                <w:bCs w:val="0"/>
                <w:sz w:val="21"/>
                <w:szCs w:val="21"/>
                <w:lang w:val="en-US" w:eastAsia="zh-CN"/>
              </w:rPr>
              <w:t>为贯彻落实全国教育大会精神，完善学校安全事故预防与处理机制成依法依规、客观公正、多元参与、部门协作的工作格局，为学校（幼儿园）办学安全托底，解决学校后顾之优 ，维护老师和学校应有的！严，保护学生生命安全，根据教育法、治安管理处罚法、刑法等法律;规和《国务院办公厅关于加强中小学幼儿园安全风险防控体系建设的意见》等有关规定，现提出如下意见。要按照《中华人民共和国侵权贵任法》 和相关法律法规，参照《学生伤害事故处理办法》 等规章，明确划分贵任，及时依法判决杜绝不顾法律原则的</w:t>
            </w:r>
            <w:r>
              <w:rPr>
                <w:rFonts w:hint="default" w:asciiTheme="minorEastAsia" w:hAnsiTheme="minorEastAsia" w:eastAsiaTheme="minorEastAsia"/>
                <w:b w:val="0"/>
                <w:bCs w:val="0"/>
                <w:sz w:val="21"/>
                <w:szCs w:val="21"/>
                <w:lang w:val="en-US" w:eastAsia="zh-CN"/>
              </w:rPr>
              <w:br w:type="textWrapping"/>
            </w:r>
            <w:r>
              <w:rPr>
                <w:rFonts w:hint="default" w:asciiTheme="minorEastAsia" w:hAnsiTheme="minorEastAsia" w:eastAsiaTheme="minorEastAsia"/>
                <w:b w:val="0"/>
                <w:bCs w:val="0"/>
                <w:sz w:val="21"/>
                <w:szCs w:val="21"/>
                <w:lang w:val="en-US" w:eastAsia="zh-CN"/>
              </w:rPr>
              <w:t>“花钱买平安〞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35" w:type="dxa"/>
            <w:vAlign w:val="center"/>
          </w:tcPr>
          <w:p>
            <w:pPr>
              <w:snapToGrid w:val="0"/>
              <w:spacing w:line="360" w:lineRule="exact"/>
              <w:jc w:val="center"/>
              <w:rPr>
                <w:rFonts w:ascii="宋体" w:hAnsi="宋体"/>
                <w:color w:val="000000"/>
                <w:szCs w:val="21"/>
              </w:rPr>
            </w:pPr>
          </w:p>
        </w:tc>
        <w:tc>
          <w:tcPr>
            <w:tcW w:w="8365" w:type="dxa"/>
            <w:gridSpan w:val="5"/>
          </w:tcPr>
          <w:p>
            <w:pPr>
              <w:spacing w:line="360" w:lineRule="exact"/>
              <w:ind w:firstLine="420" w:firstLineChars="200"/>
              <w:rPr>
                <w:rFonts w:hint="default" w:eastAsia="宋体" w:asciiTheme="minorEastAsia" w:hAnsiTheme="minorEastAsia" w:cstheme="minorEastAsia"/>
                <w:szCs w:val="21"/>
                <w:lang w:val="en-US" w:eastAsia="zh-CN"/>
              </w:rPr>
            </w:pPr>
            <w:r>
              <w:rPr>
                <w:rFonts w:hint="default" w:eastAsia="宋体" w:asciiTheme="minorEastAsia" w:hAnsiTheme="minorEastAsia" w:cstheme="minorEastAsia"/>
                <w:szCs w:val="21"/>
                <w:lang w:val="en-US" w:eastAsia="zh-CN"/>
              </w:rPr>
              <w:t>教育部 最高人民法院 最高人民检察院 公安部 司法部</w:t>
            </w:r>
            <w:r>
              <w:rPr>
                <w:rFonts w:hint="default" w:eastAsia="宋体" w:asciiTheme="minorEastAsia" w:hAnsiTheme="minorEastAsia" w:cstheme="minorEastAsia"/>
                <w:szCs w:val="21"/>
                <w:lang w:val="en-US" w:eastAsia="zh-CN"/>
              </w:rPr>
              <w:br w:type="textWrapping"/>
            </w:r>
            <w:r>
              <w:rPr>
                <w:rFonts w:hint="default" w:eastAsia="宋体" w:asciiTheme="minorEastAsia" w:hAnsiTheme="minorEastAsia" w:cstheme="minorEastAsia"/>
                <w:szCs w:val="21"/>
                <w:lang w:val="en-US" w:eastAsia="zh-CN"/>
              </w:rPr>
              <w:t>（1）政打他人、故意伤書他人或者故意损毁公私财物的；</w:t>
            </w:r>
            <w:r>
              <w:rPr>
                <w:rFonts w:hint="default" w:eastAsia="宋体" w:asciiTheme="minorEastAsia" w:hAnsiTheme="minorEastAsia" w:cstheme="minorEastAsia"/>
                <w:szCs w:val="21"/>
                <w:lang w:val="en-US" w:eastAsia="zh-CN"/>
              </w:rPr>
              <w:br w:type="textWrapping"/>
            </w:r>
            <w:r>
              <w:rPr>
                <w:rFonts w:hint="default" w:eastAsia="宋体" w:asciiTheme="minorEastAsia" w:hAnsiTheme="minorEastAsia" w:cstheme="minorEastAsia"/>
                <w:szCs w:val="21"/>
                <w:lang w:val="en-US" w:eastAsia="zh-CN"/>
              </w:rPr>
              <w:t>（2）侵占、毁损学校房屋、设施设备的；</w:t>
            </w:r>
            <w:r>
              <w:rPr>
                <w:rFonts w:hint="default" w:eastAsia="宋体" w:asciiTheme="minorEastAsia" w:hAnsiTheme="minorEastAsia" w:cstheme="minorEastAsia"/>
                <w:szCs w:val="21"/>
                <w:lang w:val="en-US" w:eastAsia="zh-CN"/>
              </w:rPr>
              <w:br w:type="textWrapping"/>
            </w:r>
            <w:r>
              <w:rPr>
                <w:rFonts w:hint="default" w:eastAsia="宋体" w:asciiTheme="minorEastAsia" w:hAnsiTheme="minorEastAsia" w:cstheme="minorEastAsia"/>
                <w:szCs w:val="21"/>
                <w:lang w:val="en-US" w:eastAsia="zh-CN"/>
              </w:rPr>
              <w:t>(3）在学校设置障碍、贴报喷宇、拉挂横幅、燃放鞭炮、播放哀乐、摆放花圈、泼酒污物、断水断电、堵塞大门、国堵办公场所和道路的；</w:t>
            </w:r>
            <w:r>
              <w:rPr>
                <w:rFonts w:hint="default" w:eastAsia="宋体" w:asciiTheme="minorEastAsia" w:hAnsiTheme="minorEastAsia" w:cstheme="minorEastAsia"/>
                <w:szCs w:val="21"/>
                <w:lang w:val="en-US" w:eastAsia="zh-CN"/>
              </w:rPr>
              <w:br w:type="textWrapping"/>
            </w:r>
            <w:r>
              <w:rPr>
                <w:rFonts w:hint="default" w:eastAsia="宋体" w:asciiTheme="minorEastAsia" w:hAnsiTheme="minorEastAsia" w:cstheme="minorEastAsia"/>
                <w:szCs w:val="21"/>
                <w:lang w:val="en-US" w:eastAsia="zh-CN"/>
              </w:rPr>
              <w:t>（4）在学校等公共场所停放尸体的；</w:t>
            </w:r>
            <w:r>
              <w:rPr>
                <w:rFonts w:hint="default" w:eastAsia="宋体" w:asciiTheme="minorEastAsia" w:hAnsiTheme="minorEastAsia" w:cstheme="minorEastAsia"/>
                <w:szCs w:val="21"/>
                <w:lang w:val="en-US" w:eastAsia="zh-CN"/>
              </w:rPr>
              <w:br w:type="textWrapping"/>
            </w:r>
            <w:r>
              <w:rPr>
                <w:rFonts w:hint="default" w:eastAsia="宋体" w:asciiTheme="minorEastAsia" w:hAnsiTheme="minorEastAsia" w:cstheme="minorEastAsia"/>
                <w:szCs w:val="21"/>
                <w:lang w:val="en-US" w:eastAsia="zh-CN"/>
              </w:rPr>
              <w:t>（5）以不准离开工作场所等方式非法限制学校教职工、学生人身自由的；</w:t>
            </w:r>
            <w:r>
              <w:rPr>
                <w:rFonts w:hint="default" w:eastAsia="宋体" w:asciiTheme="minorEastAsia" w:hAnsiTheme="minorEastAsia" w:cstheme="minorEastAsia"/>
                <w:szCs w:val="21"/>
                <w:lang w:val="en-US" w:eastAsia="zh-CN"/>
              </w:rPr>
              <w:br w:type="textWrapping"/>
            </w:r>
            <w:r>
              <w:rPr>
                <w:rFonts w:hint="default" w:eastAsia="宋体" w:asciiTheme="minorEastAsia" w:hAnsiTheme="minorEastAsia" w:cstheme="minorEastAsia"/>
                <w:szCs w:val="21"/>
                <w:lang w:val="en-US" w:eastAsia="zh-CN"/>
              </w:rPr>
              <w:t>(6）跟踪、纠缠学校相关负责人，侮辱、恐吓教职工、学生的；</w:t>
            </w:r>
            <w:r>
              <w:rPr>
                <w:rFonts w:hint="default" w:eastAsia="宋体" w:asciiTheme="minorEastAsia" w:hAnsiTheme="minorEastAsia" w:cstheme="minorEastAsia"/>
                <w:szCs w:val="21"/>
                <w:lang w:val="en-US" w:eastAsia="zh-CN"/>
              </w:rPr>
              <w:br w:type="textWrapping"/>
            </w:r>
            <w:r>
              <w:rPr>
                <w:rFonts w:hint="default" w:eastAsia="宋体" w:asciiTheme="minorEastAsia" w:hAnsiTheme="minorEastAsia" w:cstheme="minorEastAsia"/>
                <w:szCs w:val="21"/>
                <w:lang w:val="en-US" w:eastAsia="zh-CN"/>
              </w:rPr>
              <w:t>（7）携带易燃易爆危险物品和管制器具进入学校的；</w:t>
            </w:r>
            <w:r>
              <w:rPr>
                <w:rFonts w:hint="default" w:eastAsia="宋体" w:asciiTheme="minorEastAsia" w:hAnsiTheme="minorEastAsia" w:cstheme="minorEastAsia"/>
                <w:szCs w:val="21"/>
                <w:lang w:val="en-US" w:eastAsia="zh-CN"/>
              </w:rPr>
              <w:br w:type="textWrapping"/>
            </w:r>
            <w:r>
              <w:rPr>
                <w:rFonts w:hint="default" w:eastAsia="宋体" w:asciiTheme="minorEastAsia" w:hAnsiTheme="minorEastAsia" w:cstheme="minorEastAsia"/>
                <w:szCs w:val="21"/>
                <w:lang w:val="en-US" w:eastAsia="zh-CN"/>
              </w:rPr>
              <w:t>(8）其他扰乱学校教育教学秩序或侵害他人人身财产权益的行为。</w:t>
            </w:r>
          </w:p>
          <w:p>
            <w:pPr>
              <w:spacing w:line="360" w:lineRule="exact"/>
              <w:ind w:firstLine="422" w:firstLineChars="200"/>
              <w:rPr>
                <w:rFonts w:hint="eastAsia" w:asciiTheme="minorEastAsia" w:hAnsiTheme="minorEastAsia" w:cstheme="minorEastAsia"/>
                <w:b/>
                <w:bCs/>
                <w:szCs w:val="21"/>
                <w:lang w:val="en-US" w:eastAsia="zh-CN"/>
              </w:rPr>
            </w:pPr>
            <w:r>
              <w:rPr>
                <w:rFonts w:hint="eastAsia" w:asciiTheme="minorEastAsia" w:hAnsiTheme="minorEastAsia" w:cstheme="minorEastAsia"/>
                <w:b/>
                <w:bCs/>
                <w:szCs w:val="21"/>
                <w:lang w:val="en-US" w:eastAsia="zh-CN"/>
              </w:rPr>
              <w:t>预防未成年人犯罪法</w:t>
            </w:r>
          </w:p>
          <w:p>
            <w:pPr>
              <w:spacing w:line="360" w:lineRule="exact"/>
              <w:ind w:firstLine="420" w:firstLineChars="200"/>
              <w:rPr>
                <w:rFonts w:hint="default" w:asciiTheme="minorEastAsia" w:hAnsiTheme="minorEastAsia" w:cstheme="minorEastAsia"/>
                <w:szCs w:val="21"/>
                <w:lang w:val="en-US" w:eastAsia="zh-CN"/>
              </w:rPr>
            </w:pPr>
            <w:r>
              <w:rPr>
                <w:rFonts w:hint="default" w:asciiTheme="minorEastAsia" w:hAnsiTheme="minorEastAsia" w:cstheme="minorEastAsia"/>
                <w:szCs w:val="21"/>
                <w:lang w:val="en-US" w:eastAsia="zh-CN"/>
              </w:rPr>
              <w:t>第二十八条 ．本法所称不良行为，是指未成年人实施的不利于其健康成长的下列</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行为：</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（一）吸烟、饮酒；</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（二）多次旷课、逃学；</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（三）无故夜不归宿、离家出走；</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（四）沉迷网络；</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（五）与社会上具有不良习性的人交往，组织或者参加实施不良行为的团伙；</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（六）进入法律法规规定末成年人不直进入的场所；</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(七）参与赌博、变相赌博 ，或者参加封建迷信、邪教等活动；</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（八）网览，观看或者收听宣扬淫秒、色情、暴力、恐怖、极端等内容的读物。育像制品或者网络信息等；</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（九）其他不利于未成年人身心健康成长的不良行为。</w:t>
            </w:r>
          </w:p>
          <w:p>
            <w:pPr>
              <w:spacing w:line="360" w:lineRule="exact"/>
              <w:rPr>
                <w:rFonts w:hint="default" w:asciiTheme="minorEastAsia" w:hAnsiTheme="minorEastAsia" w:cstheme="minorEastAsia"/>
                <w:szCs w:val="21"/>
                <w:lang w:val="en-US" w:eastAsia="zh-CN"/>
              </w:rPr>
            </w:pPr>
            <w:r>
              <w:rPr>
                <w:rFonts w:hint="default" w:asciiTheme="minorEastAsia" w:hAnsiTheme="minorEastAsia" w:cstheme="minorEastAsia"/>
                <w:szCs w:val="21"/>
                <w:lang w:val="en-US" w:eastAsia="zh-CN"/>
              </w:rPr>
              <w:t>第三十八条 本法所称严重不良行为，是指未成年人实施的有刑法规定、因不满法</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定刑事责任年龄不予刑事处罚的行为，以及严重危害社会的下列行为：</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（一）结伙斗殴，追逐、拦截他人 ，强拿硬要或者任意损毁、占用公私财物等寻蝆滋事行为；</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（二）非法携带枪支、弹药或者餐、匕首等国家规定的管制器具；</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（三）殴打、辱骂、恐吓，或者故意伤書他人身体；</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（四）盗窃、哄抢、抢夺或者故意损毁公私财物；</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（五）传播淫秽的读物、音像制品或者信息等；</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（六）卖淫、嫖娼，或者进行淫秽表演；</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（七）吸食、注射毒品，或者向他人提供毒品；</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(八）参与赌博赌资较大；</w:t>
            </w:r>
            <w:r>
              <w:rPr>
                <w:rFonts w:hint="default" w:asciiTheme="minorEastAsia" w:hAnsiTheme="minorEastAsia" w:cstheme="minorEastAsia"/>
                <w:szCs w:val="21"/>
                <w:lang w:val="en-US" w:eastAsia="zh-CN"/>
              </w:rPr>
              <w:br w:type="textWrapping"/>
            </w:r>
            <w:r>
              <w:rPr>
                <w:rFonts w:hint="default" w:asciiTheme="minorEastAsia" w:hAnsiTheme="minorEastAsia" w:cstheme="minorEastAsia"/>
                <w:szCs w:val="21"/>
                <w:lang w:val="en-US" w:eastAsia="zh-CN"/>
              </w:rPr>
              <w:t>（九）其他严重危害社会的行为。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35" w:type="dxa"/>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效果分析</w:t>
            </w:r>
          </w:p>
        </w:tc>
        <w:tc>
          <w:tcPr>
            <w:tcW w:w="8365" w:type="dxa"/>
            <w:gridSpan w:val="5"/>
          </w:tcPr>
          <w:p>
            <w:pPr>
              <w:spacing w:line="360" w:lineRule="exact"/>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通过这次培训让我们对有关法律的了解更深刻了，在平时的工作中，对于相关的安全事故我们也将会去避免发生，也让我们敲起了安全警钟。</w:t>
            </w:r>
            <w:bookmarkStart w:id="0" w:name="_GoBack"/>
            <w:bookmarkEnd w:id="0"/>
          </w:p>
        </w:tc>
      </w:tr>
    </w:tbl>
    <w:p/>
    <w:sectPr>
      <w:headerReference r:id="rId3" w:type="default"/>
      <w:footerReference r:id="rId4" w:type="default"/>
      <w:pgSz w:w="11906" w:h="16838"/>
      <w:pgMar w:top="1418"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jc w:val="right"/>
      <w:rPr>
        <w:rFonts w:ascii="楷体_GB2312" w:hAnsi="楷体" w:eastAsia="楷体_GB2312"/>
      </w:rPr>
    </w:pPr>
    <w:r>
      <w:rPr>
        <w:rFonts w:ascii="楷体_GB2312" w:eastAsia="楷体_GB231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9525" t="10160" r="9525" b="8890"/>
              <wp:wrapSquare wrapText="bothSides"/>
              <wp:docPr id="1" name="直线 4"/>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wps:spPr>
                    <wps:bodyPr/>
                  </wps:wsp>
                </a:graphicData>
              </a:graphic>
            </wp:anchor>
          </w:drawing>
        </mc:Choice>
        <mc:Fallback>
          <w:pict>
            <v:line id="直线 4" o:spid="_x0000_s1026" o:spt="20" style="position:absolute;left:0pt;margin-left:0pt;margin-top:0.05pt;height:0pt;width:468pt;mso-wrap-distance-bottom:0pt;mso-wrap-distance-left:9pt;mso-wrap-distance-right:9pt;mso-wrap-distance-top:0pt;z-index:251659264;mso-width-relative:page;mso-height-relative:page;" filled="f" stroked="t" coordsize="21600,21600" o:gfxdata="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am+QvQAAAAAgEAAA8AAAAAAAAAAQAgAAAAIgAA&#10;AGRycy9kb3ducmV2LnhtbFBLAQIUABQAAAAIAIdO4kC33QIy1wEAAKEDAAAOAAAAAAAAAAEAIAAA&#10;AB8BAABkcnMvZTJvRG9jLnhtbFBLBQYAAAAABgAGAFkBAABoBQAAAAA=&#10;">
              <v:fill on="f" focussize="0,0"/>
              <v:stroke color="#000000" joinstyle="round"/>
              <v:imagedata o:title=""/>
              <o:lock v:ext="edit" aspectratio="f"/>
              <w10:wrap type="square"/>
            </v:line>
          </w:pict>
        </mc:Fallback>
      </mc:AlternateContent>
    </w:r>
    <w:r>
      <w:rPr>
        <w:rFonts w:hint="eastAsia" w:ascii="楷体_GB2312" w:hAnsi="楷体" w:eastAsia="楷体_GB2312"/>
      </w:rPr>
      <w:t>常州市新北区新桥街道中心幼儿园</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楷体_GB2312" w:hAnsi="楷体" w:eastAsia="楷体_GB2312"/>
        <w:b/>
      </w:rPr>
    </w:pPr>
    <w:r>
      <w:rPr>
        <w:rFonts w:ascii="楷体" w:hAnsi="楷体" w:eastAsia="楷体"/>
        <w:b/>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260985</wp:posOffset>
              </wp:positionV>
              <wp:extent cx="5943600" cy="0"/>
              <wp:effectExtent l="9525" t="13335" r="9525" b="5715"/>
              <wp:wrapNone/>
              <wp:docPr id="3" name="直线 9"/>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wps:spPr>
                    <wps:bodyPr/>
                  </wps:wsp>
                </a:graphicData>
              </a:graphic>
            </wp:anchor>
          </w:drawing>
        </mc:Choice>
        <mc:Fallback>
          <w:pict>
            <v:line id="直线 9" o:spid="_x0000_s1026" o:spt="20" style="position:absolute;left:0pt;margin-left:0pt;margin-top:20.55pt;height:0pt;width:468pt;z-index:251661312;mso-width-relative:page;mso-height-relative:page;" filled="f" stroked="t" coordsize="21600,21600" o:gfxdata="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eP81k1AAAAAYBAAAPAAAAAAAAAAEAIAAA&#10;ACIAAABkcnMvZG93bnJldi54bWxQSwECFAAUAAAACACHTuJA6sVwvdcBAAChAwAADgAAAAAAAAAB&#10;ACAAAAAjAQAAZHJzL2Uyb0RvYy54bWxQSwUGAAAAAAYABgBZAQAAbAUAAAAA&#10;">
              <v:fill on="f" focussize="0,0"/>
              <v:stroke color="#000000" joinstyle="round"/>
              <v:imagedata o:title=""/>
              <o:lock v:ext="edit" aspectratio="f"/>
            </v:line>
          </w:pict>
        </mc:Fallback>
      </mc:AlternateContent>
    </w:r>
    <w:r>
      <w:rPr>
        <w:rFonts w:ascii="楷体" w:hAnsi="楷体" w:eastAsia="楷体"/>
        <w:b/>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-135255</wp:posOffset>
          </wp:positionV>
          <wp:extent cx="457200" cy="452755"/>
          <wp:effectExtent l="0" t="0" r="0" b="0"/>
          <wp:wrapSquare wrapText="bothSides"/>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57200" cy="452755"/>
                  </a:xfrm>
                  <a:prstGeom prst="rect">
                    <a:avLst/>
                  </a:prstGeom>
                  <a:noFill/>
                </pic:spPr>
              </pic:pic>
            </a:graphicData>
          </a:graphic>
        </wp:anchor>
      </w:drawing>
    </w:r>
    <w:r>
      <w:rPr>
        <w:rFonts w:hint="eastAsia" w:ascii="楷体" w:hAnsi="楷体" w:eastAsia="楷体"/>
        <w:b/>
        <w:sz w:val="24"/>
        <w:szCs w:val="24"/>
      </w:rPr>
      <w:t xml:space="preserve">                     </w:t>
    </w:r>
    <w:r>
      <w:rPr>
        <w:rFonts w:hint="eastAsia" w:ascii="楷体_GB2312" w:hAnsi="楷体" w:eastAsia="楷体_GB2312"/>
        <w:b/>
      </w:rPr>
      <w:t xml:space="preserve">用心呵护    快乐动手    智慧生长    多元发展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052F6"/>
    <w:multiLevelType w:val="singleLevel"/>
    <w:tmpl w:val="8FC052F6"/>
    <w:lvl w:ilvl="0" w:tentative="0">
      <w:start w:val="10"/>
      <w:numFmt w:val="chineseCounting"/>
      <w:suff w:val="nothing"/>
      <w:lvlText w:val="第%1条．"/>
      <w:lvlJc w:val="left"/>
      <w:rPr>
        <w:rFonts w:hint="eastAsia"/>
      </w:rPr>
    </w:lvl>
  </w:abstractNum>
  <w:abstractNum w:abstractNumId="1">
    <w:nsid w:val="D4647DB5"/>
    <w:multiLevelType w:val="singleLevel"/>
    <w:tmpl w:val="D4647DB5"/>
    <w:lvl w:ilvl="0" w:tentative="0">
      <w:start w:val="2"/>
      <w:numFmt w:val="chineseCounting"/>
      <w:suff w:val="nothing"/>
      <w:lvlText w:val="%1、"/>
      <w:lvlJc w:val="left"/>
      <w:rPr>
        <w:rFonts w:hint="eastAsia"/>
      </w:rPr>
    </w:lvl>
  </w:abstractNum>
  <w:abstractNum w:abstractNumId="2">
    <w:nsid w:val="5D500BA0"/>
    <w:multiLevelType w:val="singleLevel"/>
    <w:tmpl w:val="5D500BA0"/>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68"/>
    <w:rsid w:val="00022E32"/>
    <w:rsid w:val="00046AB4"/>
    <w:rsid w:val="00053121"/>
    <w:rsid w:val="00067B49"/>
    <w:rsid w:val="000C2F91"/>
    <w:rsid w:val="000F65DE"/>
    <w:rsid w:val="00124A20"/>
    <w:rsid w:val="0016457B"/>
    <w:rsid w:val="00171A68"/>
    <w:rsid w:val="001E5B22"/>
    <w:rsid w:val="00212304"/>
    <w:rsid w:val="00221CC8"/>
    <w:rsid w:val="002647F9"/>
    <w:rsid w:val="00297ECF"/>
    <w:rsid w:val="002A1338"/>
    <w:rsid w:val="002B130E"/>
    <w:rsid w:val="00380BD9"/>
    <w:rsid w:val="00381BB5"/>
    <w:rsid w:val="003911E5"/>
    <w:rsid w:val="003956D1"/>
    <w:rsid w:val="003E7E4C"/>
    <w:rsid w:val="00404A26"/>
    <w:rsid w:val="00404BB5"/>
    <w:rsid w:val="0040544B"/>
    <w:rsid w:val="00405C10"/>
    <w:rsid w:val="00427EA8"/>
    <w:rsid w:val="00465E6F"/>
    <w:rsid w:val="004D5593"/>
    <w:rsid w:val="005378BF"/>
    <w:rsid w:val="00565686"/>
    <w:rsid w:val="005D39B2"/>
    <w:rsid w:val="006910FA"/>
    <w:rsid w:val="006A17C4"/>
    <w:rsid w:val="006D228E"/>
    <w:rsid w:val="00727A1B"/>
    <w:rsid w:val="00733295"/>
    <w:rsid w:val="00752C35"/>
    <w:rsid w:val="007C69F9"/>
    <w:rsid w:val="007D2C0B"/>
    <w:rsid w:val="00827EC9"/>
    <w:rsid w:val="00847633"/>
    <w:rsid w:val="0086595F"/>
    <w:rsid w:val="00881712"/>
    <w:rsid w:val="008A1BF4"/>
    <w:rsid w:val="008B6D28"/>
    <w:rsid w:val="009000AB"/>
    <w:rsid w:val="00942223"/>
    <w:rsid w:val="00953A43"/>
    <w:rsid w:val="00957F5F"/>
    <w:rsid w:val="00991CDC"/>
    <w:rsid w:val="009A0FA9"/>
    <w:rsid w:val="009A1A73"/>
    <w:rsid w:val="009E0767"/>
    <w:rsid w:val="009F02A5"/>
    <w:rsid w:val="00A1194E"/>
    <w:rsid w:val="00A25AB8"/>
    <w:rsid w:val="00A31BD4"/>
    <w:rsid w:val="00A3492D"/>
    <w:rsid w:val="00A4404A"/>
    <w:rsid w:val="00A46780"/>
    <w:rsid w:val="00AA0940"/>
    <w:rsid w:val="00AA7AC9"/>
    <w:rsid w:val="00AA7D8A"/>
    <w:rsid w:val="00AC7C08"/>
    <w:rsid w:val="00AF0B09"/>
    <w:rsid w:val="00B0324C"/>
    <w:rsid w:val="00B63040"/>
    <w:rsid w:val="00BB0606"/>
    <w:rsid w:val="00BC3342"/>
    <w:rsid w:val="00BD1A56"/>
    <w:rsid w:val="00BD4C8D"/>
    <w:rsid w:val="00BE0511"/>
    <w:rsid w:val="00BF18FD"/>
    <w:rsid w:val="00C2648D"/>
    <w:rsid w:val="00C47179"/>
    <w:rsid w:val="00C51076"/>
    <w:rsid w:val="00C63BB4"/>
    <w:rsid w:val="00C90B1F"/>
    <w:rsid w:val="00CA06C2"/>
    <w:rsid w:val="00CB7C56"/>
    <w:rsid w:val="00D1041F"/>
    <w:rsid w:val="00D12360"/>
    <w:rsid w:val="00D5004F"/>
    <w:rsid w:val="00D52D5E"/>
    <w:rsid w:val="00D572A6"/>
    <w:rsid w:val="00D655B2"/>
    <w:rsid w:val="00D940E9"/>
    <w:rsid w:val="00DB78AD"/>
    <w:rsid w:val="00DD4172"/>
    <w:rsid w:val="00E14A22"/>
    <w:rsid w:val="00E40AA6"/>
    <w:rsid w:val="00E53557"/>
    <w:rsid w:val="00E60873"/>
    <w:rsid w:val="00E64B76"/>
    <w:rsid w:val="00E66160"/>
    <w:rsid w:val="00E66375"/>
    <w:rsid w:val="00E8400A"/>
    <w:rsid w:val="00EA62EE"/>
    <w:rsid w:val="00EF199A"/>
    <w:rsid w:val="00F346BC"/>
    <w:rsid w:val="00F44EB7"/>
    <w:rsid w:val="00F9164B"/>
    <w:rsid w:val="00FA252F"/>
    <w:rsid w:val="00FB0FC0"/>
    <w:rsid w:val="046D18D8"/>
    <w:rsid w:val="0B384448"/>
    <w:rsid w:val="0B4F56FF"/>
    <w:rsid w:val="17903757"/>
    <w:rsid w:val="2F523FA1"/>
    <w:rsid w:val="4C941E34"/>
    <w:rsid w:val="627837A5"/>
    <w:rsid w:val="6D6D1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脚 字符"/>
    <w:basedOn w:val="7"/>
    <w:link w:val="3"/>
    <w:uiPriority w:val="0"/>
    <w:rPr>
      <w:rFonts w:ascii="Times New Roman" w:hAnsi="Times New Roman" w:eastAsia="宋体" w:cs="Times New Roman"/>
      <w:sz w:val="18"/>
      <w:szCs w:val="18"/>
    </w:rPr>
  </w:style>
  <w:style w:type="paragraph" w:customStyle="1" w:styleId="11">
    <w:name w:val="p0"/>
    <w:basedOn w:val="1"/>
    <w:qFormat/>
    <w:uiPriority w:val="0"/>
    <w:pPr>
      <w:widowControl/>
    </w:pPr>
    <w:rPr>
      <w:kern w:val="0"/>
      <w:szCs w:val="21"/>
    </w:rPr>
  </w:style>
  <w:style w:type="character" w:customStyle="1" w:styleId="12">
    <w:name w:val="页眉 字符"/>
    <w:basedOn w:val="7"/>
    <w:link w:val="4"/>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98</Words>
  <Characters>563</Characters>
  <Lines>4</Lines>
  <Paragraphs>1</Paragraphs>
  <TotalTime>2</TotalTime>
  <ScaleCrop>false</ScaleCrop>
  <LinksUpToDate>false</LinksUpToDate>
  <CharactersWithSpaces>660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2021-05-19T00:06:00Z</dcterms:created>
  <dc:creator>HP</dc:creator>
  <cp:lastModifiedBy>WPS_1558171890</cp:lastModifiedBy>
  <cp:lastPrinted>2020-12-14T06:08:00Z</cp:lastPrinted>
  <dcterms:modified xsi:type="dcterms:W3CDTF">2022-02-23T04:13:27Z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99083C5DB73945AEB2A3FB797A500409</vt:lpwstr>
  </property>
</Properties>
</file>