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二 周 工 作 安 排（2月21日—2月25日）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安安静静懂礼貌，精神抖擞有气质，我是最美静音娃。</w:t>
      </w:r>
    </w:p>
    <w:tbl>
      <w:tblPr>
        <w:tblStyle w:val="5"/>
        <w:tblW w:w="15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0"/>
        <w:gridCol w:w="1470"/>
        <w:gridCol w:w="5880"/>
        <w:gridCol w:w="2355"/>
        <w:gridCol w:w="223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8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本周起开展课后服务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30%的师生员工参加常态化核酸检测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2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2022微型课题申报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（2月21日）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大课间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升旗仪式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学生发展中心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行政会议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全体行政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13:10-13:50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班主任到班组织学生完成校本课程选课，形成各年级校本课程名单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教师发展中心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课程责任人、各校本课程执教老师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年级组长会议暨班主任基本功比赛、活力班级评选推进会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学生发展中心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相关老师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小学道德与法治教研组长会议和评优课选手培训会（线上讲座：王瑛）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丁文盛、王紫艳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上交课后服务数据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课程教学中心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（2月22日）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语文教研组长会议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语文教研组长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提交2022年度校本培训计划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（2月23日）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30%的师生员工参加常态化核酸检测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相关师生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区英语学科评优课训练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40周岁以下英语教师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报送2022年寒假读书活动材料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完成全体教职工“开学第一课”研训活动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全体教职工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线上研修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（2月24日）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2月份教学常规调研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综合学科课程建设及计划交流活动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综合组教师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新北区小学科学章丽红培育室第16次活动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章丽红、杨英子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线上研修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数学学科组教研活动（陈建伟校长指导）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全体数学教师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2" w:hRule="exac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ED3A3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（2月25日）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2月份教学常规调研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吴永军教授来校指导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相关行政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语文潜力成长团活动（执教：唐畅、束昀泽）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潜力团成员及六年级语文教师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报送新北区青少年生态文明教育先进学校、先进个人材料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能力提升工程2.0申请结项并提供结项材料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师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外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出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安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530"/>
        <w:gridCol w:w="7005"/>
        <w:gridCol w:w="2160"/>
        <w:gridCol w:w="180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（2月21日）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新北区教科研工作会议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实验中学本部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李娜名师工作室活动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（2月22日）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（2月23日）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（2月24日）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新北区体育学科课堂教学研讨会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张鸿庭、张楠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圩塘中小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新北区徐燕娟优秀管理人才成长营活动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（2月25日）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小学道法与法治评优课第一轮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丁文盛、王紫艳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德育工作部署会议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高春媛、苗小芬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高洁名师工作室活动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博爱小学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2BB21B2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dcterms:modified xsi:type="dcterms:W3CDTF">2022-02-21T06:43:58Z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263112A316334F4FB8A38937AE4B055E</vt:lpwstr>
  </property>
</Properties>
</file>