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华文中宋" w:hAnsi="华文中宋" w:eastAsia="华文中宋" w:cs="华文中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华文中宋" w:hAnsi="华文中宋" w:eastAsia="华文中宋" w:cs="华文中宋"/>
          <w:b w:val="0"/>
          <w:bCs w:val="0"/>
          <w:sz w:val="28"/>
          <w:szCs w:val="28"/>
          <w:lang w:eastAsia="zh-CN"/>
        </w:rPr>
        <w:t>附件：</w:t>
      </w:r>
      <w:r>
        <w:rPr>
          <w:rFonts w:hint="eastAsia" w:ascii="华文中宋" w:hAnsi="华文中宋" w:eastAsia="华文中宋" w:cs="华文中宋"/>
          <w:b w:val="0"/>
          <w:bCs w:val="0"/>
          <w:sz w:val="28"/>
          <w:szCs w:val="28"/>
          <w:lang w:val="en-US" w:eastAsia="zh-CN"/>
        </w:rPr>
        <w:t>1</w:t>
      </w:r>
    </w:p>
    <w:p>
      <w:pPr>
        <w:jc w:val="center"/>
        <w:rPr>
          <w:rFonts w:hint="eastAsia"/>
          <w:b/>
          <w:bCs/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eastAsia="zh-CN"/>
        </w:rPr>
        <w:t>常州市终身学习品牌项目认定标准</w:t>
      </w:r>
    </w:p>
    <w:p>
      <w:pPr>
        <w:jc w:val="center"/>
        <w:rPr>
          <w:rFonts w:hint="eastAsia" w:ascii="仿宋_GB2312" w:hAnsi="仿宋_GB2312" w:eastAsia="仿宋_GB2312" w:cs="仿宋_GB2312"/>
          <w:sz w:val="24"/>
          <w:szCs w:val="24"/>
          <w:vertAlign w:val="baseline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vertAlign w:val="baseline"/>
          <w:lang w:val="en-US" w:eastAsia="zh-CN"/>
        </w:rPr>
        <w:t xml:space="preserve"> </w:t>
      </w:r>
    </w:p>
    <w:tbl>
      <w:tblPr>
        <w:tblStyle w:val="3"/>
        <w:tblW w:w="937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5"/>
        <w:gridCol w:w="1555"/>
        <w:gridCol w:w="5502"/>
        <w:gridCol w:w="8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1465" w:type="dxa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  <w:t>一级指标</w:t>
            </w:r>
          </w:p>
        </w:tc>
        <w:tc>
          <w:tcPr>
            <w:tcW w:w="1555" w:type="dxa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  <w:t>二级指标</w:t>
            </w:r>
          </w:p>
        </w:tc>
        <w:tc>
          <w:tcPr>
            <w:tcW w:w="5502" w:type="dxa"/>
          </w:tcPr>
          <w:p>
            <w:pPr>
              <w:ind w:firstLine="1968" w:firstLineChars="700"/>
              <w:jc w:val="both"/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lang w:eastAsia="zh-CN"/>
              </w:rPr>
              <w:t>认定</w:t>
            </w: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  <w:t>标准</w:t>
            </w:r>
          </w:p>
        </w:tc>
        <w:tc>
          <w:tcPr>
            <w:tcW w:w="854" w:type="dxa"/>
          </w:tcPr>
          <w:p>
            <w:pPr>
              <w:jc w:val="both"/>
              <w:rPr>
                <w:rFonts w:hint="default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lang w:eastAsia="zh-CN"/>
              </w:rPr>
              <w:t>分值</w:t>
            </w:r>
            <w:r>
              <w:rPr>
                <w:rFonts w:hint="eastAsia"/>
                <w:b/>
                <w:bCs/>
                <w:sz w:val="28"/>
                <w:szCs w:val="28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1465" w:type="dxa"/>
            <w:vMerge w:val="restart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1.上级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领导重视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10分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555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地方党委政府重视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5分</w:t>
            </w:r>
          </w:p>
        </w:tc>
        <w:tc>
          <w:tcPr>
            <w:tcW w:w="5502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①.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地方党委政府重视社区教育工作，社区教育工作委员会能够发挥积极作用。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2分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★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②.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地方党委政府分管领导听取社区教育品牌项目建设工作汇报，参与品牌项目的活动指导，给予一定的条件支持。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3分</w:t>
            </w:r>
          </w:p>
        </w:tc>
        <w:tc>
          <w:tcPr>
            <w:tcW w:w="854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1465" w:type="dxa"/>
            <w:vMerge w:val="continue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555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教育部门支持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5分</w:t>
            </w:r>
          </w:p>
        </w:tc>
        <w:tc>
          <w:tcPr>
            <w:tcW w:w="5502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①.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社区教育网络体系健全，机制健全，社区教育没有明显的城乡差距和地区差距。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2分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★②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教育部门积极引导，开展社区教育品牌项目建设的评比表彰交流活动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3分</w:t>
            </w:r>
          </w:p>
        </w:tc>
        <w:tc>
          <w:tcPr>
            <w:tcW w:w="854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465" w:type="dxa"/>
            <w:vMerge w:val="restart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2.社区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教育机构主导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10分</w:t>
            </w:r>
          </w:p>
        </w:tc>
        <w:tc>
          <w:tcPr>
            <w:tcW w:w="1555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社区教育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机构重视本地区品牌项目建设5分</w:t>
            </w:r>
          </w:p>
        </w:tc>
        <w:tc>
          <w:tcPr>
            <w:tcW w:w="5502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①.将社区教育品牌项目建设纳入社区教育机构的年度工作计划和总结。2分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②.社区教育机构每年召开品牌项目建设会议。3分</w:t>
            </w:r>
          </w:p>
        </w:tc>
        <w:tc>
          <w:tcPr>
            <w:tcW w:w="854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1465" w:type="dxa"/>
            <w:vMerge w:val="continue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55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社区教育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机构主导本品牌项目的建设5分</w:t>
            </w:r>
          </w:p>
        </w:tc>
        <w:tc>
          <w:tcPr>
            <w:tcW w:w="5502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①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.品牌项目建设由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社区教育机构主导，组织管理规范。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2分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★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②.品牌项目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有长期发展规划，坚持社会主义核心价值观，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定位准确，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学习内容积极健康，符合国家有关要求。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3分</w:t>
            </w:r>
          </w:p>
        </w:tc>
        <w:tc>
          <w:tcPr>
            <w:tcW w:w="854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1465" w:type="dxa"/>
            <w:vMerge w:val="restart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3.推进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措施有力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20分</w:t>
            </w:r>
          </w:p>
        </w:tc>
        <w:tc>
          <w:tcPr>
            <w:tcW w:w="1555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资源统筹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5分</w:t>
            </w:r>
          </w:p>
        </w:tc>
        <w:tc>
          <w:tcPr>
            <w:tcW w:w="5502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品牌项目能够较好地发挥统筹各类资源的作用，发挥众建共享的功能。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5分</w:t>
            </w:r>
          </w:p>
        </w:tc>
        <w:tc>
          <w:tcPr>
            <w:tcW w:w="854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1465" w:type="dxa"/>
            <w:vMerge w:val="continue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55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队伍建设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5分</w:t>
            </w:r>
          </w:p>
        </w:tc>
        <w:tc>
          <w:tcPr>
            <w:tcW w:w="5502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★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①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.品牌项目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有连续的主要负责人主导。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3分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②.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拥有一支素质高，热心服务的专家、教师和管理服务人员或志愿者队伍。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2分</w:t>
            </w:r>
          </w:p>
        </w:tc>
        <w:tc>
          <w:tcPr>
            <w:tcW w:w="854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465" w:type="dxa"/>
            <w:vMerge w:val="continue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55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组织保障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5分</w:t>
            </w:r>
          </w:p>
        </w:tc>
        <w:tc>
          <w:tcPr>
            <w:tcW w:w="5502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★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品牌项目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有详细的年度学习教育培训计划，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能够通过培育学习型组织、学习型团队和社区学习共同体等多种组织方式具体实施。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5分</w:t>
            </w:r>
          </w:p>
        </w:tc>
        <w:tc>
          <w:tcPr>
            <w:tcW w:w="854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65" w:type="dxa"/>
            <w:vMerge w:val="continue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55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经费保障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5分</w:t>
            </w:r>
          </w:p>
        </w:tc>
        <w:tc>
          <w:tcPr>
            <w:tcW w:w="5502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社区教育机构负责筹集专项资金，品牌项目每年有稳定的资金支持。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5分</w:t>
            </w:r>
          </w:p>
        </w:tc>
        <w:tc>
          <w:tcPr>
            <w:tcW w:w="854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5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4.内涵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特色鲜明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10分</w:t>
            </w:r>
          </w:p>
        </w:tc>
        <w:tc>
          <w:tcPr>
            <w:tcW w:w="1555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特色鲜明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10分</w:t>
            </w:r>
          </w:p>
        </w:tc>
        <w:tc>
          <w:tcPr>
            <w:tcW w:w="5502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★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①.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品牌项目有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丰富的文化内涵时代特征，具有传承性和创新性。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5分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②.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品牌项目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有标识，有口号，有能够集中体现本项活动主题、容易记忆的LOGO。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3分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③.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品牌项目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有能够集中体现本项活动主题的主题词或口号。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2分</w:t>
            </w:r>
          </w:p>
        </w:tc>
        <w:tc>
          <w:tcPr>
            <w:tcW w:w="854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1465" w:type="dxa"/>
            <w:vMerge w:val="restart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5.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服务形式优化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20分</w:t>
            </w:r>
          </w:p>
        </w:tc>
        <w:tc>
          <w:tcPr>
            <w:tcW w:w="1555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内涵丰富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10分</w:t>
            </w:r>
          </w:p>
        </w:tc>
        <w:tc>
          <w:tcPr>
            <w:tcW w:w="5502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★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①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品牌项目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活动组织形式多样。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5分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②.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能够发挥信息技术优势，支持多种形式的学习活动。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5分</w:t>
            </w:r>
          </w:p>
        </w:tc>
        <w:tc>
          <w:tcPr>
            <w:tcW w:w="854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atLeast"/>
        </w:trPr>
        <w:tc>
          <w:tcPr>
            <w:tcW w:w="1465" w:type="dxa"/>
            <w:vMerge w:val="continue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55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学习活动常态化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10分</w:t>
            </w:r>
          </w:p>
        </w:tc>
        <w:tc>
          <w:tcPr>
            <w:tcW w:w="5502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①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.能够请进来、走出去，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参与方式便捷。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3分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②.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学习资源丰富，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有典型教材或学习资料。3分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③.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学习场所、时间、服务内容相对稳定，环境条件较好。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4分</w:t>
            </w:r>
          </w:p>
        </w:tc>
        <w:tc>
          <w:tcPr>
            <w:tcW w:w="854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465" w:type="dxa"/>
            <w:vMerge w:val="restart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6.成果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效益显著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30分</w:t>
            </w:r>
          </w:p>
        </w:tc>
        <w:tc>
          <w:tcPr>
            <w:tcW w:w="1555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活动成果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15分</w:t>
            </w:r>
          </w:p>
        </w:tc>
        <w:tc>
          <w:tcPr>
            <w:tcW w:w="5502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①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3-6个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通过本项活动产生了感染力强、影响度大、传递正能量的典型故事、事例。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3分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②.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获得相应的表彰奖励。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4分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③.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在当地媒体被多次宣传报道。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3分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★④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在本地区、本行业内有较大影响，具有引领性和示范性。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5分</w:t>
            </w:r>
          </w:p>
        </w:tc>
        <w:tc>
          <w:tcPr>
            <w:tcW w:w="854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465" w:type="dxa"/>
            <w:vMerge w:val="continue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55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参与率与满意度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15分</w:t>
            </w:r>
          </w:p>
        </w:tc>
        <w:tc>
          <w:tcPr>
            <w:tcW w:w="5502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★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①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创建时间原则上不少于三年。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5分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②.有详细的活动记录，有相对固定的学习群体，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参与学习的人数多，一般每年不少于1000人或5000人次。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5分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★③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参与者满意度高，抽样调查满意度达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90%以上，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形成良好社会影响，对促进全民终身学习作出积极贡献。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5分</w:t>
            </w:r>
          </w:p>
        </w:tc>
        <w:tc>
          <w:tcPr>
            <w:tcW w:w="854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465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总分</w:t>
            </w:r>
          </w:p>
        </w:tc>
        <w:tc>
          <w:tcPr>
            <w:tcW w:w="1555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5502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854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</w:tr>
    </w:tbl>
    <w:p>
      <w:pPr>
        <w:ind w:left="240" w:hanging="240" w:hangingChars="100"/>
        <w:rPr>
          <w:rFonts w:hint="eastAsia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vertAlign w:val="baseline"/>
          <w:lang w:eastAsia="zh-CN"/>
        </w:rPr>
        <w:t>注：★为核心指标，</w:t>
      </w:r>
      <w:r>
        <w:rPr>
          <w:rFonts w:hint="eastAsia" w:ascii="仿宋_GB2312" w:hAnsi="仿宋_GB2312" w:eastAsia="仿宋_GB2312" w:cs="仿宋_GB2312"/>
          <w:sz w:val="24"/>
          <w:szCs w:val="24"/>
          <w:vertAlign w:val="baseline"/>
          <w:lang w:val="en-US" w:eastAsia="zh-CN"/>
        </w:rPr>
        <w:t>10个</w:t>
      </w:r>
      <w:r>
        <w:rPr>
          <w:rFonts w:hint="eastAsia" w:ascii="仿宋_GB2312" w:hAnsi="仿宋_GB2312" w:eastAsia="仿宋_GB2312" w:cs="仿宋_GB2312"/>
          <w:sz w:val="24"/>
          <w:szCs w:val="24"/>
          <w:vertAlign w:val="baseline"/>
          <w:lang w:eastAsia="zh-CN"/>
        </w:rPr>
        <w:t>核心指标全部达标，且总分在</w:t>
      </w:r>
      <w:r>
        <w:rPr>
          <w:rFonts w:hint="eastAsia" w:ascii="仿宋_GB2312" w:hAnsi="仿宋_GB2312" w:eastAsia="仿宋_GB2312" w:cs="仿宋_GB2312"/>
          <w:sz w:val="24"/>
          <w:szCs w:val="24"/>
          <w:vertAlign w:val="baseline"/>
          <w:lang w:val="en-US" w:eastAsia="zh-CN"/>
        </w:rPr>
        <w:t>80分以上认定为常州市社区教育品牌项目。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C27E1D"/>
    <w:rsid w:val="049323D3"/>
    <w:rsid w:val="05CB1883"/>
    <w:rsid w:val="069B049F"/>
    <w:rsid w:val="080170AB"/>
    <w:rsid w:val="0AF75751"/>
    <w:rsid w:val="0BDA2324"/>
    <w:rsid w:val="0C580406"/>
    <w:rsid w:val="10B43477"/>
    <w:rsid w:val="110B64C6"/>
    <w:rsid w:val="118D4A40"/>
    <w:rsid w:val="120909F3"/>
    <w:rsid w:val="12F71CBA"/>
    <w:rsid w:val="1398736B"/>
    <w:rsid w:val="13B95DA7"/>
    <w:rsid w:val="168E5198"/>
    <w:rsid w:val="17E74356"/>
    <w:rsid w:val="1AAB72B2"/>
    <w:rsid w:val="1B9C5FFE"/>
    <w:rsid w:val="1D7B6D1C"/>
    <w:rsid w:val="20D22838"/>
    <w:rsid w:val="220137C6"/>
    <w:rsid w:val="268A7C0A"/>
    <w:rsid w:val="285662AD"/>
    <w:rsid w:val="29C9706D"/>
    <w:rsid w:val="2BEF705F"/>
    <w:rsid w:val="2F5E7D69"/>
    <w:rsid w:val="300C48A2"/>
    <w:rsid w:val="35241EA5"/>
    <w:rsid w:val="37002CEB"/>
    <w:rsid w:val="3BA736F3"/>
    <w:rsid w:val="3C3F1671"/>
    <w:rsid w:val="3D9339A4"/>
    <w:rsid w:val="40946CA5"/>
    <w:rsid w:val="42D35AA5"/>
    <w:rsid w:val="46890F3D"/>
    <w:rsid w:val="49D517DE"/>
    <w:rsid w:val="4A6A0A12"/>
    <w:rsid w:val="4AEB2AC8"/>
    <w:rsid w:val="4C376353"/>
    <w:rsid w:val="4D441B1C"/>
    <w:rsid w:val="4F73639A"/>
    <w:rsid w:val="50B93A61"/>
    <w:rsid w:val="52B5515A"/>
    <w:rsid w:val="55175A13"/>
    <w:rsid w:val="57C27E1D"/>
    <w:rsid w:val="5B053525"/>
    <w:rsid w:val="60BE38EB"/>
    <w:rsid w:val="686B4171"/>
    <w:rsid w:val="69D32B9D"/>
    <w:rsid w:val="6AE44266"/>
    <w:rsid w:val="6C18506F"/>
    <w:rsid w:val="6CD67A3D"/>
    <w:rsid w:val="6EE36CD6"/>
    <w:rsid w:val="714B0C86"/>
    <w:rsid w:val="72A14B3C"/>
    <w:rsid w:val="73A31BD0"/>
    <w:rsid w:val="755845DF"/>
    <w:rsid w:val="785A2E96"/>
    <w:rsid w:val="7E653FF3"/>
    <w:rsid w:val="7E927DF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2017-10-27T07:05:00Z</dcterms:created>
  <dc:creator>Administrator</dc:creator>
  <cp:lastModifiedBy>Administrator</cp:lastModifiedBy>
  <dcterms:modified xsi:type="dcterms:W3CDTF">2021-01-19T01:06:09Z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