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24"/>
          <w:szCs w:val="28"/>
        </w:rPr>
      </w:pPr>
      <w:r>
        <w:rPr>
          <w:rFonts w:hint="eastAsia" w:ascii="黑体" w:hAnsi="黑体" w:eastAsia="黑体" w:cs="黑体"/>
          <w:b/>
          <w:bCs/>
          <w:sz w:val="24"/>
          <w:szCs w:val="28"/>
        </w:rPr>
        <w:t>2021-2022</w:t>
      </w:r>
      <w:r>
        <w:rPr>
          <w:rFonts w:hint="eastAsia" w:ascii="黑体" w:hAnsi="黑体" w:eastAsia="黑体" w:cs="黑体"/>
          <w:b/>
          <w:bCs/>
          <w:sz w:val="24"/>
          <w:szCs w:val="28"/>
          <w:lang w:val="en-US" w:eastAsia="zh-Hans"/>
        </w:rPr>
        <w:t>北郊高中校本项目研究</w:t>
      </w:r>
      <w:r>
        <w:rPr>
          <w:rFonts w:hint="eastAsia" w:ascii="黑体" w:hAnsi="黑体" w:eastAsia="黑体" w:cs="黑体"/>
          <w:b/>
          <w:bCs/>
          <w:sz w:val="24"/>
          <w:szCs w:val="28"/>
          <w:lang w:eastAsia="zh-Hans"/>
        </w:rPr>
        <w:t>1</w:t>
      </w:r>
      <w:r>
        <w:rPr>
          <w:rFonts w:hint="eastAsia" w:ascii="黑体" w:hAnsi="黑体" w:eastAsia="黑体" w:cs="黑体"/>
          <w:b/>
          <w:bCs/>
          <w:sz w:val="24"/>
          <w:szCs w:val="28"/>
          <w:lang w:val="en-US" w:eastAsia="zh-Hans"/>
        </w:rPr>
        <w:t>月份研究纪事</w:t>
      </w:r>
    </w:p>
    <w:p/>
    <w:p>
      <w:r>
        <w:rPr>
          <w:rFonts w:hint="eastAsia" w:ascii="黑体" w:hAnsi="黑体" w:eastAsia="黑体" w:cs="黑体"/>
          <w:b/>
          <w:bCs/>
          <w:lang w:eastAsia="zh-Hans"/>
        </w:rPr>
        <w:t>1</w:t>
      </w:r>
      <w:r>
        <w:rPr>
          <w:rFonts w:hint="eastAsia" w:ascii="黑体" w:hAnsi="黑体" w:eastAsia="黑体" w:cs="黑体"/>
          <w:b/>
          <w:bCs/>
          <w:lang w:val="en-US" w:eastAsia="zh-Hans"/>
        </w:rPr>
        <w:t>.</w:t>
      </w:r>
      <w:r>
        <w:rPr>
          <w:rFonts w:hint="eastAsia" w:ascii="黑体" w:hAnsi="黑体" w:eastAsia="黑体" w:cs="黑体"/>
          <w:b/>
          <w:bCs/>
          <w:lang w:eastAsia="zh-Hans"/>
        </w:rPr>
        <w:t>《发现教学法在高中英语读后续写教学中的应用研究》</w:t>
      </w:r>
      <w:r>
        <w:rPr>
          <w:rFonts w:hint="eastAsia" w:ascii="黑体" w:hAnsi="黑体" w:eastAsia="黑体" w:cs="黑体"/>
          <w:b/>
          <w:bCs/>
        </w:rPr>
        <w:t xml:space="preserve"> </w:t>
      </w:r>
      <w:r>
        <w:rPr>
          <w:rFonts w:hint="eastAsia" w:ascii="黑体" w:hAnsi="黑体" w:eastAsia="黑体" w:cs="黑体"/>
          <w:b/>
          <w:bCs/>
        </w:rPr>
        <w:t>（</w:t>
      </w:r>
      <w:r>
        <w:rPr>
          <w:rFonts w:hint="eastAsia" w:ascii="黑体" w:hAnsi="黑体" w:eastAsia="黑体" w:cs="黑体"/>
          <w:b/>
          <w:bCs/>
          <w:lang w:val="en-US" w:eastAsia="zh-Hans"/>
        </w:rPr>
        <w:t>主持人</w:t>
      </w:r>
      <w:r>
        <w:rPr>
          <w:rFonts w:hint="eastAsia" w:ascii="黑体" w:hAnsi="黑体" w:eastAsia="黑体" w:cs="黑体"/>
          <w:b/>
          <w:bCs/>
          <w:lang w:eastAsia="zh-Hans"/>
        </w:rPr>
        <w:t>：</w:t>
      </w:r>
      <w:r>
        <w:rPr>
          <w:rFonts w:hint="eastAsia" w:ascii="黑体" w:hAnsi="黑体" w:eastAsia="黑体" w:cs="黑体"/>
          <w:b/>
          <w:bCs/>
          <w:lang w:val="en-US" w:eastAsia="zh-Hans"/>
        </w:rPr>
        <w:t>林晨钰</w:t>
      </w:r>
      <w:r>
        <w:rPr>
          <w:rFonts w:hint="eastAsia" w:ascii="黑体" w:hAnsi="黑体" w:eastAsia="黑体" w:cs="黑体"/>
          <w:b/>
          <w:bCs/>
          <w:lang w:eastAsia="zh-Hans"/>
        </w:rPr>
        <w:t>、</w:t>
      </w:r>
      <w:r>
        <w:rPr>
          <w:rFonts w:hint="eastAsia" w:ascii="黑体" w:hAnsi="黑体" w:eastAsia="黑体" w:cs="黑体"/>
          <w:b/>
          <w:bCs/>
          <w:lang w:val="en-US" w:eastAsia="zh-Hans"/>
        </w:rPr>
        <w:t>鞠瑶</w:t>
      </w:r>
      <w:r>
        <w:rPr>
          <w:rFonts w:hint="eastAsia" w:ascii="黑体" w:hAnsi="黑体" w:eastAsia="黑体" w:cs="黑体"/>
          <w:b/>
          <w:bCs/>
        </w:rPr>
        <w:t>）</w:t>
      </w:r>
      <w:r>
        <w:rPr>
          <w:rFonts w:hint="eastAsia" w:ascii="黑体" w:hAnsi="黑体" w:eastAsia="黑体" w:cs="黑体"/>
          <w:b/>
          <w:bCs/>
        </w:rPr>
        <w:t xml:space="preserve"> </w:t>
      </w:r>
      <w:r>
        <w:rPr>
          <w:rFonts w:hint="eastAsia" w:ascii="楷体" w:hAnsi="楷体" w:eastAsia="楷体" w:cs="楷体"/>
          <w:b/>
          <w:bCs/>
        </w:rPr>
        <w:t xml:space="preserve"> </w:t>
      </w:r>
      <w:r>
        <w:t xml:space="preserve"> </w:t>
      </w:r>
    </w:p>
    <w:p>
      <w:pPr>
        <w:ind w:firstLine="315" w:firstLineChars="150"/>
        <w:rPr>
          <w:rFonts w:hint="eastAsia" w:ascii="楷体" w:hAnsi="楷体" w:eastAsia="楷体" w:cs="楷体"/>
        </w:rPr>
      </w:pPr>
      <w:r>
        <w:rPr>
          <w:rFonts w:hint="eastAsia" w:ascii="楷体" w:hAnsi="楷体" w:eastAsia="楷体" w:cs="楷体"/>
        </w:rPr>
        <w:t>在前期的资料收集、查阅、研究基础上，项目组成员开始将发现教学法的理论运用到课堂实践中。在与新桥高中的校际公开课上，项目成员鞠瑶针对学生在读后续写构思的问题，精心设计相关课堂问题，通过问题来引导学生发现合理的续写思路和合适的描写词句。课堂氛围积极活跃，学生受益良多。在2021年全市高三教学研讨会上，项目成员林晨钰聚焦了读后续写的阅读步骤，引导学生对文章进行深层次的阅读，挖掘细节，学生沉浸期中，收获颇多；评课老师也评价，是从新角度研究了读后续写的重要步骤—阅读部分！</w:t>
      </w:r>
    </w:p>
    <w:p>
      <w:r>
        <w:drawing>
          <wp:inline distT="0" distB="0" distL="114300" distR="114300">
            <wp:extent cx="5120005" cy="3037205"/>
            <wp:effectExtent l="0" t="0" r="10795" b="10795"/>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4" cstate="print"/>
                    <a:srcRect/>
                    <a:stretch>
                      <a:fillRect/>
                    </a:stretch>
                  </pic:blipFill>
                  <pic:spPr>
                    <a:xfrm>
                      <a:off x="0" y="0"/>
                      <a:ext cx="5120005" cy="3037205"/>
                    </a:xfrm>
                    <a:prstGeom prst="rect">
                      <a:avLst/>
                    </a:prstGeom>
                  </pic:spPr>
                </pic:pic>
              </a:graphicData>
            </a:graphic>
          </wp:inline>
        </w:drawing>
      </w:r>
    </w:p>
    <w:p>
      <w:pPr>
        <w:numPr>
          <w:ilvl w:val="0"/>
          <w:numId w:val="1"/>
        </w:numPr>
        <w:rPr>
          <w:rFonts w:hint="eastAsia" w:ascii="黑体" w:hAnsi="黑体" w:eastAsia="黑体" w:cs="黑体"/>
          <w:b/>
          <w:bCs/>
          <w:lang w:eastAsia="zh-Hans"/>
        </w:rPr>
      </w:pPr>
      <w:r>
        <w:rPr>
          <w:rFonts w:hint="default" w:ascii="黑体" w:hAnsi="黑体" w:eastAsia="黑体" w:cs="黑体"/>
          <w:b/>
          <w:bCs/>
          <w:lang w:eastAsia="zh-Hans"/>
        </w:rPr>
        <w:t>《</w:t>
      </w:r>
      <w:r>
        <w:rPr>
          <w:rFonts w:hint="eastAsia" w:ascii="黑体" w:hAnsi="黑体" w:eastAsia="黑体" w:cs="黑体"/>
          <w:b/>
          <w:bCs/>
          <w:lang w:val="en-US" w:eastAsia="zh-Hans"/>
        </w:rPr>
        <w:t>微信公众号辅助下的高中生假期生活有效性研究</w:t>
      </w:r>
      <w:r>
        <w:rPr>
          <w:rFonts w:hint="default" w:ascii="黑体" w:hAnsi="黑体" w:eastAsia="黑体" w:cs="黑体"/>
          <w:b/>
          <w:bCs/>
          <w:lang w:eastAsia="zh-Hans"/>
        </w:rPr>
        <w:t>》</w:t>
      </w:r>
      <w:r>
        <w:rPr>
          <w:rFonts w:hint="eastAsia" w:ascii="黑体" w:hAnsi="黑体" w:eastAsia="黑体" w:cs="黑体"/>
          <w:b/>
          <w:bCs/>
          <w:lang w:eastAsia="zh-Hans"/>
        </w:rPr>
        <w:t>（</w:t>
      </w:r>
      <w:r>
        <w:rPr>
          <w:rFonts w:hint="eastAsia" w:ascii="黑体" w:hAnsi="黑体" w:eastAsia="黑体" w:cs="黑体"/>
          <w:b/>
          <w:bCs/>
          <w:lang w:val="en-US" w:eastAsia="zh-Hans"/>
        </w:rPr>
        <w:t>主持人</w:t>
      </w:r>
      <w:r>
        <w:rPr>
          <w:rFonts w:hint="eastAsia" w:ascii="黑体" w:hAnsi="黑体" w:eastAsia="黑体" w:cs="黑体"/>
          <w:b/>
          <w:bCs/>
          <w:lang w:eastAsia="zh-Hans"/>
        </w:rPr>
        <w:t>：</w:t>
      </w:r>
      <w:r>
        <w:rPr>
          <w:rFonts w:hint="eastAsia" w:ascii="黑体" w:hAnsi="黑体" w:eastAsia="黑体" w:cs="黑体"/>
          <w:b/>
          <w:bCs/>
          <w:lang w:val="en-US" w:eastAsia="zh-Hans"/>
        </w:rPr>
        <w:t>张明</w:t>
      </w:r>
      <w:r>
        <w:rPr>
          <w:rFonts w:hint="eastAsia" w:ascii="黑体" w:hAnsi="黑体" w:eastAsia="黑体" w:cs="黑体"/>
          <w:b/>
          <w:bCs/>
          <w:lang w:eastAsia="zh-Hans"/>
        </w:rPr>
        <w:t>、</w:t>
      </w:r>
      <w:r>
        <w:rPr>
          <w:rFonts w:hint="eastAsia" w:ascii="黑体" w:hAnsi="黑体" w:eastAsia="黑体" w:cs="黑体"/>
          <w:b/>
          <w:bCs/>
          <w:lang w:val="en-US" w:eastAsia="zh-Hans"/>
        </w:rPr>
        <w:t>房梦雪</w:t>
      </w:r>
      <w:r>
        <w:rPr>
          <w:rFonts w:hint="eastAsia" w:ascii="黑体" w:hAnsi="黑体" w:eastAsia="黑体" w:cs="黑体"/>
          <w:b/>
          <w:bCs/>
          <w:lang w:eastAsia="zh-Hans"/>
        </w:rPr>
        <w:t>）</w:t>
      </w:r>
    </w:p>
    <w:p>
      <w:pPr>
        <w:spacing w:line="240" w:lineRule="auto"/>
        <w:rPr>
          <w:rFonts w:hint="eastAsia" w:ascii="楷体" w:hAnsi="楷体" w:eastAsia="楷体" w:cs="楷体"/>
          <w:sz w:val="21"/>
          <w:szCs w:val="21"/>
          <w:lang w:val="en-US" w:eastAsia="zh-Hans"/>
        </w:rPr>
      </w:pPr>
      <w:r>
        <w:rPr>
          <w:rFonts w:hint="eastAsia" w:ascii="楷体" w:hAnsi="楷体" w:eastAsia="楷体" w:cs="楷体"/>
          <w:sz w:val="21"/>
          <w:szCs w:val="21"/>
        </w:rPr>
        <w:t xml:space="preserve">   </w:t>
      </w:r>
      <w:r>
        <w:rPr>
          <w:rFonts w:hint="eastAsia" w:ascii="楷体" w:hAnsi="楷体" w:eastAsia="楷体" w:cs="楷体"/>
          <w:sz w:val="21"/>
          <w:szCs w:val="21"/>
          <w:lang w:val="en-US" w:eastAsia="zh-Hans"/>
        </w:rPr>
        <w:t>研究进展如下</w:t>
      </w:r>
      <w:r>
        <w:rPr>
          <w:rFonts w:hint="eastAsia" w:ascii="楷体" w:hAnsi="楷体" w:eastAsia="楷体" w:cs="楷体"/>
          <w:sz w:val="21"/>
          <w:szCs w:val="21"/>
          <w:lang w:eastAsia="zh-Hans"/>
        </w:rPr>
        <w:t>：</w:t>
      </w:r>
    </w:p>
    <w:p>
      <w:pPr>
        <w:spacing w:line="240" w:lineRule="auto"/>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rPr>
        <w:t>查阅文献 2021.9-2021.10</w:t>
      </w:r>
    </w:p>
    <w:p>
      <w:pPr>
        <w:spacing w:line="240" w:lineRule="auto"/>
        <w:ind w:firstLine="315" w:firstLineChars="150"/>
        <w:rPr>
          <w:rFonts w:hint="eastAsia" w:ascii="楷体" w:hAnsi="楷体" w:eastAsia="楷体" w:cs="楷体"/>
          <w:sz w:val="21"/>
          <w:szCs w:val="21"/>
        </w:rPr>
      </w:pPr>
      <w:r>
        <w:rPr>
          <w:rFonts w:hint="eastAsia" w:ascii="楷体" w:hAnsi="楷体" w:eastAsia="楷体" w:cs="楷体"/>
          <w:sz w:val="21"/>
          <w:szCs w:val="21"/>
        </w:rPr>
        <w:t>假期生活正是让学生暂时从繁重的学习生活中走出，回归真正生活，帮助他们建构起自己的生活方式，帮助他们不断地去丰富、扩大、提升自己的生活领域和生活境界；然而在众多调查研究中发现，现在高中生的假期生活存在这很多问题，其中浙江省对高中的调查现状如下：</w:t>
      </w:r>
    </w:p>
    <w:p>
      <w:pPr>
        <w:spacing w:line="240" w:lineRule="auto"/>
        <w:ind w:firstLine="420" w:firstLineChars="200"/>
        <w:jc w:val="cente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2866390" cy="1570355"/>
            <wp:effectExtent l="0" t="0" r="381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866390" cy="1570355"/>
                    </a:xfrm>
                    <a:prstGeom prst="rect">
                      <a:avLst/>
                    </a:prstGeom>
                    <a:noFill/>
                    <a:ln>
                      <a:noFill/>
                    </a:ln>
                    <a:effectLst/>
                  </pic:spPr>
                </pic:pic>
              </a:graphicData>
            </a:graphic>
          </wp:inline>
        </w:drawing>
      </w:r>
    </w:p>
    <w:p>
      <w:pPr>
        <w:spacing w:line="240" w:lineRule="auto"/>
        <w:ind w:firstLine="420" w:firstLineChars="200"/>
        <w:jc w:val="center"/>
        <w:rPr>
          <w:rFonts w:hint="eastAsia" w:ascii="楷体" w:hAnsi="楷体" w:eastAsia="楷体" w:cs="楷体"/>
          <w:sz w:val="21"/>
          <w:szCs w:val="21"/>
        </w:rPr>
      </w:pPr>
      <w:r>
        <w:rPr>
          <w:rFonts w:hint="eastAsia" w:ascii="楷体" w:hAnsi="楷体" w:eastAsia="楷体" w:cs="楷体"/>
          <w:sz w:val="21"/>
          <w:szCs w:val="21"/>
        </w:rPr>
        <w:t>（数据引用自《高中生假期学习生活现状及改进策略的调查研究》）</w:t>
      </w:r>
    </w:p>
    <w:p>
      <w:pPr>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学习方面，学生计划学习时长低于家长、教师期望，其中家长期望最高，希望孩子平均每天学习8.36小时 、而学生实际学习时长最短，平均每天仅5.75小时。在体育锻炼方面，学生计划和家长、教师期望基本一致，都希望能达到每天锻炼1小时，然而实际执行中学生平均每天仅达到0.71小时。在休闲娱乐方面，家长期望控制在平均每天1.63小时，远低于教师期望和学生计划，而学生实际达到4.85小时；在劳动方面，学生计划、家长期望、教师期望比较接近 ， 而学生实际每天劳动时长仅0.69小时。</w:t>
      </w:r>
    </w:p>
    <w:p>
      <w:pPr>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从调查数据显示，学生将每天的减少的体育锻炼、学习时间挪到了休闲娱乐上，而产生这一现象的原因主要是学生在假期生活中缺少计划和实施的监督，学生在娱乐时绝大多数都是利用电子产品为媒介，而中学生通过网络媒介获取信息比较杂乱，所以我们利用网络渠道来正向引导孩子的假期生活，充实学生的假期生活。</w:t>
      </w:r>
    </w:p>
    <w:p>
      <w:pPr>
        <w:spacing w:line="240" w:lineRule="auto"/>
        <w:ind w:firstLine="420" w:firstLineChars="200"/>
        <w:rPr>
          <w:rFonts w:hint="eastAsia" w:ascii="楷体" w:hAnsi="楷体" w:eastAsia="楷体" w:cs="楷体"/>
          <w:sz w:val="21"/>
          <w:szCs w:val="21"/>
        </w:rPr>
      </w:pPr>
      <w:r>
        <w:rPr>
          <w:rFonts w:hint="eastAsia" w:ascii="楷体" w:hAnsi="楷体" w:eastAsia="楷体" w:cs="楷体"/>
          <w:sz w:val="21"/>
          <w:szCs w:val="21"/>
        </w:rPr>
        <w:t>在当今网络平台中，有很多社交和学习的平台，例如：QQ（群），微信（群），钉钉（群）等，其中微信这个平台的功能强大，既可以实现实时信息对话，又可以发布新闻、朋友圈等内容，尤其是目前比较火热的微信公众号平台，已经成为宣传报道的主流媒体，对微信公众号的开发近几年也越来越多。在知网中输入“微信公众号”进行搜索，共有1.81万相关的文章，但是其中有关中学的文章却只有219篇，将有效的文章进行可视化图表分析，如下图：</w:t>
      </w:r>
    </w:p>
    <w:p>
      <w:pPr>
        <w:spacing w:line="240" w:lineRule="auto"/>
        <w:ind w:firstLine="420" w:firstLineChars="200"/>
        <w:jc w:val="center"/>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3916045" cy="1438910"/>
            <wp:effectExtent l="0" t="0" r="2095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916045" cy="1438910"/>
                    </a:xfrm>
                    <a:prstGeom prst="rect">
                      <a:avLst/>
                    </a:prstGeom>
                    <a:noFill/>
                    <a:ln>
                      <a:noFill/>
                    </a:ln>
                  </pic:spPr>
                </pic:pic>
              </a:graphicData>
            </a:graphic>
          </wp:inline>
        </w:drawing>
      </w:r>
    </w:p>
    <w:p>
      <w:pPr>
        <w:spacing w:line="240" w:lineRule="auto"/>
        <w:rPr>
          <w:rFonts w:hint="eastAsia" w:ascii="楷体" w:hAnsi="楷体" w:eastAsia="楷体" w:cs="楷体"/>
          <w:sz w:val="21"/>
          <w:szCs w:val="21"/>
        </w:rPr>
      </w:pPr>
      <w:r>
        <w:rPr>
          <w:rFonts w:hint="eastAsia" w:ascii="楷体" w:hAnsi="楷体" w:eastAsia="楷体" w:cs="楷体"/>
          <w:sz w:val="21"/>
          <w:szCs w:val="21"/>
        </w:rPr>
        <w:t>（2）</w:t>
      </w:r>
      <w:r>
        <w:rPr>
          <w:rFonts w:hint="eastAsia" w:ascii="楷体" w:hAnsi="楷体" w:eastAsia="楷体" w:cs="楷体"/>
          <w:sz w:val="21"/>
          <w:szCs w:val="21"/>
        </w:rPr>
        <w:t>梳理前期班级公众号 2021.11-2021.12</w:t>
      </w:r>
    </w:p>
    <w:p>
      <w:pPr>
        <w:spacing w:line="240" w:lineRule="auto"/>
        <w:ind w:firstLine="420"/>
        <w:rPr>
          <w:rFonts w:hint="eastAsia" w:ascii="楷体" w:hAnsi="楷体" w:eastAsia="楷体" w:cs="楷体"/>
          <w:sz w:val="21"/>
          <w:szCs w:val="21"/>
        </w:rPr>
      </w:pPr>
      <w:r>
        <w:rPr>
          <w:rFonts w:hint="eastAsia" w:ascii="楷体" w:hAnsi="楷体" w:eastAsia="楷体" w:cs="楷体"/>
          <w:sz w:val="21"/>
          <w:szCs w:val="21"/>
        </w:rPr>
        <w:t>在前期的班级管理中，我们也尝试组建了班级的公众号，从先前的班级活动的推广到后期班级活动的组织，微信公众号逐渐成为了班级假期活动的一部分，前期在微信公众号平台的使用中我们进行了如下探索：</w:t>
      </w:r>
    </w:p>
    <w:p>
      <w:pPr>
        <w:spacing w:line="240" w:lineRule="auto"/>
        <w:rPr>
          <w:rFonts w:hint="eastAsia" w:ascii="楷体" w:hAnsi="楷体" w:eastAsia="楷体" w:cs="楷体"/>
          <w:sz w:val="21"/>
          <w:szCs w:val="21"/>
        </w:rPr>
      </w:pPr>
      <w:r>
        <w:rPr>
          <w:rFonts w:hint="eastAsia" w:ascii="楷体" w:hAnsi="楷体" w:eastAsia="楷体" w:cs="楷体"/>
          <w:sz w:val="21"/>
          <w:szCs w:val="21"/>
        </w:rPr>
        <w:drawing>
          <wp:inline distT="0" distB="0" distL="0" distR="0">
            <wp:extent cx="5274310" cy="2838450"/>
            <wp:effectExtent l="0" t="0" r="889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t="1653" b="1"/>
                    <a:stretch>
                      <a:fillRect/>
                    </a:stretch>
                  </pic:blipFill>
                  <pic:spPr>
                    <a:xfrm>
                      <a:off x="0" y="0"/>
                      <a:ext cx="5274310" cy="2838367"/>
                    </a:xfrm>
                    <a:prstGeom prst="rect">
                      <a:avLst/>
                    </a:prstGeom>
                    <a:ln>
                      <a:noFill/>
                    </a:ln>
                  </pic:spPr>
                </pic:pic>
              </a:graphicData>
            </a:graphic>
          </wp:inline>
        </w:drawing>
      </w:r>
    </w:p>
    <w:p>
      <w:pPr>
        <w:spacing w:line="240" w:lineRule="auto"/>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rPr>
        <w:t>德育资源库框架梳理及“小明说”微信号建立 2021.12-2022.1</w:t>
      </w:r>
    </w:p>
    <w:p>
      <w:pPr>
        <w:numPr>
          <w:numId w:val="0"/>
        </w:numPr>
        <w:rPr>
          <w:rFonts w:hint="eastAsia" w:ascii="黑体" w:hAnsi="黑体" w:eastAsia="黑体" w:cs="黑体"/>
          <w:b/>
          <w:bCs/>
          <w:lang w:val="en-US" w:eastAsia="zh-Hans"/>
        </w:rPr>
      </w:pPr>
      <w:r>
        <w:rPr>
          <w:rFonts w:hint="eastAsia" w:ascii="黑体" w:hAnsi="黑体" w:eastAsia="黑体" w:cs="黑体"/>
          <w:b/>
          <w:bCs/>
          <w:lang w:eastAsia="zh-Hans"/>
        </w:rPr>
        <w:t>3</w:t>
      </w:r>
      <w:r>
        <w:rPr>
          <w:rFonts w:hint="eastAsia" w:ascii="黑体" w:hAnsi="黑体" w:eastAsia="黑体" w:cs="黑体"/>
          <w:b/>
          <w:bCs/>
          <w:lang w:val="en-US" w:eastAsia="zh-Hans"/>
        </w:rPr>
        <w:t>.</w:t>
      </w:r>
      <w:r>
        <w:rPr>
          <w:rFonts w:hint="eastAsia" w:ascii="黑体" w:hAnsi="黑体" w:eastAsia="黑体" w:cs="黑体"/>
          <w:b/>
          <w:bCs/>
          <w:lang w:eastAsia="zh-Hans"/>
        </w:rPr>
        <w:t>《</w:t>
      </w:r>
      <w:r>
        <w:rPr>
          <w:rFonts w:hint="eastAsia" w:ascii="黑体" w:hAnsi="黑体" w:eastAsia="黑体" w:cs="黑体"/>
          <w:b/>
          <w:bCs/>
          <w:lang w:val="en-US" w:eastAsia="zh-Hans"/>
        </w:rPr>
        <w:t>指向语文核心素养的考试评价研究——以阅读和写作为例</w:t>
      </w:r>
      <w:r>
        <w:rPr>
          <w:rFonts w:hint="eastAsia" w:ascii="黑体" w:hAnsi="黑体" w:eastAsia="黑体" w:cs="黑体"/>
          <w:b/>
          <w:bCs/>
          <w:lang w:eastAsia="zh-Hans"/>
        </w:rPr>
        <w:t>》（</w:t>
      </w:r>
      <w:r>
        <w:rPr>
          <w:rFonts w:hint="eastAsia" w:ascii="黑体" w:hAnsi="黑体" w:eastAsia="黑体" w:cs="黑体"/>
          <w:b/>
          <w:bCs/>
          <w:lang w:val="en-US" w:eastAsia="zh-Hans"/>
        </w:rPr>
        <w:t>主持人</w:t>
      </w:r>
      <w:r>
        <w:rPr>
          <w:rFonts w:hint="eastAsia" w:ascii="黑体" w:hAnsi="黑体" w:eastAsia="黑体" w:cs="黑体"/>
          <w:b/>
          <w:bCs/>
          <w:lang w:eastAsia="zh-Hans"/>
        </w:rPr>
        <w:t>：</w:t>
      </w:r>
      <w:r>
        <w:rPr>
          <w:rFonts w:hint="eastAsia" w:ascii="黑体" w:hAnsi="黑体" w:eastAsia="黑体" w:cs="黑体"/>
          <w:b/>
          <w:bCs/>
          <w:lang w:val="en-US" w:eastAsia="zh-Hans"/>
        </w:rPr>
        <w:t>陈珊</w:t>
      </w:r>
      <w:r>
        <w:rPr>
          <w:rFonts w:hint="eastAsia" w:ascii="黑体" w:hAnsi="黑体" w:eastAsia="黑体" w:cs="黑体"/>
          <w:b/>
          <w:bCs/>
          <w:lang w:eastAsia="zh-Hans"/>
        </w:rPr>
        <w:t>、</w:t>
      </w:r>
      <w:r>
        <w:rPr>
          <w:rFonts w:hint="eastAsia" w:ascii="黑体" w:hAnsi="黑体" w:eastAsia="黑体" w:cs="黑体"/>
          <w:b/>
          <w:bCs/>
          <w:lang w:val="en-US" w:eastAsia="zh-Hans"/>
        </w:rPr>
        <w:t>田全慧</w:t>
      </w:r>
      <w:r>
        <w:rPr>
          <w:rFonts w:hint="eastAsia" w:ascii="黑体" w:hAnsi="黑体" w:eastAsia="黑体" w:cs="黑体"/>
          <w:b/>
          <w:bCs/>
          <w:lang w:eastAsia="zh-Hans"/>
        </w:rPr>
        <w:t>）</w:t>
      </w:r>
    </w:p>
    <w:p>
      <w:pPr>
        <w:ind w:firstLine="420" w:firstLineChars="200"/>
        <w:rPr>
          <w:rFonts w:hint="eastAsia" w:ascii="宋体" w:hAnsi="宋体" w:eastAsia="宋体"/>
        </w:rPr>
      </w:pPr>
      <w:r>
        <w:rPr>
          <w:rFonts w:hint="eastAsia" w:ascii="宋体" w:hAnsi="宋体" w:eastAsia="宋体"/>
        </w:rPr>
        <w:t>由于本课题是以阅读和写作为例，这阶段主要进行的是阅读部分的推进。阅读由信息性阅读、文学性阅读和古代诗文阅读</w:t>
      </w:r>
      <w:r>
        <w:rPr>
          <w:rFonts w:ascii="宋体" w:hAnsi="宋体" w:eastAsia="宋体"/>
        </w:rPr>
        <w:t>3方面构成。</w:t>
      </w:r>
      <w:r>
        <w:rPr>
          <w:rFonts w:hint="eastAsia" w:ascii="宋体" w:hAnsi="宋体" w:eastAsia="宋体"/>
        </w:rPr>
        <w:t>研究情况细化如下：</w:t>
      </w:r>
    </w:p>
    <w:p>
      <w:pPr>
        <w:ind w:firstLine="420" w:firstLineChars="200"/>
        <w:rPr>
          <w:rFonts w:ascii="宋体" w:hAnsi="宋体" w:eastAsia="宋体"/>
        </w:rPr>
      </w:pPr>
      <w:r>
        <w:rPr>
          <w:rFonts w:ascii="宋体" w:hAnsi="宋体"/>
        </w:rPr>
        <w:t>（1）</w:t>
      </w:r>
      <w:r>
        <w:rPr>
          <w:rFonts w:ascii="宋体" w:hAnsi="宋体" w:eastAsia="宋体"/>
        </w:rPr>
        <w:t>信息性阅读（2021年12月）</w:t>
      </w:r>
    </w:p>
    <w:p>
      <w:pPr>
        <w:ind w:firstLine="420" w:firstLineChars="200"/>
        <w:rPr>
          <w:rFonts w:ascii="宋体" w:hAnsi="宋体" w:eastAsia="宋体"/>
        </w:rPr>
      </w:pPr>
      <w:r>
        <w:rPr>
          <w:rFonts w:hint="eastAsia" w:ascii="宋体" w:hAnsi="宋体" w:eastAsia="宋体"/>
        </w:rPr>
        <w:t>信息性阅读是以求知求真的态度与方式阅读文本，从而不断拓宽知识面、增强认知能力、提升思维品质，其对象主要有论述性文本和实用性文本。此部分虽阅读难，但指向比较明确。</w:t>
      </w:r>
    </w:p>
    <w:p>
      <w:pPr>
        <w:ind w:firstLine="420" w:firstLineChars="200"/>
        <w:rPr>
          <w:rFonts w:ascii="宋体" w:hAnsi="宋体" w:eastAsia="宋体"/>
        </w:rPr>
      </w:pPr>
      <w:r>
        <w:rPr>
          <w:rFonts w:ascii="宋体" w:hAnsi="宋体"/>
        </w:rPr>
        <w:t>（2）</w:t>
      </w:r>
      <w:r>
        <w:rPr>
          <w:rFonts w:ascii="宋体" w:hAnsi="宋体" w:eastAsia="宋体"/>
        </w:rPr>
        <w:t>文学性阅读（2022年1月）</w:t>
      </w:r>
    </w:p>
    <w:p>
      <w:pPr>
        <w:ind w:firstLine="420" w:firstLineChars="200"/>
        <w:rPr>
          <w:rFonts w:ascii="宋体" w:hAnsi="宋体" w:eastAsia="宋体"/>
        </w:rPr>
      </w:pPr>
      <w:r>
        <w:rPr>
          <w:rFonts w:hint="eastAsia" w:ascii="宋体" w:hAnsi="宋体" w:eastAsia="宋体"/>
        </w:rPr>
        <w:t>文学性阅读对象主要是小说、散文、诗歌、戏剧等文学作品；这一部分看似简单，但细节中往往蕴含着海量的、错综复杂的信息。因此，研究人员花费了大量时间试做题目、讨论归纳。</w:t>
      </w:r>
    </w:p>
    <w:p>
      <w:pPr>
        <w:numPr>
          <w:numId w:val="0"/>
        </w:numPr>
        <w:rPr>
          <w:rFonts w:ascii="宋体" w:hAnsi="宋体" w:eastAsia="宋体"/>
        </w:rPr>
      </w:pPr>
      <w:r>
        <w:rPr>
          <w:rFonts w:ascii="宋体" w:hAnsi="宋体" w:eastAsia="宋体"/>
        </w:rPr>
        <w:drawing>
          <wp:inline distT="0" distB="0" distL="0" distR="0">
            <wp:extent cx="5264150" cy="3308350"/>
            <wp:effectExtent l="0" t="0" r="19050"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64150" cy="3308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黑体" w:hAnsi="黑体" w:eastAsia="黑体" w:cs="黑体"/>
          <w:b/>
          <w:bCs/>
          <w:lang w:val="en-US" w:eastAsia="zh-Hans"/>
        </w:rPr>
      </w:pPr>
      <w:r>
        <w:rPr>
          <w:rFonts w:hint="eastAsia" w:ascii="黑体" w:hAnsi="黑体" w:eastAsia="黑体" w:cs="黑体"/>
          <w:b/>
          <w:bCs/>
        </w:rPr>
        <w:t>4</w:t>
      </w:r>
      <w:r>
        <w:rPr>
          <w:rFonts w:hint="eastAsia" w:ascii="黑体" w:hAnsi="黑体" w:eastAsia="黑体" w:cs="黑体"/>
          <w:b/>
          <w:bCs/>
          <w:lang w:val="en-US" w:eastAsia="zh-Hans"/>
        </w:rPr>
        <w:t>.</w:t>
      </w:r>
      <w:r>
        <w:rPr>
          <w:rFonts w:hint="eastAsia" w:ascii="黑体" w:hAnsi="黑体" w:eastAsia="黑体" w:cs="黑体"/>
          <w:b/>
          <w:bCs/>
          <w:lang w:eastAsia="zh-Hans"/>
        </w:rPr>
        <w:t>《</w:t>
      </w:r>
      <w:r>
        <w:rPr>
          <w:rFonts w:hint="eastAsia" w:ascii="黑体" w:hAnsi="黑体" w:eastAsia="黑体" w:cs="黑体"/>
          <w:b/>
          <w:bCs/>
          <w:lang w:val="en-US" w:eastAsia="zh-Hans"/>
        </w:rPr>
        <w:t>基于App Inventor的人工智能校本课程开发与实施研究</w:t>
      </w:r>
      <w:r>
        <w:rPr>
          <w:rFonts w:hint="eastAsia" w:ascii="黑体" w:hAnsi="黑体" w:eastAsia="黑体" w:cs="黑体"/>
          <w:b/>
          <w:bCs/>
          <w:lang w:eastAsia="zh-Hans"/>
        </w:rPr>
        <w:t>》（</w:t>
      </w:r>
      <w:r>
        <w:rPr>
          <w:rFonts w:hint="eastAsia" w:ascii="黑体" w:hAnsi="黑体" w:eastAsia="黑体" w:cs="黑体"/>
          <w:b/>
          <w:bCs/>
          <w:lang w:val="en-US" w:eastAsia="zh-Hans"/>
        </w:rPr>
        <w:t>主持人</w:t>
      </w:r>
      <w:r>
        <w:rPr>
          <w:rFonts w:hint="eastAsia" w:ascii="黑体" w:hAnsi="黑体" w:eastAsia="黑体" w:cs="黑体"/>
          <w:b/>
          <w:bCs/>
          <w:lang w:eastAsia="zh-Hans"/>
        </w:rPr>
        <w:t>：</w:t>
      </w:r>
      <w:r>
        <w:rPr>
          <w:rFonts w:hint="eastAsia" w:ascii="黑体" w:hAnsi="黑体" w:eastAsia="黑体" w:cs="黑体"/>
          <w:b/>
          <w:bCs/>
          <w:lang w:val="en-US" w:eastAsia="zh-Hans"/>
        </w:rPr>
        <w:t>陈淑彦</w:t>
      </w:r>
      <w:r>
        <w:rPr>
          <w:rFonts w:hint="eastAsia" w:ascii="黑体" w:hAnsi="黑体" w:eastAsia="黑体" w:cs="黑体"/>
          <w:b/>
          <w:bCs/>
          <w:lang w:eastAsia="zh-Hans"/>
        </w:rPr>
        <w:t>、</w:t>
      </w:r>
      <w:r>
        <w:rPr>
          <w:rFonts w:hint="eastAsia" w:ascii="黑体" w:hAnsi="黑体" w:eastAsia="黑体" w:cs="黑体"/>
          <w:b/>
          <w:bCs/>
          <w:lang w:val="en-US" w:eastAsia="zh-Hans"/>
        </w:rPr>
        <w:t>蔡国</w:t>
      </w:r>
      <w:r>
        <w:rPr>
          <w:rFonts w:hint="eastAsia" w:ascii="黑体" w:hAnsi="黑体" w:eastAsia="黑体" w:cs="黑体"/>
          <w:b/>
          <w:bCs/>
          <w:lang w:eastAsia="zh-Hans"/>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2021年12月10日，陈淑彦老师开设题为《数值计算》的市级公开课，常州市林厚从名师工作室全体成员及兄弟初高中校信息技术教师共同参加了本次活动，本次活动主题是范导式教学背景下高中信息技术课堂追问优化策略研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陈老师整</w:t>
      </w:r>
      <w:r>
        <w:rPr>
          <w:rFonts w:hint="eastAsia" w:ascii="楷体" w:hAnsi="楷体" w:eastAsia="楷体" w:cs="楷体"/>
          <w:sz w:val="21"/>
          <w:szCs w:val="21"/>
          <w:lang w:val="en-US" w:eastAsia="zh-CN"/>
        </w:rPr>
        <w:t>节</w:t>
      </w:r>
      <w:r>
        <w:rPr>
          <w:rFonts w:hint="eastAsia" w:ascii="楷体" w:hAnsi="楷体" w:eastAsia="楷体" w:cs="楷体"/>
          <w:sz w:val="21"/>
          <w:szCs w:val="21"/>
        </w:rPr>
        <w:t>课以“北郊环保小卫士”项目为主线，将知识点融于真实性情境中</w:t>
      </w:r>
      <w:r>
        <w:rPr>
          <w:rFonts w:hint="eastAsia" w:ascii="楷体" w:hAnsi="楷体" w:eastAsia="楷体" w:cs="楷体"/>
          <w:sz w:val="21"/>
          <w:szCs w:val="21"/>
          <w:lang w:eastAsia="zh-CN"/>
        </w:rPr>
        <w:t>，</w:t>
      </w:r>
      <w:r>
        <w:rPr>
          <w:rFonts w:hint="eastAsia" w:ascii="楷体" w:hAnsi="楷体" w:eastAsia="楷体" w:cs="楷体"/>
          <w:sz w:val="21"/>
          <w:szCs w:val="21"/>
        </w:rPr>
        <w:t>在深度解读教材的基础上，把课堂教学中要达成的知识与技能分解成若干梯度合理、结构鲜明、层次递进、富有启发性和生成导向的发展性任务，通过精心设计的一连串问题和学生活动，引导学生进行充分的思考讨论，</w:t>
      </w:r>
      <w:r>
        <w:rPr>
          <w:rFonts w:hint="eastAsia" w:ascii="楷体" w:hAnsi="楷体" w:eastAsia="楷体" w:cs="楷体"/>
          <w:sz w:val="21"/>
          <w:szCs w:val="21"/>
          <w:lang w:val="en-US" w:eastAsia="zh-CN"/>
        </w:rPr>
        <w:t>并</w:t>
      </w:r>
      <w:r>
        <w:rPr>
          <w:rFonts w:hint="eastAsia" w:ascii="楷体" w:hAnsi="楷体" w:eastAsia="楷体" w:cs="楷体"/>
          <w:sz w:val="21"/>
          <w:szCs w:val="21"/>
        </w:rPr>
        <w:t>鼓励学生之间互相提问、追问、质疑乃至辩论，并根据学生间的动态生成，进行及时必要的补充，师生在平等协商中加深对知识的理解，最后通过拓展活动引导学生进行创造性应用，进一步提升对本节课核心知识技能的意义建构。</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课后，围绕研究主题全体成员展开了热烈讨论。大家对这节课给予了充分肯定，一致认为范导式教学四要素，是相互作用的，教师应根据不同课型、不同学情，合理协调四个要素，探索一种通过师生的不断建构，激发学生自省内化，有助于学生自主学习、自我探究，从而变知识为能力的学习范式和教学过程，而教学追问的优化可以极大的促进范导式课堂的提质增效，值得进一步深入研究。</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楷体" w:hAnsi="楷体" w:eastAsia="楷体" w:cs="楷体"/>
          <w:sz w:val="21"/>
          <w:szCs w:val="21"/>
        </w:rPr>
      </w:pPr>
    </w:p>
    <w:p>
      <w:pPr>
        <w:numPr>
          <w:numId w:val="0"/>
        </w:numPr>
        <w:jc w:val="center"/>
        <w:rPr>
          <w:rFonts w:hint="default" w:ascii="宋体" w:hAnsi="宋体" w:eastAsia="宋体"/>
          <w:lang w:eastAsia="zh-Hans"/>
        </w:rPr>
      </w:pPr>
      <w:r>
        <w:rPr>
          <w:rFonts w:hint="default" w:ascii="宋体" w:hAnsi="宋体" w:eastAsia="宋体"/>
          <w:lang w:eastAsia="zh-Hans"/>
        </w:rPr>
        <w:drawing>
          <wp:inline distT="0" distB="0" distL="114300" distR="114300">
            <wp:extent cx="4338955" cy="2892425"/>
            <wp:effectExtent l="0" t="0" r="4445" b="3175"/>
            <wp:docPr id="5" name="图片 5" descr="陈淑彦开设市级公开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陈淑彦开设市级公开课"/>
                    <pic:cNvPicPr>
                      <a:picLocks noChangeAspect="1"/>
                    </pic:cNvPicPr>
                  </pic:nvPicPr>
                  <pic:blipFill>
                    <a:blip r:embed="rId9"/>
                    <a:stretch>
                      <a:fillRect/>
                    </a:stretch>
                  </pic:blipFill>
                  <pic:spPr>
                    <a:xfrm>
                      <a:off x="0" y="0"/>
                      <a:ext cx="4338955" cy="2892425"/>
                    </a:xfrm>
                    <a:prstGeom prst="rect">
                      <a:avLst/>
                    </a:prstGeom>
                  </pic:spPr>
                </pic:pic>
              </a:graphicData>
            </a:graphic>
          </wp:inline>
        </w:drawing>
      </w:r>
    </w:p>
    <w:p>
      <w:pPr>
        <w:numPr>
          <w:numId w:val="0"/>
        </w:numPr>
        <w:jc w:val="left"/>
        <w:rPr>
          <w:rFonts w:hint="eastAsia" w:ascii="黑体" w:hAnsi="黑体" w:eastAsia="黑体" w:cs="黑体"/>
          <w:b/>
          <w:bCs/>
          <w:lang w:eastAsia="zh-Hans"/>
        </w:rPr>
      </w:pPr>
      <w:r>
        <w:rPr>
          <w:rFonts w:hint="eastAsia" w:ascii="黑体" w:hAnsi="黑体" w:eastAsia="黑体" w:cs="黑体"/>
          <w:b/>
          <w:bCs/>
          <w:lang w:eastAsia="zh-Hans"/>
        </w:rPr>
        <w:t>5</w:t>
      </w:r>
      <w:r>
        <w:rPr>
          <w:rFonts w:hint="eastAsia" w:ascii="黑体" w:hAnsi="黑体" w:eastAsia="黑体" w:cs="黑体"/>
          <w:b/>
          <w:bCs/>
          <w:lang w:val="en-US" w:eastAsia="zh-Hans"/>
        </w:rPr>
        <w:t>.</w:t>
      </w:r>
      <w:r>
        <w:rPr>
          <w:rFonts w:hint="eastAsia" w:ascii="黑体" w:hAnsi="黑体" w:eastAsia="黑体" w:cs="黑体"/>
          <w:b/>
          <w:bCs/>
          <w:lang w:eastAsia="zh-Hans"/>
        </w:rPr>
        <w:t>《新课程背景下历史开放性试题实践研究》（</w:t>
      </w:r>
      <w:r>
        <w:rPr>
          <w:rFonts w:hint="eastAsia" w:ascii="黑体" w:hAnsi="黑体" w:eastAsia="黑体" w:cs="黑体"/>
          <w:b/>
          <w:bCs/>
          <w:lang w:val="en-US" w:eastAsia="zh-Hans"/>
        </w:rPr>
        <w:t>主持人</w:t>
      </w:r>
      <w:r>
        <w:rPr>
          <w:rFonts w:hint="eastAsia" w:ascii="黑体" w:hAnsi="黑体" w:eastAsia="黑体" w:cs="黑体"/>
          <w:b/>
          <w:bCs/>
          <w:lang w:eastAsia="zh-Hans"/>
        </w:rPr>
        <w:t>：</w:t>
      </w:r>
      <w:r>
        <w:rPr>
          <w:rFonts w:hint="eastAsia" w:ascii="黑体" w:hAnsi="黑体" w:eastAsia="黑体" w:cs="黑体"/>
          <w:b/>
          <w:bCs/>
          <w:lang w:val="en-US" w:eastAsia="zh-Hans"/>
        </w:rPr>
        <w:t>朱哲程、王宽军</w:t>
      </w:r>
      <w:r>
        <w:rPr>
          <w:rFonts w:hint="eastAsia" w:ascii="黑体" w:hAnsi="黑体" w:eastAsia="黑体" w:cs="黑体"/>
          <w:b/>
          <w:bCs/>
          <w:lang w:eastAsia="zh-Hans"/>
        </w:rPr>
        <w:t>）</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楷体" w:hAnsi="楷体" w:eastAsia="楷体" w:cs="楷体"/>
        </w:rPr>
      </w:pPr>
      <w:r>
        <w:rPr>
          <w:rFonts w:hint="eastAsia" w:ascii="楷体" w:hAnsi="楷体" w:eastAsia="楷体" w:cs="楷体"/>
        </w:rPr>
        <w:t>（1）</w:t>
      </w:r>
      <w:r>
        <w:rPr>
          <w:rFonts w:hint="eastAsia" w:ascii="楷体" w:hAnsi="楷体" w:eastAsia="楷体" w:cs="楷体"/>
        </w:rPr>
        <w:t>在课堂研究方面：以近10年历史高考真题以及江苏省、山东省的各地模拟卷的开放题为基础，研究试题的分类。从知识、能力、素养三维角度分析试卷命制的特点，目的，检验效果。特别是，从学生答题中存在的不足，提出相对应的改进方案。</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0" w:leftChars="0" w:right="0" w:rightChars="0" w:firstLine="420" w:firstLineChars="200"/>
        <w:jc w:val="both"/>
        <w:textAlignment w:val="auto"/>
        <w:outlineLvl w:val="9"/>
        <w:rPr>
          <w:rFonts w:hint="eastAsia" w:ascii="楷体" w:hAnsi="楷体" w:eastAsia="楷体" w:cs="楷体"/>
        </w:rPr>
      </w:pPr>
      <w:r>
        <w:rPr>
          <w:rFonts w:hint="eastAsia" w:ascii="楷体" w:hAnsi="楷体" w:eastAsia="楷体" w:cs="楷体"/>
        </w:rPr>
        <w:t>（2）</w:t>
      </w:r>
      <w:r>
        <w:rPr>
          <w:rFonts w:hint="eastAsia" w:ascii="楷体" w:hAnsi="楷体" w:eastAsia="楷体" w:cs="楷体"/>
        </w:rPr>
        <w:t>阅读教育部考试中学刘芃主任的《卷里卷外：刘芃论考试》这套精品，他从历史的角度，从世界的眼光分析检测的目的，手段，以及将要弥补改进的方向。这让我有了对评价的认识更进一步。断断续续阅读了刘博《考试命题制度研究》，把命题的历史，命题的流程娓娓道来，我也更加明白一套题目是经过千锤百炼，方才呈现在考生面前。</w:t>
      </w:r>
    </w:p>
    <w:p>
      <w:pPr>
        <w:numPr>
          <w:numId w:val="0"/>
        </w:numPr>
        <w:jc w:val="left"/>
      </w:pPr>
      <w:r>
        <w:drawing>
          <wp:inline distT="0" distB="0" distL="0" distR="0">
            <wp:extent cx="5274310" cy="395605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numPr>
          <w:numId w:val="0"/>
        </w:numPr>
        <w:jc w:val="left"/>
      </w:pPr>
    </w:p>
    <w:p>
      <w:pPr>
        <w:rPr>
          <w:rFonts w:hint="eastAsia" w:ascii="黑体" w:hAnsi="黑体" w:eastAsia="黑体" w:cs="黑体"/>
          <w:b/>
          <w:bCs/>
          <w:sz w:val="21"/>
          <w:szCs w:val="21"/>
        </w:rPr>
      </w:pPr>
      <w:r>
        <w:rPr>
          <w:rFonts w:hint="eastAsia" w:ascii="黑体" w:hAnsi="黑体" w:eastAsia="黑体" w:cs="黑体"/>
          <w:b/>
          <w:bCs/>
          <w:sz w:val="21"/>
          <w:szCs w:val="21"/>
        </w:rPr>
        <w:t>6</w:t>
      </w:r>
      <w:r>
        <w:rPr>
          <w:rFonts w:hint="eastAsia" w:ascii="黑体" w:hAnsi="黑体" w:eastAsia="黑体" w:cs="黑体"/>
          <w:b/>
          <w:bCs/>
          <w:sz w:val="21"/>
          <w:szCs w:val="21"/>
          <w:lang w:val="en-US" w:eastAsia="zh-Hans"/>
        </w:rPr>
        <w:t>.</w:t>
      </w:r>
      <w:r>
        <w:rPr>
          <w:rFonts w:hint="eastAsia" w:ascii="黑体" w:hAnsi="黑体" w:eastAsia="黑体" w:cs="黑体"/>
          <w:b/>
          <w:bCs/>
          <w:sz w:val="21"/>
          <w:szCs w:val="21"/>
          <w:lang w:eastAsia="zh-Hans"/>
        </w:rPr>
        <w:t>《</w:t>
      </w:r>
      <w:r>
        <w:rPr>
          <w:rFonts w:hint="eastAsia" w:ascii="黑体" w:hAnsi="黑体" w:eastAsia="黑体" w:cs="黑体"/>
          <w:b/>
          <w:bCs/>
          <w:sz w:val="21"/>
          <w:szCs w:val="21"/>
        </w:rPr>
        <w:t>基于理解的课堂问题设计</w:t>
      </w:r>
      <w:r>
        <w:rPr>
          <w:rFonts w:hint="eastAsia" w:ascii="黑体" w:hAnsi="黑体" w:eastAsia="黑体" w:cs="黑体"/>
          <w:b/>
          <w:bCs/>
          <w:sz w:val="21"/>
          <w:szCs w:val="21"/>
        </w:rPr>
        <w:t>》（</w:t>
      </w:r>
      <w:r>
        <w:rPr>
          <w:rFonts w:hint="eastAsia" w:ascii="黑体" w:hAnsi="黑体" w:eastAsia="黑体" w:cs="黑体"/>
          <w:b/>
          <w:bCs/>
          <w:sz w:val="21"/>
          <w:szCs w:val="21"/>
          <w:lang w:val="en-US" w:eastAsia="zh-Hans"/>
        </w:rPr>
        <w:t>主持人</w:t>
      </w:r>
      <w:r>
        <w:rPr>
          <w:rFonts w:hint="eastAsia" w:ascii="黑体" w:hAnsi="黑体" w:eastAsia="黑体" w:cs="黑体"/>
          <w:b/>
          <w:bCs/>
          <w:sz w:val="21"/>
          <w:szCs w:val="21"/>
          <w:lang w:eastAsia="zh-Hans"/>
        </w:rPr>
        <w:t>：</w:t>
      </w:r>
      <w:r>
        <w:rPr>
          <w:rFonts w:hint="eastAsia" w:ascii="黑体" w:hAnsi="黑体" w:eastAsia="黑体" w:cs="黑体"/>
          <w:b/>
          <w:bCs/>
          <w:sz w:val="21"/>
          <w:szCs w:val="21"/>
          <w:lang w:val="en-US" w:eastAsia="zh-Hans"/>
        </w:rPr>
        <w:t>曹辉</w:t>
      </w:r>
      <w:r>
        <w:rPr>
          <w:rFonts w:hint="eastAsia" w:ascii="黑体" w:hAnsi="黑体" w:eastAsia="黑体" w:cs="黑体"/>
          <w:b/>
          <w:bCs/>
          <w:sz w:val="21"/>
          <w:szCs w:val="21"/>
          <w:lang w:eastAsia="zh-Hans"/>
        </w:rPr>
        <w:t>、</w:t>
      </w:r>
      <w:r>
        <w:rPr>
          <w:rFonts w:hint="eastAsia" w:ascii="黑体" w:hAnsi="黑体" w:eastAsia="黑体" w:cs="黑体"/>
          <w:b/>
          <w:bCs/>
          <w:sz w:val="21"/>
          <w:szCs w:val="21"/>
          <w:lang w:val="en-US" w:eastAsia="zh-Hans"/>
        </w:rPr>
        <w:t>杨晓芳</w:t>
      </w:r>
      <w:r>
        <w:rPr>
          <w:rFonts w:hint="eastAsia" w:ascii="黑体" w:hAnsi="黑体" w:eastAsia="黑体" w:cs="黑体"/>
          <w:b/>
          <w:bCs/>
          <w:sz w:val="21"/>
          <w:szCs w:val="21"/>
        </w:rPr>
        <w:t>）</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Hans"/>
        </w:rPr>
        <w:t>项目研究以来课堂教学研究</w:t>
      </w:r>
      <w:r>
        <w:rPr>
          <w:rFonts w:hint="eastAsia" w:ascii="楷体" w:hAnsi="楷体" w:eastAsia="楷体" w:cs="楷体"/>
          <w:sz w:val="21"/>
          <w:szCs w:val="21"/>
        </w:rPr>
        <w:t>情况</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178"/>
        <w:gridCol w:w="957"/>
        <w:gridCol w:w="906"/>
        <w:gridCol w:w="953"/>
        <w:gridCol w:w="3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1267" w:type="dxa"/>
          </w:tcPr>
          <w:p>
            <w:pPr>
              <w:jc w:val="center"/>
              <w:rPr>
                <w:rFonts w:hint="eastAsia" w:ascii="楷体" w:hAnsi="楷体" w:eastAsia="楷体" w:cs="楷体"/>
                <w:sz w:val="21"/>
                <w:szCs w:val="21"/>
              </w:rPr>
            </w:pPr>
            <w:r>
              <w:rPr>
                <w:rFonts w:hint="eastAsia" w:ascii="楷体" w:hAnsi="楷体" w:eastAsia="楷体" w:cs="楷体"/>
                <w:sz w:val="21"/>
                <w:szCs w:val="21"/>
              </w:rPr>
              <w:t>时间</w:t>
            </w:r>
          </w:p>
        </w:tc>
        <w:tc>
          <w:tcPr>
            <w:tcW w:w="1178" w:type="dxa"/>
          </w:tcPr>
          <w:p>
            <w:pPr>
              <w:jc w:val="center"/>
              <w:rPr>
                <w:rFonts w:hint="eastAsia" w:ascii="楷体" w:hAnsi="楷体" w:eastAsia="楷体" w:cs="楷体"/>
                <w:sz w:val="21"/>
                <w:szCs w:val="21"/>
              </w:rPr>
            </w:pPr>
            <w:r>
              <w:rPr>
                <w:rFonts w:hint="eastAsia" w:ascii="楷体" w:hAnsi="楷体" w:eastAsia="楷体" w:cs="楷体"/>
                <w:sz w:val="21"/>
                <w:szCs w:val="21"/>
              </w:rPr>
              <w:t>地点</w:t>
            </w:r>
          </w:p>
        </w:tc>
        <w:tc>
          <w:tcPr>
            <w:tcW w:w="957" w:type="dxa"/>
          </w:tcPr>
          <w:p>
            <w:pPr>
              <w:jc w:val="center"/>
              <w:rPr>
                <w:rFonts w:hint="eastAsia" w:ascii="楷体" w:hAnsi="楷体" w:eastAsia="楷体" w:cs="楷体"/>
                <w:sz w:val="21"/>
                <w:szCs w:val="21"/>
              </w:rPr>
            </w:pPr>
            <w:r>
              <w:rPr>
                <w:rFonts w:hint="eastAsia" w:ascii="楷体" w:hAnsi="楷体" w:eastAsia="楷体" w:cs="楷体"/>
                <w:sz w:val="21"/>
                <w:szCs w:val="21"/>
              </w:rPr>
              <w:t>开课人</w:t>
            </w:r>
          </w:p>
        </w:tc>
        <w:tc>
          <w:tcPr>
            <w:tcW w:w="906" w:type="dxa"/>
          </w:tcPr>
          <w:p>
            <w:pPr>
              <w:jc w:val="center"/>
              <w:rPr>
                <w:rFonts w:hint="eastAsia" w:ascii="楷体" w:hAnsi="楷体" w:eastAsia="楷体" w:cs="楷体"/>
                <w:sz w:val="21"/>
                <w:szCs w:val="21"/>
              </w:rPr>
            </w:pPr>
            <w:r>
              <w:rPr>
                <w:rFonts w:hint="eastAsia" w:ascii="楷体" w:hAnsi="楷体" w:eastAsia="楷体" w:cs="楷体"/>
                <w:sz w:val="21"/>
                <w:szCs w:val="21"/>
              </w:rPr>
              <w:t>课题</w:t>
            </w:r>
          </w:p>
        </w:tc>
        <w:tc>
          <w:tcPr>
            <w:tcW w:w="953" w:type="dxa"/>
          </w:tcPr>
          <w:p>
            <w:pPr>
              <w:jc w:val="center"/>
              <w:rPr>
                <w:rFonts w:hint="eastAsia" w:ascii="楷体" w:hAnsi="楷体" w:eastAsia="楷体" w:cs="楷体"/>
                <w:sz w:val="21"/>
                <w:szCs w:val="21"/>
              </w:rPr>
            </w:pPr>
            <w:r>
              <w:rPr>
                <w:rFonts w:hint="eastAsia" w:ascii="楷体" w:hAnsi="楷体" w:eastAsia="楷体" w:cs="楷体"/>
                <w:sz w:val="21"/>
                <w:szCs w:val="21"/>
              </w:rPr>
              <w:t>类型</w:t>
            </w:r>
          </w:p>
        </w:tc>
        <w:tc>
          <w:tcPr>
            <w:tcW w:w="3261" w:type="dxa"/>
          </w:tcPr>
          <w:p>
            <w:pPr>
              <w:jc w:val="center"/>
              <w:rPr>
                <w:rFonts w:hint="eastAsia" w:ascii="楷体" w:hAnsi="楷体" w:eastAsia="楷体" w:cs="楷体"/>
                <w:sz w:val="21"/>
                <w:szCs w:val="21"/>
              </w:rPr>
            </w:pPr>
            <w:r>
              <w:rPr>
                <w:rFonts w:hint="eastAsia" w:ascii="楷体" w:hAnsi="楷体" w:eastAsia="楷体" w:cs="楷体"/>
                <w:sz w:val="21"/>
                <w:szCs w:val="21"/>
              </w:rPr>
              <w:t>研究目的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7" w:type="dxa"/>
            <w:vAlign w:val="top"/>
          </w:tcPr>
          <w:p>
            <w:pPr>
              <w:jc w:val="center"/>
              <w:rPr>
                <w:rFonts w:hint="eastAsia" w:ascii="楷体" w:hAnsi="楷体" w:eastAsia="楷体" w:cs="楷体"/>
                <w:sz w:val="21"/>
                <w:szCs w:val="21"/>
              </w:rPr>
            </w:pPr>
          </w:p>
          <w:p>
            <w:pPr>
              <w:jc w:val="center"/>
              <w:rPr>
                <w:rFonts w:hint="eastAsia" w:ascii="楷体" w:hAnsi="楷体" w:eastAsia="楷体" w:cs="楷体"/>
                <w:sz w:val="21"/>
                <w:szCs w:val="21"/>
              </w:rPr>
            </w:pPr>
            <w:r>
              <w:rPr>
                <w:rFonts w:hint="eastAsia" w:ascii="楷体" w:hAnsi="楷体" w:eastAsia="楷体" w:cs="楷体"/>
                <w:sz w:val="21"/>
                <w:szCs w:val="21"/>
              </w:rPr>
              <w:t>2021.9.14</w:t>
            </w:r>
          </w:p>
          <w:p>
            <w:pPr>
              <w:jc w:val="center"/>
              <w:rPr>
                <w:rFonts w:hint="eastAsia" w:ascii="楷体" w:hAnsi="楷体" w:eastAsia="楷体" w:cs="楷体"/>
                <w:kern w:val="2"/>
                <w:sz w:val="21"/>
                <w:szCs w:val="21"/>
                <w:lang w:val="en-US" w:eastAsia="zh-CN" w:bidi="ar-SA"/>
              </w:rPr>
            </w:pPr>
          </w:p>
        </w:tc>
        <w:tc>
          <w:tcPr>
            <w:tcW w:w="1178"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高一14班</w:t>
            </w:r>
          </w:p>
        </w:tc>
        <w:tc>
          <w:tcPr>
            <w:tcW w:w="957"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曹辉</w:t>
            </w:r>
          </w:p>
        </w:tc>
        <w:tc>
          <w:tcPr>
            <w:tcW w:w="906"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充分条件，必要条件</w:t>
            </w:r>
          </w:p>
        </w:tc>
        <w:tc>
          <w:tcPr>
            <w:tcW w:w="953"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聚焦课堂</w:t>
            </w:r>
          </w:p>
        </w:tc>
        <w:tc>
          <w:tcPr>
            <w:tcW w:w="3261"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探究新授课概念间的多元联系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7" w:type="dxa"/>
          </w:tcPr>
          <w:p>
            <w:pPr>
              <w:jc w:val="center"/>
              <w:rPr>
                <w:rFonts w:hint="eastAsia" w:ascii="楷体" w:hAnsi="楷体" w:eastAsia="楷体" w:cs="楷体"/>
                <w:sz w:val="21"/>
                <w:szCs w:val="21"/>
              </w:rPr>
            </w:pPr>
            <w:r>
              <w:rPr>
                <w:rFonts w:hint="eastAsia" w:ascii="楷体" w:hAnsi="楷体" w:eastAsia="楷体" w:cs="楷体"/>
                <w:sz w:val="21"/>
                <w:szCs w:val="21"/>
              </w:rPr>
              <w:t>2021.9.23</w:t>
            </w:r>
          </w:p>
        </w:tc>
        <w:tc>
          <w:tcPr>
            <w:tcW w:w="1178" w:type="dxa"/>
          </w:tcPr>
          <w:p>
            <w:pPr>
              <w:jc w:val="center"/>
              <w:rPr>
                <w:rFonts w:hint="eastAsia" w:ascii="楷体" w:hAnsi="楷体" w:eastAsia="楷体" w:cs="楷体"/>
                <w:sz w:val="21"/>
                <w:szCs w:val="21"/>
              </w:rPr>
            </w:pPr>
            <w:r>
              <w:rPr>
                <w:rFonts w:hint="eastAsia" w:ascii="楷体" w:hAnsi="楷体" w:eastAsia="楷体" w:cs="楷体"/>
                <w:sz w:val="21"/>
                <w:szCs w:val="21"/>
              </w:rPr>
              <w:t>高一6班</w:t>
            </w:r>
          </w:p>
        </w:tc>
        <w:tc>
          <w:tcPr>
            <w:tcW w:w="957" w:type="dxa"/>
          </w:tcPr>
          <w:p>
            <w:pPr>
              <w:jc w:val="center"/>
              <w:rPr>
                <w:rFonts w:hint="eastAsia" w:ascii="楷体" w:hAnsi="楷体" w:eastAsia="楷体" w:cs="楷体"/>
                <w:sz w:val="21"/>
                <w:szCs w:val="21"/>
              </w:rPr>
            </w:pPr>
            <w:r>
              <w:rPr>
                <w:rFonts w:hint="eastAsia" w:ascii="楷体" w:hAnsi="楷体" w:eastAsia="楷体" w:cs="楷体"/>
                <w:sz w:val="21"/>
                <w:szCs w:val="21"/>
              </w:rPr>
              <w:t>谢婷</w:t>
            </w:r>
          </w:p>
        </w:tc>
        <w:tc>
          <w:tcPr>
            <w:tcW w:w="906" w:type="dxa"/>
          </w:tcPr>
          <w:p>
            <w:pPr>
              <w:jc w:val="center"/>
              <w:rPr>
                <w:rFonts w:hint="eastAsia" w:ascii="楷体" w:hAnsi="楷体" w:eastAsia="楷体" w:cs="楷体"/>
                <w:sz w:val="21"/>
                <w:szCs w:val="21"/>
              </w:rPr>
            </w:pPr>
            <w:r>
              <w:rPr>
                <w:rFonts w:hint="eastAsia" w:ascii="楷体" w:hAnsi="楷体" w:eastAsia="楷体" w:cs="楷体"/>
                <w:sz w:val="21"/>
                <w:szCs w:val="21"/>
              </w:rPr>
              <w:t>基本不等式</w:t>
            </w:r>
          </w:p>
        </w:tc>
        <w:tc>
          <w:tcPr>
            <w:tcW w:w="953" w:type="dxa"/>
          </w:tcPr>
          <w:p>
            <w:pPr>
              <w:jc w:val="center"/>
              <w:rPr>
                <w:rFonts w:hint="eastAsia" w:ascii="楷体" w:hAnsi="楷体" w:eastAsia="楷体" w:cs="楷体"/>
                <w:sz w:val="21"/>
                <w:szCs w:val="21"/>
              </w:rPr>
            </w:pPr>
            <w:r>
              <w:rPr>
                <w:rFonts w:hint="eastAsia" w:ascii="楷体" w:hAnsi="楷体" w:eastAsia="楷体" w:cs="楷体"/>
                <w:sz w:val="21"/>
                <w:szCs w:val="21"/>
              </w:rPr>
              <w:t>聚焦课堂</w:t>
            </w:r>
          </w:p>
        </w:tc>
        <w:tc>
          <w:tcPr>
            <w:tcW w:w="3261" w:type="dxa"/>
          </w:tcPr>
          <w:p>
            <w:pPr>
              <w:jc w:val="center"/>
              <w:rPr>
                <w:rFonts w:hint="eastAsia" w:ascii="楷体" w:hAnsi="楷体" w:eastAsia="楷体" w:cs="楷体"/>
                <w:sz w:val="21"/>
                <w:szCs w:val="21"/>
              </w:rPr>
            </w:pPr>
            <w:r>
              <w:rPr>
                <w:rFonts w:hint="eastAsia" w:ascii="楷体" w:hAnsi="楷体" w:eastAsia="楷体" w:cs="楷体"/>
                <w:sz w:val="21"/>
                <w:szCs w:val="21"/>
              </w:rPr>
              <w:t>了解基本不等式的应用</w:t>
            </w:r>
          </w:p>
          <w:p>
            <w:pPr>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7" w:type="dxa"/>
            <w:vAlign w:val="top"/>
          </w:tcPr>
          <w:p>
            <w:pPr>
              <w:jc w:val="center"/>
              <w:rPr>
                <w:rFonts w:hint="eastAsia" w:ascii="楷体" w:hAnsi="楷体" w:eastAsia="楷体" w:cs="楷体"/>
                <w:sz w:val="21"/>
                <w:szCs w:val="21"/>
              </w:rPr>
            </w:pPr>
          </w:p>
          <w:p>
            <w:pPr>
              <w:jc w:val="center"/>
              <w:rPr>
                <w:rFonts w:hint="eastAsia" w:ascii="楷体" w:hAnsi="楷体" w:eastAsia="楷体" w:cs="楷体"/>
                <w:sz w:val="21"/>
                <w:szCs w:val="21"/>
              </w:rPr>
            </w:pPr>
            <w:r>
              <w:rPr>
                <w:rFonts w:hint="eastAsia" w:ascii="楷体" w:hAnsi="楷体" w:eastAsia="楷体" w:cs="楷体"/>
                <w:sz w:val="21"/>
                <w:szCs w:val="21"/>
              </w:rPr>
              <w:t>2021.11.19</w:t>
            </w:r>
          </w:p>
          <w:p>
            <w:pPr>
              <w:jc w:val="center"/>
              <w:rPr>
                <w:rFonts w:hint="eastAsia" w:ascii="楷体" w:hAnsi="楷体" w:eastAsia="楷体" w:cs="楷体"/>
                <w:kern w:val="2"/>
                <w:sz w:val="21"/>
                <w:szCs w:val="21"/>
                <w:lang w:val="en-US" w:eastAsia="zh-CN" w:bidi="ar-SA"/>
              </w:rPr>
            </w:pPr>
          </w:p>
        </w:tc>
        <w:tc>
          <w:tcPr>
            <w:tcW w:w="1178"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高一20班</w:t>
            </w:r>
          </w:p>
        </w:tc>
        <w:tc>
          <w:tcPr>
            <w:tcW w:w="957"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曹辉</w:t>
            </w:r>
          </w:p>
        </w:tc>
        <w:tc>
          <w:tcPr>
            <w:tcW w:w="906"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期中试卷讲评</w:t>
            </w:r>
          </w:p>
        </w:tc>
        <w:tc>
          <w:tcPr>
            <w:tcW w:w="953"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聚焦课堂</w:t>
            </w:r>
          </w:p>
        </w:tc>
        <w:tc>
          <w:tcPr>
            <w:tcW w:w="3261"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答题规范、技巧及思想方法总结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7" w:type="dxa"/>
          </w:tcPr>
          <w:p>
            <w:pPr>
              <w:jc w:val="center"/>
              <w:rPr>
                <w:rFonts w:hint="eastAsia" w:ascii="楷体" w:hAnsi="楷体" w:eastAsia="楷体" w:cs="楷体"/>
                <w:sz w:val="21"/>
                <w:szCs w:val="21"/>
              </w:rPr>
            </w:pPr>
            <w:r>
              <w:rPr>
                <w:rFonts w:hint="eastAsia" w:ascii="楷体" w:hAnsi="楷体" w:eastAsia="楷体" w:cs="楷体"/>
                <w:sz w:val="21"/>
                <w:szCs w:val="21"/>
              </w:rPr>
              <w:t>2021.12.7</w:t>
            </w:r>
          </w:p>
        </w:tc>
        <w:tc>
          <w:tcPr>
            <w:tcW w:w="1178" w:type="dxa"/>
          </w:tcPr>
          <w:p>
            <w:pPr>
              <w:jc w:val="center"/>
              <w:rPr>
                <w:rFonts w:hint="eastAsia" w:ascii="楷体" w:hAnsi="楷体" w:eastAsia="楷体" w:cs="楷体"/>
                <w:sz w:val="21"/>
                <w:szCs w:val="21"/>
              </w:rPr>
            </w:pPr>
            <w:r>
              <w:rPr>
                <w:rFonts w:hint="eastAsia" w:ascii="楷体" w:hAnsi="楷体" w:eastAsia="楷体" w:cs="楷体"/>
                <w:sz w:val="21"/>
                <w:szCs w:val="21"/>
              </w:rPr>
              <w:t>高一15班</w:t>
            </w:r>
          </w:p>
        </w:tc>
        <w:tc>
          <w:tcPr>
            <w:tcW w:w="957" w:type="dxa"/>
          </w:tcPr>
          <w:p>
            <w:pPr>
              <w:jc w:val="center"/>
              <w:rPr>
                <w:rFonts w:hint="eastAsia" w:ascii="楷体" w:hAnsi="楷体" w:eastAsia="楷体" w:cs="楷体"/>
                <w:sz w:val="21"/>
                <w:szCs w:val="21"/>
              </w:rPr>
            </w:pPr>
            <w:r>
              <w:rPr>
                <w:rFonts w:hint="eastAsia" w:ascii="楷体" w:hAnsi="楷体" w:eastAsia="楷体" w:cs="楷体"/>
                <w:sz w:val="21"/>
                <w:szCs w:val="21"/>
              </w:rPr>
              <w:t>陆慧洁</w:t>
            </w:r>
          </w:p>
        </w:tc>
        <w:tc>
          <w:tcPr>
            <w:tcW w:w="906" w:type="dxa"/>
          </w:tcPr>
          <w:p>
            <w:pPr>
              <w:jc w:val="center"/>
              <w:rPr>
                <w:rFonts w:hint="eastAsia" w:ascii="楷体" w:hAnsi="楷体" w:eastAsia="楷体" w:cs="楷体"/>
                <w:sz w:val="21"/>
                <w:szCs w:val="21"/>
              </w:rPr>
            </w:pPr>
            <w:r>
              <w:rPr>
                <w:rFonts w:hint="eastAsia" w:ascii="楷体" w:hAnsi="楷体" w:eastAsia="楷体" w:cs="楷体"/>
                <w:sz w:val="21"/>
                <w:szCs w:val="21"/>
              </w:rPr>
              <w:t>同角三角函数关系</w:t>
            </w:r>
          </w:p>
        </w:tc>
        <w:tc>
          <w:tcPr>
            <w:tcW w:w="953" w:type="dxa"/>
          </w:tcPr>
          <w:p>
            <w:pPr>
              <w:jc w:val="center"/>
              <w:rPr>
                <w:rFonts w:hint="eastAsia" w:ascii="楷体" w:hAnsi="楷体" w:eastAsia="楷体" w:cs="楷体"/>
                <w:sz w:val="21"/>
                <w:szCs w:val="21"/>
              </w:rPr>
            </w:pPr>
            <w:r>
              <w:rPr>
                <w:rFonts w:hint="eastAsia" w:ascii="楷体" w:hAnsi="楷体" w:eastAsia="楷体" w:cs="楷体"/>
                <w:sz w:val="21"/>
                <w:szCs w:val="21"/>
              </w:rPr>
              <w:t>聚焦课堂</w:t>
            </w:r>
          </w:p>
        </w:tc>
        <w:tc>
          <w:tcPr>
            <w:tcW w:w="3261" w:type="dxa"/>
          </w:tcPr>
          <w:p>
            <w:pPr>
              <w:jc w:val="center"/>
              <w:rPr>
                <w:rFonts w:hint="eastAsia" w:ascii="楷体" w:hAnsi="楷体" w:eastAsia="楷体" w:cs="楷体"/>
                <w:sz w:val="21"/>
                <w:szCs w:val="21"/>
              </w:rPr>
            </w:pPr>
            <w:r>
              <w:rPr>
                <w:rFonts w:hint="eastAsia" w:ascii="楷体" w:hAnsi="楷体" w:eastAsia="楷体" w:cs="楷体"/>
                <w:sz w:val="21"/>
                <w:szCs w:val="21"/>
              </w:rPr>
              <w:t>掌握同角三角函数关系式的推导及应用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7"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2021.12.23</w:t>
            </w:r>
          </w:p>
        </w:tc>
        <w:tc>
          <w:tcPr>
            <w:tcW w:w="1178"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高一17班</w:t>
            </w:r>
          </w:p>
        </w:tc>
        <w:tc>
          <w:tcPr>
            <w:tcW w:w="957"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刘天程</w:t>
            </w:r>
          </w:p>
        </w:tc>
        <w:tc>
          <w:tcPr>
            <w:tcW w:w="906"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三角函数的图象与性质</w:t>
            </w:r>
          </w:p>
        </w:tc>
        <w:tc>
          <w:tcPr>
            <w:tcW w:w="953" w:type="dxa"/>
            <w:vAlign w:val="top"/>
          </w:tcPr>
          <w:p>
            <w:pPr>
              <w:jc w:val="cente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市级公开课</w:t>
            </w:r>
          </w:p>
        </w:tc>
        <w:tc>
          <w:tcPr>
            <w:tcW w:w="3261" w:type="dxa"/>
            <w:vAlign w:val="top"/>
          </w:tcPr>
          <w:p>
            <w:pPr>
              <w:jc w:val="center"/>
              <w:rPr>
                <w:rFonts w:hint="eastAsia" w:ascii="楷体" w:hAnsi="楷体" w:eastAsia="楷体" w:cs="楷体"/>
                <w:sz w:val="21"/>
                <w:szCs w:val="21"/>
              </w:rPr>
            </w:pPr>
            <w:r>
              <w:rPr>
                <w:rFonts w:hint="eastAsia" w:ascii="楷体" w:hAnsi="楷体" w:eastAsia="楷体" w:cs="楷体"/>
                <w:sz w:val="21"/>
                <w:szCs w:val="21"/>
              </w:rPr>
              <w:t>在理解的基础上，探究新授课知识的本源</w:t>
            </w:r>
          </w:p>
          <w:p>
            <w:pPr>
              <w:jc w:val="center"/>
              <w:rPr>
                <w:rFonts w:hint="eastAsia" w:ascii="楷体" w:hAnsi="楷体" w:eastAsia="楷体" w:cs="楷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7" w:type="dxa"/>
          </w:tcPr>
          <w:p>
            <w:pPr>
              <w:jc w:val="center"/>
              <w:rPr>
                <w:rFonts w:hint="eastAsia" w:ascii="楷体" w:hAnsi="楷体" w:eastAsia="楷体" w:cs="楷体"/>
                <w:sz w:val="21"/>
                <w:szCs w:val="21"/>
              </w:rPr>
            </w:pPr>
            <w:r>
              <w:rPr>
                <w:rFonts w:hint="eastAsia" w:ascii="楷体" w:hAnsi="楷体" w:eastAsia="楷体" w:cs="楷体"/>
                <w:sz w:val="21"/>
                <w:szCs w:val="21"/>
              </w:rPr>
              <w:t>2021.12.28</w:t>
            </w:r>
          </w:p>
        </w:tc>
        <w:tc>
          <w:tcPr>
            <w:tcW w:w="1178" w:type="dxa"/>
          </w:tcPr>
          <w:p>
            <w:pPr>
              <w:jc w:val="center"/>
              <w:rPr>
                <w:rFonts w:hint="eastAsia" w:ascii="楷体" w:hAnsi="楷体" w:eastAsia="楷体" w:cs="楷体"/>
                <w:sz w:val="21"/>
                <w:szCs w:val="21"/>
              </w:rPr>
            </w:pPr>
            <w:r>
              <w:rPr>
                <w:rFonts w:hint="eastAsia" w:ascii="楷体" w:hAnsi="楷体" w:eastAsia="楷体" w:cs="楷体"/>
                <w:sz w:val="21"/>
                <w:szCs w:val="21"/>
              </w:rPr>
              <w:t>高一7班</w:t>
            </w:r>
          </w:p>
        </w:tc>
        <w:tc>
          <w:tcPr>
            <w:tcW w:w="957" w:type="dxa"/>
          </w:tcPr>
          <w:p>
            <w:pPr>
              <w:jc w:val="center"/>
              <w:rPr>
                <w:rFonts w:hint="eastAsia" w:ascii="楷体" w:hAnsi="楷体" w:eastAsia="楷体" w:cs="楷体"/>
                <w:sz w:val="21"/>
                <w:szCs w:val="21"/>
              </w:rPr>
            </w:pPr>
            <w:r>
              <w:rPr>
                <w:rFonts w:hint="eastAsia" w:ascii="楷体" w:hAnsi="楷体" w:eastAsia="楷体" w:cs="楷体"/>
                <w:sz w:val="21"/>
                <w:szCs w:val="21"/>
              </w:rPr>
              <w:t>谢婷</w:t>
            </w:r>
          </w:p>
        </w:tc>
        <w:tc>
          <w:tcPr>
            <w:tcW w:w="906" w:type="dxa"/>
          </w:tcPr>
          <w:p>
            <w:pPr>
              <w:jc w:val="center"/>
              <w:rPr>
                <w:rFonts w:hint="eastAsia" w:ascii="楷体" w:hAnsi="楷体" w:eastAsia="楷体" w:cs="楷体"/>
                <w:sz w:val="21"/>
                <w:szCs w:val="21"/>
              </w:rPr>
            </w:pPr>
            <w:r>
              <w:rPr>
                <w:rFonts w:hint="eastAsia" w:ascii="楷体" w:hAnsi="楷体" w:eastAsia="楷体" w:cs="楷体"/>
                <w:sz w:val="21"/>
                <w:szCs w:val="21"/>
              </w:rPr>
              <w:t>函数的零点</w:t>
            </w:r>
          </w:p>
        </w:tc>
        <w:tc>
          <w:tcPr>
            <w:tcW w:w="953" w:type="dxa"/>
          </w:tcPr>
          <w:p>
            <w:pPr>
              <w:jc w:val="center"/>
              <w:rPr>
                <w:rFonts w:hint="eastAsia" w:ascii="楷体" w:hAnsi="楷体" w:eastAsia="楷体" w:cs="楷体"/>
                <w:sz w:val="21"/>
                <w:szCs w:val="21"/>
              </w:rPr>
            </w:pPr>
            <w:r>
              <w:rPr>
                <w:rFonts w:hint="eastAsia" w:ascii="楷体" w:hAnsi="楷体" w:eastAsia="楷体" w:cs="楷体"/>
                <w:sz w:val="21"/>
                <w:szCs w:val="21"/>
              </w:rPr>
              <w:t>聚焦课堂</w:t>
            </w:r>
          </w:p>
        </w:tc>
        <w:tc>
          <w:tcPr>
            <w:tcW w:w="3261" w:type="dxa"/>
          </w:tcPr>
          <w:p>
            <w:pPr>
              <w:jc w:val="center"/>
              <w:rPr>
                <w:rFonts w:hint="eastAsia" w:ascii="楷体" w:hAnsi="楷体" w:eastAsia="楷体" w:cs="楷体"/>
                <w:sz w:val="21"/>
                <w:szCs w:val="21"/>
              </w:rPr>
            </w:pPr>
            <w:r>
              <w:rPr>
                <w:rFonts w:hint="eastAsia" w:ascii="楷体" w:hAnsi="楷体" w:eastAsia="楷体" w:cs="楷体"/>
                <w:sz w:val="21"/>
                <w:szCs w:val="21"/>
              </w:rPr>
              <w:t>了解函数零点与方程根的关系及零点存在性定理，体会并理解函数与方程相互转化的数学思想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7" w:type="dxa"/>
          </w:tcPr>
          <w:p>
            <w:pPr>
              <w:jc w:val="center"/>
              <w:rPr>
                <w:rFonts w:hint="eastAsia" w:ascii="楷体" w:hAnsi="楷体" w:eastAsia="楷体" w:cs="楷体"/>
                <w:sz w:val="21"/>
                <w:szCs w:val="21"/>
              </w:rPr>
            </w:pPr>
            <w:r>
              <w:rPr>
                <w:rFonts w:hint="eastAsia" w:ascii="楷体" w:hAnsi="楷体" w:eastAsia="楷体" w:cs="楷体"/>
                <w:sz w:val="21"/>
                <w:szCs w:val="21"/>
              </w:rPr>
              <w:t>2021.12.28</w:t>
            </w:r>
          </w:p>
        </w:tc>
        <w:tc>
          <w:tcPr>
            <w:tcW w:w="1178" w:type="dxa"/>
          </w:tcPr>
          <w:p>
            <w:pPr>
              <w:jc w:val="center"/>
              <w:rPr>
                <w:rFonts w:hint="eastAsia" w:ascii="楷体" w:hAnsi="楷体" w:eastAsia="楷体" w:cs="楷体"/>
                <w:sz w:val="21"/>
                <w:szCs w:val="21"/>
              </w:rPr>
            </w:pPr>
            <w:r>
              <w:rPr>
                <w:rFonts w:hint="eastAsia" w:ascii="楷体" w:hAnsi="楷体" w:eastAsia="楷体" w:cs="楷体"/>
                <w:sz w:val="21"/>
                <w:szCs w:val="21"/>
              </w:rPr>
              <w:t>高一15班</w:t>
            </w:r>
          </w:p>
        </w:tc>
        <w:tc>
          <w:tcPr>
            <w:tcW w:w="957" w:type="dxa"/>
          </w:tcPr>
          <w:p>
            <w:pPr>
              <w:jc w:val="center"/>
              <w:rPr>
                <w:rFonts w:hint="eastAsia" w:ascii="楷体" w:hAnsi="楷体" w:eastAsia="楷体" w:cs="楷体"/>
                <w:sz w:val="21"/>
                <w:szCs w:val="21"/>
              </w:rPr>
            </w:pPr>
            <w:r>
              <w:rPr>
                <w:rFonts w:hint="eastAsia" w:ascii="楷体" w:hAnsi="楷体" w:eastAsia="楷体" w:cs="楷体"/>
                <w:sz w:val="21"/>
                <w:szCs w:val="21"/>
              </w:rPr>
              <w:t>陆慧洁</w:t>
            </w:r>
          </w:p>
        </w:tc>
        <w:tc>
          <w:tcPr>
            <w:tcW w:w="906" w:type="dxa"/>
          </w:tcPr>
          <w:p>
            <w:pPr>
              <w:jc w:val="center"/>
              <w:rPr>
                <w:rFonts w:hint="eastAsia" w:ascii="楷体" w:hAnsi="楷体" w:eastAsia="楷体" w:cs="楷体"/>
                <w:sz w:val="21"/>
                <w:szCs w:val="21"/>
              </w:rPr>
            </w:pPr>
            <w:r>
              <w:rPr>
                <w:rFonts w:hint="eastAsia" w:ascii="楷体" w:hAnsi="楷体" w:eastAsia="楷体" w:cs="楷体"/>
                <w:sz w:val="21"/>
                <w:szCs w:val="21"/>
              </w:rPr>
              <w:t>函数的零点</w:t>
            </w:r>
          </w:p>
        </w:tc>
        <w:tc>
          <w:tcPr>
            <w:tcW w:w="953" w:type="dxa"/>
          </w:tcPr>
          <w:p>
            <w:pPr>
              <w:jc w:val="center"/>
              <w:rPr>
                <w:rFonts w:hint="eastAsia" w:ascii="楷体" w:hAnsi="楷体" w:eastAsia="楷体" w:cs="楷体"/>
                <w:sz w:val="21"/>
                <w:szCs w:val="21"/>
              </w:rPr>
            </w:pPr>
            <w:r>
              <w:rPr>
                <w:rFonts w:hint="eastAsia" w:ascii="楷体" w:hAnsi="楷体" w:eastAsia="楷体" w:cs="楷体"/>
                <w:sz w:val="21"/>
                <w:szCs w:val="21"/>
              </w:rPr>
              <w:t>聚焦课堂</w:t>
            </w:r>
          </w:p>
        </w:tc>
        <w:tc>
          <w:tcPr>
            <w:tcW w:w="3261" w:type="dxa"/>
          </w:tcPr>
          <w:p>
            <w:pPr>
              <w:jc w:val="center"/>
              <w:rPr>
                <w:rFonts w:hint="eastAsia" w:ascii="楷体" w:hAnsi="楷体" w:eastAsia="楷体" w:cs="楷体"/>
                <w:sz w:val="21"/>
                <w:szCs w:val="21"/>
              </w:rPr>
            </w:pPr>
            <w:r>
              <w:rPr>
                <w:rFonts w:hint="eastAsia" w:ascii="楷体" w:hAnsi="楷体" w:eastAsia="楷体" w:cs="楷体"/>
                <w:sz w:val="21"/>
                <w:szCs w:val="21"/>
              </w:rPr>
              <w:t>了解函数零点与方程根的关系及零点存在性定理，体会并理解函数与方程相互转化的数学思想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67" w:type="dxa"/>
          </w:tcPr>
          <w:p>
            <w:pPr>
              <w:jc w:val="center"/>
              <w:rPr>
                <w:rFonts w:hint="eastAsia" w:ascii="楷体" w:hAnsi="楷体" w:eastAsia="楷体" w:cs="楷体"/>
                <w:sz w:val="21"/>
                <w:szCs w:val="21"/>
              </w:rPr>
            </w:pPr>
            <w:r>
              <w:rPr>
                <w:rFonts w:hint="eastAsia" w:ascii="楷体" w:hAnsi="楷体" w:eastAsia="楷体" w:cs="楷体"/>
                <w:sz w:val="21"/>
                <w:szCs w:val="21"/>
              </w:rPr>
              <w:t>2021.12.28</w:t>
            </w:r>
          </w:p>
        </w:tc>
        <w:tc>
          <w:tcPr>
            <w:tcW w:w="1178" w:type="dxa"/>
          </w:tcPr>
          <w:p>
            <w:pPr>
              <w:jc w:val="center"/>
              <w:rPr>
                <w:rFonts w:hint="eastAsia" w:ascii="楷体" w:hAnsi="楷体" w:eastAsia="楷体" w:cs="楷体"/>
                <w:sz w:val="21"/>
                <w:szCs w:val="21"/>
              </w:rPr>
            </w:pPr>
            <w:r>
              <w:rPr>
                <w:rFonts w:hint="eastAsia" w:ascii="楷体" w:hAnsi="楷体" w:eastAsia="楷体" w:cs="楷体"/>
                <w:sz w:val="21"/>
                <w:szCs w:val="21"/>
              </w:rPr>
              <w:t>戚墅堰实验中学高一3班</w:t>
            </w:r>
          </w:p>
        </w:tc>
        <w:tc>
          <w:tcPr>
            <w:tcW w:w="957" w:type="dxa"/>
          </w:tcPr>
          <w:p>
            <w:pPr>
              <w:jc w:val="center"/>
              <w:rPr>
                <w:rFonts w:hint="eastAsia" w:ascii="楷体" w:hAnsi="楷体" w:eastAsia="楷体" w:cs="楷体"/>
                <w:sz w:val="21"/>
                <w:szCs w:val="21"/>
              </w:rPr>
            </w:pPr>
            <w:r>
              <w:rPr>
                <w:rFonts w:hint="eastAsia" w:ascii="楷体" w:hAnsi="楷体" w:eastAsia="楷体" w:cs="楷体"/>
                <w:sz w:val="21"/>
                <w:szCs w:val="21"/>
              </w:rPr>
              <w:t>杨晓芳</w:t>
            </w:r>
          </w:p>
        </w:tc>
        <w:tc>
          <w:tcPr>
            <w:tcW w:w="906" w:type="dxa"/>
          </w:tcPr>
          <w:p>
            <w:pPr>
              <w:jc w:val="center"/>
              <w:rPr>
                <w:rFonts w:hint="eastAsia" w:ascii="楷体" w:hAnsi="楷体" w:eastAsia="楷体" w:cs="楷体"/>
                <w:sz w:val="21"/>
                <w:szCs w:val="21"/>
              </w:rPr>
            </w:pPr>
            <w:r>
              <w:rPr>
                <w:rFonts w:hint="eastAsia" w:ascii="楷体" w:hAnsi="楷体" w:eastAsia="楷体" w:cs="楷体"/>
                <w:sz w:val="21"/>
                <w:szCs w:val="21"/>
              </w:rPr>
              <w:t>函数零点</w:t>
            </w:r>
          </w:p>
        </w:tc>
        <w:tc>
          <w:tcPr>
            <w:tcW w:w="953" w:type="dxa"/>
          </w:tcPr>
          <w:p>
            <w:pPr>
              <w:jc w:val="center"/>
              <w:rPr>
                <w:rFonts w:hint="eastAsia" w:ascii="楷体" w:hAnsi="楷体" w:eastAsia="楷体" w:cs="楷体"/>
                <w:sz w:val="21"/>
                <w:szCs w:val="21"/>
              </w:rPr>
            </w:pPr>
            <w:r>
              <w:rPr>
                <w:rFonts w:hint="eastAsia" w:ascii="楷体" w:hAnsi="楷体" w:eastAsia="楷体" w:cs="楷体"/>
                <w:sz w:val="21"/>
                <w:szCs w:val="21"/>
              </w:rPr>
              <w:t>市级公开课</w:t>
            </w:r>
          </w:p>
        </w:tc>
        <w:tc>
          <w:tcPr>
            <w:tcW w:w="3261" w:type="dxa"/>
          </w:tcPr>
          <w:p>
            <w:pPr>
              <w:jc w:val="center"/>
              <w:rPr>
                <w:rFonts w:hint="eastAsia" w:ascii="楷体" w:hAnsi="楷体" w:eastAsia="楷体" w:cs="楷体"/>
                <w:sz w:val="21"/>
                <w:szCs w:val="21"/>
              </w:rPr>
            </w:pPr>
            <w:r>
              <w:rPr>
                <w:rFonts w:hint="eastAsia" w:ascii="楷体" w:hAnsi="楷体" w:eastAsia="楷体" w:cs="楷体"/>
                <w:sz w:val="21"/>
                <w:szCs w:val="21"/>
              </w:rPr>
              <w:t>双减背景下基于理解的新授课问题设计</w:t>
            </w:r>
          </w:p>
          <w:p>
            <w:pPr>
              <w:jc w:val="center"/>
              <w:rPr>
                <w:rFonts w:hint="eastAsia" w:ascii="楷体" w:hAnsi="楷体" w:eastAsia="楷体" w:cs="楷体"/>
                <w:sz w:val="21"/>
                <w:szCs w:val="21"/>
              </w:rPr>
            </w:pPr>
          </w:p>
          <w:p>
            <w:pPr>
              <w:jc w:val="center"/>
              <w:rPr>
                <w:rFonts w:hint="eastAsia" w:ascii="楷体" w:hAnsi="楷体" w:eastAsia="楷体" w:cs="楷体"/>
                <w:sz w:val="21"/>
                <w:szCs w:val="21"/>
              </w:rPr>
            </w:pPr>
          </w:p>
        </w:tc>
      </w:tr>
    </w:tbl>
    <w:p>
      <w:pPr>
        <w:rPr>
          <w:rFonts w:hint="eastAsia" w:ascii="楷体" w:hAnsi="楷体" w:eastAsia="楷体" w:cs="楷体"/>
          <w:sz w:val="21"/>
          <w:szCs w:val="21"/>
        </w:rPr>
      </w:pPr>
      <w:r>
        <w:rPr>
          <w:rFonts w:hint="eastAsia" w:ascii="楷体" w:hAnsi="楷体" w:eastAsia="楷体" w:cs="楷体"/>
          <w:sz w:val="21"/>
          <w:szCs w:val="21"/>
        </w:rPr>
        <w:t>（2）论文</w:t>
      </w:r>
      <w:r>
        <w:rPr>
          <w:rFonts w:hint="eastAsia" w:ascii="楷体" w:hAnsi="楷体" w:eastAsia="楷体" w:cs="楷体"/>
          <w:sz w:val="21"/>
          <w:szCs w:val="21"/>
          <w:lang w:val="en-US" w:eastAsia="zh-Hans"/>
        </w:rPr>
        <w:t>发表情况</w:t>
      </w:r>
    </w:p>
    <w:tbl>
      <w:tblPr>
        <w:tblStyle w:val="4"/>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1276"/>
        <w:gridCol w:w="1134"/>
        <w:gridCol w:w="85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0" w:type="dxa"/>
          </w:tcPr>
          <w:p>
            <w:pPr>
              <w:rPr>
                <w:rFonts w:hint="eastAsia" w:ascii="楷体" w:hAnsi="楷体" w:eastAsia="楷体" w:cs="楷体"/>
                <w:sz w:val="21"/>
                <w:szCs w:val="21"/>
              </w:rPr>
            </w:pPr>
            <w:r>
              <w:rPr>
                <w:rFonts w:hint="eastAsia" w:ascii="楷体" w:hAnsi="楷体" w:eastAsia="楷体" w:cs="楷体"/>
                <w:sz w:val="21"/>
                <w:szCs w:val="21"/>
              </w:rPr>
              <w:t>论文题目</w:t>
            </w: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杂志名称</w:t>
            </w:r>
          </w:p>
        </w:tc>
        <w:tc>
          <w:tcPr>
            <w:tcW w:w="1134" w:type="dxa"/>
          </w:tcPr>
          <w:p>
            <w:pPr>
              <w:rPr>
                <w:rFonts w:hint="eastAsia" w:ascii="楷体" w:hAnsi="楷体" w:eastAsia="楷体" w:cs="楷体"/>
                <w:sz w:val="21"/>
                <w:szCs w:val="21"/>
              </w:rPr>
            </w:pPr>
            <w:r>
              <w:rPr>
                <w:rFonts w:hint="eastAsia" w:ascii="楷体" w:hAnsi="楷体" w:eastAsia="楷体" w:cs="楷体"/>
                <w:sz w:val="21"/>
                <w:szCs w:val="21"/>
              </w:rPr>
              <w:t>发表时间</w:t>
            </w:r>
          </w:p>
        </w:tc>
        <w:tc>
          <w:tcPr>
            <w:tcW w:w="851" w:type="dxa"/>
          </w:tcPr>
          <w:p>
            <w:pPr>
              <w:rPr>
                <w:rFonts w:hint="eastAsia" w:ascii="楷体" w:hAnsi="楷体" w:eastAsia="楷体" w:cs="楷体"/>
                <w:sz w:val="21"/>
                <w:szCs w:val="21"/>
              </w:rPr>
            </w:pPr>
            <w:r>
              <w:rPr>
                <w:rFonts w:hint="eastAsia" w:ascii="楷体" w:hAnsi="楷体" w:eastAsia="楷体" w:cs="楷体"/>
                <w:sz w:val="21"/>
                <w:szCs w:val="21"/>
              </w:rPr>
              <w:t>姓名</w:t>
            </w:r>
          </w:p>
        </w:tc>
        <w:tc>
          <w:tcPr>
            <w:tcW w:w="1701" w:type="dxa"/>
          </w:tcPr>
          <w:p>
            <w:pPr>
              <w:rPr>
                <w:rFonts w:hint="eastAsia" w:ascii="楷体" w:hAnsi="楷体" w:eastAsia="楷体" w:cs="楷体"/>
                <w:sz w:val="21"/>
                <w:szCs w:val="21"/>
              </w:rPr>
            </w:pPr>
            <w:r>
              <w:rPr>
                <w:rFonts w:hint="eastAsia" w:ascii="楷体" w:hAnsi="楷体" w:eastAsia="楷体" w:cs="楷体"/>
                <w:sz w:val="21"/>
                <w:szCs w:val="21"/>
              </w:rPr>
              <w:t>论文级别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0" w:type="dxa"/>
          </w:tcPr>
          <w:p>
            <w:pPr>
              <w:rPr>
                <w:rFonts w:hint="eastAsia" w:ascii="楷体" w:hAnsi="楷体" w:eastAsia="楷体" w:cs="楷体"/>
                <w:sz w:val="21"/>
                <w:szCs w:val="21"/>
              </w:rPr>
            </w:pPr>
            <w:r>
              <w:rPr>
                <w:rFonts w:hint="eastAsia" w:ascii="楷体" w:hAnsi="楷体" w:eastAsia="楷体" w:cs="楷体"/>
                <w:sz w:val="21"/>
                <w:szCs w:val="21"/>
              </w:rPr>
              <w:t>“细嚼慢咽”渗思想 问题设计提能力</w:t>
            </w:r>
          </w:p>
          <w:p>
            <w:pPr>
              <w:rPr>
                <w:rFonts w:hint="eastAsia" w:ascii="楷体" w:hAnsi="楷体" w:eastAsia="楷体" w:cs="楷体"/>
                <w:sz w:val="21"/>
                <w:szCs w:val="21"/>
              </w:rPr>
            </w:pP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数学通讯</w:t>
            </w:r>
          </w:p>
        </w:tc>
        <w:tc>
          <w:tcPr>
            <w:tcW w:w="1134" w:type="dxa"/>
          </w:tcPr>
          <w:p>
            <w:pPr>
              <w:rPr>
                <w:rFonts w:hint="eastAsia" w:ascii="楷体" w:hAnsi="楷体" w:eastAsia="楷体" w:cs="楷体"/>
                <w:sz w:val="21"/>
                <w:szCs w:val="21"/>
              </w:rPr>
            </w:pPr>
            <w:r>
              <w:rPr>
                <w:rFonts w:hint="eastAsia" w:ascii="楷体" w:hAnsi="楷体" w:eastAsia="楷体" w:cs="楷体"/>
                <w:sz w:val="21"/>
                <w:szCs w:val="21"/>
              </w:rPr>
              <w:t>2021.10</w:t>
            </w:r>
          </w:p>
        </w:tc>
        <w:tc>
          <w:tcPr>
            <w:tcW w:w="851" w:type="dxa"/>
          </w:tcPr>
          <w:p>
            <w:pPr>
              <w:rPr>
                <w:rFonts w:hint="eastAsia" w:ascii="楷体" w:hAnsi="楷体" w:eastAsia="楷体" w:cs="楷体"/>
                <w:sz w:val="21"/>
                <w:szCs w:val="21"/>
              </w:rPr>
            </w:pPr>
            <w:r>
              <w:rPr>
                <w:rFonts w:hint="eastAsia" w:ascii="楷体" w:hAnsi="楷体" w:eastAsia="楷体" w:cs="楷体"/>
                <w:sz w:val="21"/>
                <w:szCs w:val="21"/>
              </w:rPr>
              <w:t>曹辉</w:t>
            </w:r>
          </w:p>
        </w:tc>
        <w:tc>
          <w:tcPr>
            <w:tcW w:w="1701" w:type="dxa"/>
          </w:tcPr>
          <w:p>
            <w:pPr>
              <w:rPr>
                <w:rFonts w:hint="eastAsia" w:ascii="楷体" w:hAnsi="楷体" w:eastAsia="楷体" w:cs="楷体"/>
                <w:sz w:val="21"/>
                <w:szCs w:val="21"/>
              </w:rPr>
            </w:pPr>
            <w:r>
              <w:rPr>
                <w:rFonts w:hint="eastAsia" w:ascii="楷体" w:hAnsi="楷体" w:eastAsia="楷体" w:cs="楷体"/>
                <w:sz w:val="21"/>
                <w:szCs w:val="21"/>
              </w:rPr>
              <w:t>国家级核心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10" w:type="dxa"/>
          </w:tcPr>
          <w:p>
            <w:pPr>
              <w:rPr>
                <w:rFonts w:hint="eastAsia" w:ascii="楷体" w:hAnsi="楷体" w:eastAsia="楷体" w:cs="楷体"/>
                <w:sz w:val="21"/>
                <w:szCs w:val="21"/>
              </w:rPr>
            </w:pPr>
            <w:r>
              <w:rPr>
                <w:rFonts w:hint="eastAsia" w:ascii="楷体" w:hAnsi="楷体" w:eastAsia="楷体" w:cs="楷体"/>
                <w:sz w:val="21"/>
                <w:szCs w:val="21"/>
              </w:rPr>
              <w:t>圆锥曲线中与三角形有关问题的解法</w:t>
            </w:r>
          </w:p>
        </w:tc>
        <w:tc>
          <w:tcPr>
            <w:tcW w:w="1276" w:type="dxa"/>
          </w:tcPr>
          <w:p>
            <w:pPr>
              <w:rPr>
                <w:rFonts w:hint="eastAsia" w:ascii="楷体" w:hAnsi="楷体" w:eastAsia="楷体" w:cs="楷体"/>
                <w:sz w:val="21"/>
                <w:szCs w:val="21"/>
              </w:rPr>
            </w:pPr>
            <w:r>
              <w:rPr>
                <w:rFonts w:hint="eastAsia" w:ascii="楷体" w:hAnsi="楷体" w:eastAsia="楷体" w:cs="楷体"/>
                <w:sz w:val="21"/>
                <w:szCs w:val="21"/>
              </w:rPr>
              <w:t>语数外学习</w:t>
            </w:r>
          </w:p>
        </w:tc>
        <w:tc>
          <w:tcPr>
            <w:tcW w:w="1134" w:type="dxa"/>
          </w:tcPr>
          <w:p>
            <w:pPr>
              <w:rPr>
                <w:rFonts w:hint="eastAsia" w:ascii="楷体" w:hAnsi="楷体" w:eastAsia="楷体" w:cs="楷体"/>
                <w:sz w:val="21"/>
                <w:szCs w:val="21"/>
              </w:rPr>
            </w:pPr>
            <w:r>
              <w:rPr>
                <w:rFonts w:hint="eastAsia" w:ascii="楷体" w:hAnsi="楷体" w:eastAsia="楷体" w:cs="楷体"/>
                <w:sz w:val="21"/>
                <w:szCs w:val="21"/>
              </w:rPr>
              <w:t>2021.12</w:t>
            </w:r>
          </w:p>
        </w:tc>
        <w:tc>
          <w:tcPr>
            <w:tcW w:w="851" w:type="dxa"/>
          </w:tcPr>
          <w:p>
            <w:pPr>
              <w:rPr>
                <w:rFonts w:hint="eastAsia" w:ascii="楷体" w:hAnsi="楷体" w:eastAsia="楷体" w:cs="楷体"/>
                <w:sz w:val="21"/>
                <w:szCs w:val="21"/>
              </w:rPr>
            </w:pPr>
            <w:r>
              <w:rPr>
                <w:rFonts w:hint="eastAsia" w:ascii="楷体" w:hAnsi="楷体" w:eastAsia="楷体" w:cs="楷体"/>
                <w:sz w:val="21"/>
                <w:szCs w:val="21"/>
              </w:rPr>
              <w:t>杨晓芳</w:t>
            </w:r>
          </w:p>
        </w:tc>
        <w:tc>
          <w:tcPr>
            <w:tcW w:w="1701" w:type="dxa"/>
          </w:tcPr>
          <w:p>
            <w:pPr>
              <w:rPr>
                <w:rFonts w:hint="eastAsia" w:ascii="楷体" w:hAnsi="楷体" w:eastAsia="楷体" w:cs="楷体"/>
                <w:sz w:val="21"/>
                <w:szCs w:val="21"/>
              </w:rPr>
            </w:pPr>
            <w:r>
              <w:rPr>
                <w:rFonts w:hint="eastAsia" w:ascii="楷体" w:hAnsi="楷体" w:eastAsia="楷体" w:cs="楷体"/>
                <w:sz w:val="21"/>
                <w:szCs w:val="21"/>
              </w:rPr>
              <w:t>省核心</w:t>
            </w:r>
          </w:p>
        </w:tc>
      </w:tr>
    </w:tbl>
    <w:p>
      <w:pPr>
        <w:rPr>
          <w:rFonts w:hint="eastAsia" w:ascii="楷体" w:hAnsi="楷体" w:eastAsia="楷体" w:cs="楷体"/>
          <w:sz w:val="21"/>
          <w:szCs w:val="21"/>
        </w:rPr>
      </w:pPr>
      <w:r>
        <w:rPr>
          <w:rFonts w:hint="eastAsia" w:ascii="楷体" w:hAnsi="楷体" w:eastAsia="楷体" w:cs="楷体"/>
          <w:sz w:val="21"/>
          <w:szCs w:val="21"/>
        </w:rPr>
        <w:t>（3）</w:t>
      </w:r>
      <w:r>
        <w:rPr>
          <w:rFonts w:hint="eastAsia" w:ascii="楷体" w:hAnsi="楷体" w:eastAsia="楷体" w:cs="楷体"/>
          <w:sz w:val="21"/>
          <w:szCs w:val="21"/>
          <w:lang w:val="en-US" w:eastAsia="zh-Hans"/>
        </w:rPr>
        <w:t>下一步</w:t>
      </w:r>
      <w:r>
        <w:rPr>
          <w:rFonts w:hint="eastAsia" w:ascii="楷体" w:hAnsi="楷体" w:eastAsia="楷体" w:cs="楷体"/>
          <w:sz w:val="21"/>
          <w:szCs w:val="21"/>
        </w:rPr>
        <w:t>研究内容</w:t>
      </w:r>
    </w:p>
    <w:p>
      <w:pPr>
        <w:rPr>
          <w:rFonts w:hint="eastAsia" w:ascii="楷体" w:hAnsi="楷体" w:eastAsia="楷体" w:cs="楷体"/>
          <w:sz w:val="21"/>
          <w:szCs w:val="21"/>
        </w:rPr>
      </w:pPr>
      <w:r>
        <w:rPr>
          <w:rFonts w:hint="eastAsia" w:ascii="楷体" w:hAnsi="楷体" w:eastAsia="楷体" w:cs="楷体"/>
          <w:sz w:val="21"/>
          <w:szCs w:val="21"/>
        </w:rPr>
        <w:t>（1）课堂教学中传统提问模式的研究，如优缺点和弊端分析.</w:t>
      </w:r>
    </w:p>
    <w:p>
      <w:pPr>
        <w:rPr>
          <w:rFonts w:hint="eastAsia" w:ascii="楷体" w:hAnsi="楷体" w:eastAsia="楷体" w:cs="楷体"/>
          <w:sz w:val="21"/>
          <w:szCs w:val="21"/>
        </w:rPr>
      </w:pPr>
      <w:r>
        <w:rPr>
          <w:rFonts w:hint="eastAsia" w:ascii="楷体" w:hAnsi="楷体" w:eastAsia="楷体" w:cs="楷体"/>
          <w:sz w:val="21"/>
          <w:szCs w:val="21"/>
        </w:rPr>
        <w:t>（2）基于理解的高效课堂“问题教学”模式的实践研究，具体开展：①理论框架研究；②教学设计的基本理念；③教学流程的结构研究；④教学案例的评价研究.</w:t>
      </w:r>
    </w:p>
    <w:p>
      <w:pPr>
        <w:rPr>
          <w:rFonts w:hint="eastAsia" w:ascii="楷体" w:hAnsi="楷体" w:eastAsia="楷体" w:cs="楷体"/>
          <w:sz w:val="21"/>
          <w:szCs w:val="21"/>
        </w:rPr>
      </w:pPr>
      <w:r>
        <w:rPr>
          <w:rFonts w:hint="eastAsia" w:ascii="楷体" w:hAnsi="楷体" w:eastAsia="楷体" w:cs="楷体"/>
          <w:sz w:val="21"/>
          <w:szCs w:val="21"/>
        </w:rPr>
        <w:t>（3）基于理解的高效课堂“问题教学”的实施策略研究，具体开展：①“创设问题情境”的策略研究；②“问题提出”的策略研究；③课堂中培养学生“问题提出”能力的策略研究；④“问题解决”的策略研究.</w:t>
      </w:r>
    </w:p>
    <w:p>
      <w:pPr>
        <w:rPr>
          <w:rFonts w:hint="eastAsia" w:ascii="楷体" w:hAnsi="楷体" w:eastAsia="楷体" w:cs="楷体"/>
          <w:sz w:val="21"/>
          <w:szCs w:val="21"/>
        </w:rPr>
      </w:pPr>
      <w:r>
        <w:rPr>
          <w:rFonts w:hint="eastAsia" w:ascii="楷体" w:hAnsi="楷体" w:eastAsia="楷体" w:cs="楷体"/>
          <w:sz w:val="21"/>
          <w:szCs w:val="21"/>
        </w:rPr>
        <w:t>（4）基于理解的高效课堂“问题教学”模式与传统提问模式的有机整合研究。</w:t>
      </w:r>
    </w:p>
    <w:p>
      <w:pPr>
        <w:rPr>
          <w:rFonts w:hint="eastAsia"/>
        </w:rPr>
      </w:pPr>
    </w:p>
    <w:p/>
    <w:p>
      <w:r>
        <w:drawing>
          <wp:inline distT="0" distB="0" distL="0" distR="0">
            <wp:extent cx="5274310" cy="3956050"/>
            <wp:effectExtent l="0" t="0" r="889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956050"/>
                    </a:xfrm>
                    <a:prstGeom prst="rect">
                      <a:avLst/>
                    </a:prstGeom>
                    <a:noFill/>
                    <a:ln>
                      <a:noFill/>
                    </a:ln>
                  </pic:spPr>
                </pic:pic>
              </a:graphicData>
            </a:graphic>
          </wp:inline>
        </w:drawing>
      </w:r>
    </w:p>
    <w:p>
      <w:pPr>
        <w:numPr>
          <w:numId w:val="0"/>
        </w:numPr>
        <w:jc w:val="left"/>
        <w:rPr>
          <w:rFonts w:hint="eastAsia" w:ascii="黑体" w:hAnsi="黑体" w:eastAsia="黑体" w:cs="黑体"/>
          <w:b/>
          <w:bCs/>
          <w:lang w:val="en-US" w:eastAsia="zh-Hans"/>
        </w:rPr>
      </w:pPr>
      <w:r>
        <w:rPr>
          <w:rFonts w:hint="eastAsia" w:ascii="黑体" w:hAnsi="黑体" w:eastAsia="黑体" w:cs="黑体"/>
          <w:b/>
          <w:bCs/>
          <w:lang w:eastAsia="zh-Hans"/>
        </w:rPr>
        <w:t>7</w:t>
      </w:r>
      <w:r>
        <w:rPr>
          <w:rFonts w:hint="eastAsia" w:ascii="黑体" w:hAnsi="黑体" w:eastAsia="黑体" w:cs="黑体"/>
          <w:b/>
          <w:bCs/>
          <w:lang w:val="en-US" w:eastAsia="zh-Hans"/>
        </w:rPr>
        <w:t>.</w:t>
      </w:r>
      <w:r>
        <w:rPr>
          <w:rFonts w:hint="eastAsia" w:ascii="黑体" w:hAnsi="黑体" w:eastAsia="黑体" w:cs="黑体"/>
          <w:b/>
          <w:bCs/>
          <w:lang w:eastAsia="zh-Hans"/>
        </w:rPr>
        <w:t>《基于深度学习“问思型”高中数学教学模式的构建》（</w:t>
      </w:r>
      <w:r>
        <w:rPr>
          <w:rFonts w:hint="eastAsia" w:ascii="黑体" w:hAnsi="黑体" w:eastAsia="黑体" w:cs="黑体"/>
          <w:b/>
          <w:bCs/>
          <w:lang w:val="en-US" w:eastAsia="zh-Hans"/>
        </w:rPr>
        <w:t>刘天程</w:t>
      </w:r>
      <w:r>
        <w:rPr>
          <w:rFonts w:hint="eastAsia" w:ascii="黑体" w:hAnsi="黑体" w:eastAsia="黑体" w:cs="黑体"/>
          <w:b/>
          <w:bCs/>
          <w:lang w:eastAsia="zh-Hans"/>
        </w:rPr>
        <w:t>、陆慧洁）</w:t>
      </w:r>
    </w:p>
    <w:p>
      <w:pPr>
        <w:rPr>
          <w:rFonts w:hint="eastAsia" w:ascii="楷体" w:hAnsi="楷体" w:eastAsia="楷体" w:cs="楷体"/>
          <w:sz w:val="21"/>
          <w:szCs w:val="21"/>
        </w:rPr>
      </w:pPr>
      <w:r>
        <w:rPr>
          <w:rFonts w:hint="eastAsia" w:ascii="楷体" w:hAnsi="楷体" w:eastAsia="楷体" w:cs="楷体"/>
          <w:sz w:val="21"/>
          <w:szCs w:val="21"/>
        </w:rPr>
        <w:t>（1）</w:t>
      </w:r>
      <w:r>
        <w:rPr>
          <w:rFonts w:hint="eastAsia" w:ascii="楷体" w:hAnsi="楷体" w:eastAsia="楷体" w:cs="楷体"/>
          <w:sz w:val="21"/>
          <w:szCs w:val="21"/>
          <w:lang w:val="en-US" w:eastAsia="zh-Hans"/>
        </w:rPr>
        <w:t>课堂教学研究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698"/>
        <w:gridCol w:w="847"/>
        <w:gridCol w:w="1325"/>
        <w:gridCol w:w="2735"/>
        <w:gridCol w:w="8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7" w:type="dxa"/>
          </w:tcPr>
          <w:p>
            <w:pPr>
              <w:rPr>
                <w:rFonts w:hint="eastAsia" w:ascii="楷体" w:hAnsi="楷体" w:eastAsia="楷体" w:cs="楷体"/>
                <w:sz w:val="21"/>
                <w:szCs w:val="21"/>
              </w:rPr>
            </w:pPr>
            <w:r>
              <w:rPr>
                <w:rFonts w:hint="eastAsia" w:ascii="楷体" w:hAnsi="楷体" w:eastAsia="楷体" w:cs="楷体"/>
                <w:sz w:val="21"/>
                <w:szCs w:val="21"/>
              </w:rPr>
              <w:t>时间</w:t>
            </w:r>
          </w:p>
        </w:tc>
        <w:tc>
          <w:tcPr>
            <w:tcW w:w="698" w:type="dxa"/>
          </w:tcPr>
          <w:p>
            <w:pPr>
              <w:rPr>
                <w:rFonts w:hint="eastAsia" w:ascii="楷体" w:hAnsi="楷体" w:eastAsia="楷体" w:cs="楷体"/>
                <w:sz w:val="21"/>
                <w:szCs w:val="21"/>
              </w:rPr>
            </w:pPr>
            <w:r>
              <w:rPr>
                <w:rFonts w:hint="eastAsia" w:ascii="楷体" w:hAnsi="楷体" w:eastAsia="楷体" w:cs="楷体"/>
                <w:sz w:val="21"/>
                <w:szCs w:val="21"/>
              </w:rPr>
              <w:t>地点</w:t>
            </w:r>
          </w:p>
        </w:tc>
        <w:tc>
          <w:tcPr>
            <w:tcW w:w="847" w:type="dxa"/>
          </w:tcPr>
          <w:p>
            <w:pPr>
              <w:rPr>
                <w:rFonts w:hint="eastAsia" w:ascii="楷体" w:hAnsi="楷体" w:eastAsia="楷体" w:cs="楷体"/>
                <w:sz w:val="21"/>
                <w:szCs w:val="21"/>
              </w:rPr>
            </w:pPr>
            <w:r>
              <w:rPr>
                <w:rFonts w:hint="eastAsia" w:ascii="楷体" w:hAnsi="楷体" w:eastAsia="楷体" w:cs="楷体"/>
                <w:sz w:val="21"/>
                <w:szCs w:val="21"/>
              </w:rPr>
              <w:t>开课人</w:t>
            </w:r>
          </w:p>
        </w:tc>
        <w:tc>
          <w:tcPr>
            <w:tcW w:w="1325" w:type="dxa"/>
          </w:tcPr>
          <w:p>
            <w:pPr>
              <w:rPr>
                <w:rFonts w:hint="eastAsia" w:ascii="楷体" w:hAnsi="楷体" w:eastAsia="楷体" w:cs="楷体"/>
                <w:sz w:val="21"/>
                <w:szCs w:val="21"/>
              </w:rPr>
            </w:pPr>
            <w:r>
              <w:rPr>
                <w:rFonts w:hint="eastAsia" w:ascii="楷体" w:hAnsi="楷体" w:eastAsia="楷体" w:cs="楷体"/>
                <w:sz w:val="21"/>
                <w:szCs w:val="21"/>
              </w:rPr>
              <w:t>课题</w:t>
            </w:r>
          </w:p>
        </w:tc>
        <w:tc>
          <w:tcPr>
            <w:tcW w:w="2735" w:type="dxa"/>
          </w:tcPr>
          <w:p>
            <w:pPr>
              <w:jc w:val="center"/>
              <w:rPr>
                <w:rFonts w:hint="eastAsia" w:ascii="楷体" w:hAnsi="楷体" w:eastAsia="楷体" w:cs="楷体"/>
                <w:sz w:val="21"/>
                <w:szCs w:val="21"/>
              </w:rPr>
            </w:pPr>
            <w:r>
              <w:rPr>
                <w:rFonts w:hint="eastAsia" w:ascii="楷体" w:hAnsi="楷体" w:eastAsia="楷体" w:cs="楷体"/>
                <w:sz w:val="21"/>
                <w:szCs w:val="21"/>
              </w:rPr>
              <w:t>研究目的</w:t>
            </w:r>
          </w:p>
        </w:tc>
        <w:tc>
          <w:tcPr>
            <w:tcW w:w="813" w:type="dxa"/>
          </w:tcPr>
          <w:p>
            <w:pPr>
              <w:jc w:val="center"/>
              <w:rPr>
                <w:rFonts w:hint="eastAsia" w:ascii="楷体" w:hAnsi="楷体" w:eastAsia="楷体" w:cs="楷体"/>
                <w:sz w:val="21"/>
                <w:szCs w:val="21"/>
              </w:rPr>
            </w:pPr>
            <w:r>
              <w:rPr>
                <w:rFonts w:hint="eastAsia" w:ascii="楷体" w:hAnsi="楷体" w:eastAsia="楷体" w:cs="楷体"/>
                <w:sz w:val="21"/>
                <w:szCs w:val="21"/>
              </w:rPr>
              <w:t>级别</w:t>
            </w:r>
          </w:p>
        </w:tc>
      </w:tr>
      <w:tr>
        <w:tc>
          <w:tcPr>
            <w:tcW w:w="1267" w:type="dxa"/>
          </w:tcPr>
          <w:p>
            <w:pPr>
              <w:rPr>
                <w:rFonts w:hint="eastAsia" w:ascii="楷体" w:hAnsi="楷体" w:eastAsia="楷体" w:cs="楷体"/>
                <w:sz w:val="21"/>
                <w:szCs w:val="21"/>
              </w:rPr>
            </w:pPr>
            <w:r>
              <w:rPr>
                <w:rFonts w:hint="eastAsia" w:ascii="楷体" w:hAnsi="楷体" w:eastAsia="楷体" w:cs="楷体"/>
                <w:sz w:val="21"/>
                <w:szCs w:val="21"/>
              </w:rPr>
              <w:t>2021.9.23</w:t>
            </w:r>
          </w:p>
        </w:tc>
        <w:tc>
          <w:tcPr>
            <w:tcW w:w="698" w:type="dxa"/>
          </w:tcPr>
          <w:p>
            <w:pPr>
              <w:rPr>
                <w:rFonts w:hint="eastAsia" w:ascii="楷体" w:hAnsi="楷体" w:eastAsia="楷体" w:cs="楷体"/>
                <w:sz w:val="21"/>
                <w:szCs w:val="21"/>
              </w:rPr>
            </w:pPr>
            <w:r>
              <w:rPr>
                <w:rFonts w:hint="eastAsia" w:ascii="楷体" w:hAnsi="楷体" w:eastAsia="楷体" w:cs="楷体"/>
                <w:sz w:val="21"/>
                <w:szCs w:val="21"/>
              </w:rPr>
              <w:t>高一6班</w:t>
            </w:r>
          </w:p>
        </w:tc>
        <w:tc>
          <w:tcPr>
            <w:tcW w:w="847" w:type="dxa"/>
          </w:tcPr>
          <w:p>
            <w:pPr>
              <w:rPr>
                <w:rFonts w:hint="eastAsia" w:ascii="楷体" w:hAnsi="楷体" w:eastAsia="楷体" w:cs="楷体"/>
                <w:sz w:val="21"/>
                <w:szCs w:val="21"/>
              </w:rPr>
            </w:pPr>
            <w:r>
              <w:rPr>
                <w:rFonts w:hint="eastAsia" w:ascii="楷体" w:hAnsi="楷体" w:eastAsia="楷体" w:cs="楷体"/>
                <w:sz w:val="21"/>
                <w:szCs w:val="21"/>
              </w:rPr>
              <w:t>谢婷</w:t>
            </w:r>
          </w:p>
        </w:tc>
        <w:tc>
          <w:tcPr>
            <w:tcW w:w="1325" w:type="dxa"/>
          </w:tcPr>
          <w:p>
            <w:pPr>
              <w:rPr>
                <w:rFonts w:hint="eastAsia" w:ascii="楷体" w:hAnsi="楷体" w:eastAsia="楷体" w:cs="楷体"/>
                <w:sz w:val="21"/>
                <w:szCs w:val="21"/>
              </w:rPr>
            </w:pPr>
            <w:r>
              <w:rPr>
                <w:rFonts w:hint="eastAsia" w:ascii="楷体" w:hAnsi="楷体" w:eastAsia="楷体" w:cs="楷体"/>
                <w:sz w:val="21"/>
                <w:szCs w:val="21"/>
              </w:rPr>
              <w:t>基本不等式</w:t>
            </w:r>
          </w:p>
        </w:tc>
        <w:tc>
          <w:tcPr>
            <w:tcW w:w="2735" w:type="dxa"/>
          </w:tcPr>
          <w:p>
            <w:pPr>
              <w:rPr>
                <w:rFonts w:hint="eastAsia" w:ascii="楷体" w:hAnsi="楷体" w:eastAsia="楷体" w:cs="楷体"/>
                <w:sz w:val="21"/>
                <w:szCs w:val="21"/>
              </w:rPr>
            </w:pPr>
            <w:r>
              <w:rPr>
                <w:rFonts w:hint="eastAsia" w:ascii="楷体" w:hAnsi="楷体" w:eastAsia="楷体" w:cs="楷体"/>
                <w:sz w:val="21"/>
                <w:szCs w:val="21"/>
              </w:rPr>
              <w:t>了解基本不等式的应用</w:t>
            </w:r>
          </w:p>
        </w:tc>
        <w:tc>
          <w:tcPr>
            <w:tcW w:w="813" w:type="dxa"/>
          </w:tcPr>
          <w:p>
            <w:pPr>
              <w:rPr>
                <w:rFonts w:hint="eastAsia" w:ascii="楷体" w:hAnsi="楷体" w:eastAsia="楷体" w:cs="楷体"/>
                <w:sz w:val="21"/>
                <w:szCs w:val="21"/>
              </w:rPr>
            </w:pPr>
            <w:r>
              <w:rPr>
                <w:rFonts w:hint="eastAsia" w:ascii="楷体" w:hAnsi="楷体" w:eastAsia="楷体" w:cs="楷体"/>
                <w:sz w:val="21"/>
                <w:szCs w:val="21"/>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7" w:type="dxa"/>
            <w:vAlign w:val="top"/>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2021.12.3</w:t>
            </w:r>
          </w:p>
        </w:tc>
        <w:tc>
          <w:tcPr>
            <w:tcW w:w="698" w:type="dxa"/>
            <w:vAlign w:val="top"/>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高一17</w:t>
            </w:r>
          </w:p>
        </w:tc>
        <w:tc>
          <w:tcPr>
            <w:tcW w:w="847" w:type="dxa"/>
            <w:vAlign w:val="top"/>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刘天程</w:t>
            </w:r>
          </w:p>
        </w:tc>
        <w:tc>
          <w:tcPr>
            <w:tcW w:w="1325" w:type="dxa"/>
            <w:vAlign w:val="top"/>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三角函数图象于性质</w:t>
            </w:r>
          </w:p>
        </w:tc>
        <w:tc>
          <w:tcPr>
            <w:tcW w:w="2735" w:type="dxa"/>
            <w:vAlign w:val="top"/>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问思型新授课模式构建</w:t>
            </w:r>
          </w:p>
        </w:tc>
        <w:tc>
          <w:tcPr>
            <w:tcW w:w="813" w:type="dxa"/>
            <w:vAlign w:val="top"/>
          </w:tcPr>
          <w:p>
            <w:pPr>
              <w:rPr>
                <w:rFonts w:hint="eastAsia" w:ascii="楷体" w:hAnsi="楷体" w:eastAsia="楷体" w:cs="楷体"/>
                <w:kern w:val="2"/>
                <w:sz w:val="21"/>
                <w:szCs w:val="21"/>
                <w:lang w:val="en-US" w:eastAsia="zh-CN" w:bidi="ar-SA"/>
              </w:rPr>
            </w:pPr>
            <w:r>
              <w:rPr>
                <w:rFonts w:hint="eastAsia" w:ascii="楷体" w:hAnsi="楷体" w:eastAsia="楷体" w:cs="楷体"/>
                <w:sz w:val="21"/>
                <w:szCs w:val="21"/>
              </w:rPr>
              <w:t>市级</w:t>
            </w:r>
          </w:p>
        </w:tc>
      </w:tr>
      <w:tr>
        <w:tc>
          <w:tcPr>
            <w:tcW w:w="1267" w:type="dxa"/>
          </w:tcPr>
          <w:p>
            <w:pPr>
              <w:rPr>
                <w:rFonts w:hint="eastAsia" w:ascii="楷体" w:hAnsi="楷体" w:eastAsia="楷体" w:cs="楷体"/>
                <w:sz w:val="21"/>
                <w:szCs w:val="21"/>
              </w:rPr>
            </w:pPr>
            <w:r>
              <w:rPr>
                <w:rFonts w:hint="eastAsia" w:ascii="楷体" w:hAnsi="楷体" w:eastAsia="楷体" w:cs="楷体"/>
                <w:sz w:val="21"/>
                <w:szCs w:val="21"/>
              </w:rPr>
              <w:t>2021.12.7</w:t>
            </w:r>
          </w:p>
        </w:tc>
        <w:tc>
          <w:tcPr>
            <w:tcW w:w="698" w:type="dxa"/>
          </w:tcPr>
          <w:p>
            <w:pPr>
              <w:rPr>
                <w:rFonts w:hint="eastAsia" w:ascii="楷体" w:hAnsi="楷体" w:eastAsia="楷体" w:cs="楷体"/>
                <w:sz w:val="21"/>
                <w:szCs w:val="21"/>
              </w:rPr>
            </w:pPr>
            <w:r>
              <w:rPr>
                <w:rFonts w:hint="eastAsia" w:ascii="楷体" w:hAnsi="楷体" w:eastAsia="楷体" w:cs="楷体"/>
                <w:sz w:val="21"/>
                <w:szCs w:val="21"/>
              </w:rPr>
              <w:t>高一15班</w:t>
            </w:r>
          </w:p>
        </w:tc>
        <w:tc>
          <w:tcPr>
            <w:tcW w:w="847" w:type="dxa"/>
          </w:tcPr>
          <w:p>
            <w:pPr>
              <w:rPr>
                <w:rFonts w:hint="eastAsia" w:ascii="楷体" w:hAnsi="楷体" w:eastAsia="楷体" w:cs="楷体"/>
                <w:sz w:val="21"/>
                <w:szCs w:val="21"/>
              </w:rPr>
            </w:pPr>
            <w:r>
              <w:rPr>
                <w:rFonts w:hint="eastAsia" w:ascii="楷体" w:hAnsi="楷体" w:eastAsia="楷体" w:cs="楷体"/>
                <w:sz w:val="21"/>
                <w:szCs w:val="21"/>
              </w:rPr>
              <w:t>陆慧洁</w:t>
            </w:r>
          </w:p>
        </w:tc>
        <w:tc>
          <w:tcPr>
            <w:tcW w:w="1325" w:type="dxa"/>
          </w:tcPr>
          <w:p>
            <w:pPr>
              <w:rPr>
                <w:rFonts w:hint="eastAsia" w:ascii="楷体" w:hAnsi="楷体" w:eastAsia="楷体" w:cs="楷体"/>
                <w:sz w:val="21"/>
                <w:szCs w:val="21"/>
              </w:rPr>
            </w:pPr>
            <w:r>
              <w:rPr>
                <w:rFonts w:hint="eastAsia" w:ascii="楷体" w:hAnsi="楷体" w:eastAsia="楷体" w:cs="楷体"/>
                <w:sz w:val="21"/>
                <w:szCs w:val="21"/>
              </w:rPr>
              <w:t>同角三角函数关系</w:t>
            </w:r>
          </w:p>
        </w:tc>
        <w:tc>
          <w:tcPr>
            <w:tcW w:w="2735" w:type="dxa"/>
          </w:tcPr>
          <w:p>
            <w:pPr>
              <w:rPr>
                <w:rFonts w:hint="eastAsia" w:ascii="楷体" w:hAnsi="楷体" w:eastAsia="楷体" w:cs="楷体"/>
                <w:sz w:val="21"/>
                <w:szCs w:val="21"/>
              </w:rPr>
            </w:pPr>
            <w:r>
              <w:rPr>
                <w:rFonts w:hint="eastAsia" w:ascii="楷体" w:hAnsi="楷体" w:eastAsia="楷体" w:cs="楷体"/>
                <w:sz w:val="21"/>
                <w:szCs w:val="21"/>
              </w:rPr>
              <w:t>掌握同角三角函数关系式的推导及应用</w:t>
            </w:r>
          </w:p>
        </w:tc>
        <w:tc>
          <w:tcPr>
            <w:tcW w:w="813" w:type="dxa"/>
          </w:tcPr>
          <w:p>
            <w:pPr>
              <w:rPr>
                <w:rFonts w:hint="eastAsia" w:ascii="楷体" w:hAnsi="楷体" w:eastAsia="楷体" w:cs="楷体"/>
                <w:sz w:val="21"/>
                <w:szCs w:val="21"/>
              </w:rPr>
            </w:pPr>
            <w:r>
              <w:rPr>
                <w:rFonts w:hint="eastAsia" w:ascii="楷体" w:hAnsi="楷体" w:eastAsia="楷体" w:cs="楷体"/>
                <w:sz w:val="21"/>
                <w:szCs w:val="21"/>
              </w:rPr>
              <w:t>校级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7" w:type="dxa"/>
          </w:tcPr>
          <w:p>
            <w:pPr>
              <w:rPr>
                <w:rFonts w:hint="eastAsia" w:ascii="楷体" w:hAnsi="楷体" w:eastAsia="楷体" w:cs="楷体"/>
                <w:sz w:val="21"/>
                <w:szCs w:val="21"/>
              </w:rPr>
            </w:pPr>
            <w:r>
              <w:rPr>
                <w:rFonts w:hint="eastAsia" w:ascii="楷体" w:hAnsi="楷体" w:eastAsia="楷体" w:cs="楷体"/>
                <w:sz w:val="21"/>
                <w:szCs w:val="21"/>
              </w:rPr>
              <w:t>2021.12.28</w:t>
            </w:r>
          </w:p>
        </w:tc>
        <w:tc>
          <w:tcPr>
            <w:tcW w:w="698" w:type="dxa"/>
          </w:tcPr>
          <w:p>
            <w:pPr>
              <w:rPr>
                <w:rFonts w:hint="eastAsia" w:ascii="楷体" w:hAnsi="楷体" w:eastAsia="楷体" w:cs="楷体"/>
                <w:sz w:val="21"/>
                <w:szCs w:val="21"/>
              </w:rPr>
            </w:pPr>
            <w:r>
              <w:rPr>
                <w:rFonts w:hint="eastAsia" w:ascii="楷体" w:hAnsi="楷体" w:eastAsia="楷体" w:cs="楷体"/>
                <w:sz w:val="21"/>
                <w:szCs w:val="21"/>
              </w:rPr>
              <w:t>高一7班</w:t>
            </w:r>
          </w:p>
        </w:tc>
        <w:tc>
          <w:tcPr>
            <w:tcW w:w="847" w:type="dxa"/>
          </w:tcPr>
          <w:p>
            <w:pPr>
              <w:rPr>
                <w:rFonts w:hint="eastAsia" w:ascii="楷体" w:hAnsi="楷体" w:eastAsia="楷体" w:cs="楷体"/>
                <w:sz w:val="21"/>
                <w:szCs w:val="21"/>
              </w:rPr>
            </w:pPr>
            <w:r>
              <w:rPr>
                <w:rFonts w:hint="eastAsia" w:ascii="楷体" w:hAnsi="楷体" w:eastAsia="楷体" w:cs="楷体"/>
                <w:sz w:val="21"/>
                <w:szCs w:val="21"/>
              </w:rPr>
              <w:t>谢婷</w:t>
            </w:r>
          </w:p>
        </w:tc>
        <w:tc>
          <w:tcPr>
            <w:tcW w:w="1325" w:type="dxa"/>
          </w:tcPr>
          <w:p>
            <w:pPr>
              <w:rPr>
                <w:rFonts w:hint="eastAsia" w:ascii="楷体" w:hAnsi="楷体" w:eastAsia="楷体" w:cs="楷体"/>
                <w:sz w:val="21"/>
                <w:szCs w:val="21"/>
              </w:rPr>
            </w:pPr>
            <w:r>
              <w:rPr>
                <w:rFonts w:hint="eastAsia" w:ascii="楷体" w:hAnsi="楷体" w:eastAsia="楷体" w:cs="楷体"/>
                <w:sz w:val="21"/>
                <w:szCs w:val="21"/>
              </w:rPr>
              <w:t>函数的零点</w:t>
            </w:r>
          </w:p>
        </w:tc>
        <w:tc>
          <w:tcPr>
            <w:tcW w:w="2735" w:type="dxa"/>
          </w:tcPr>
          <w:p>
            <w:pPr>
              <w:rPr>
                <w:rFonts w:hint="eastAsia" w:ascii="楷体" w:hAnsi="楷体" w:eastAsia="楷体" w:cs="楷体"/>
                <w:sz w:val="21"/>
                <w:szCs w:val="21"/>
              </w:rPr>
            </w:pPr>
            <w:r>
              <w:rPr>
                <w:rFonts w:hint="eastAsia" w:ascii="楷体" w:hAnsi="楷体" w:eastAsia="楷体" w:cs="楷体"/>
                <w:sz w:val="21"/>
                <w:szCs w:val="21"/>
              </w:rPr>
              <w:t>了解函数零点与方程根的关系及零点存在性定理，体会并理解函数与方程相互转化的数学思想</w:t>
            </w:r>
          </w:p>
        </w:tc>
        <w:tc>
          <w:tcPr>
            <w:tcW w:w="813" w:type="dxa"/>
          </w:tcPr>
          <w:p>
            <w:pPr>
              <w:rPr>
                <w:rFonts w:hint="eastAsia" w:ascii="楷体" w:hAnsi="楷体" w:eastAsia="楷体" w:cs="楷体"/>
                <w:sz w:val="21"/>
                <w:szCs w:val="21"/>
              </w:rPr>
            </w:pPr>
            <w:r>
              <w:rPr>
                <w:rFonts w:hint="eastAsia" w:ascii="楷体" w:hAnsi="楷体" w:eastAsia="楷体" w:cs="楷体"/>
                <w:sz w:val="21"/>
                <w:szCs w:val="21"/>
              </w:rPr>
              <w:t>校际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67" w:type="dxa"/>
          </w:tcPr>
          <w:p>
            <w:pPr>
              <w:rPr>
                <w:rFonts w:hint="eastAsia" w:ascii="楷体" w:hAnsi="楷体" w:eastAsia="楷体" w:cs="楷体"/>
                <w:sz w:val="21"/>
                <w:szCs w:val="21"/>
              </w:rPr>
            </w:pPr>
            <w:r>
              <w:rPr>
                <w:rFonts w:hint="eastAsia" w:ascii="楷体" w:hAnsi="楷体" w:eastAsia="楷体" w:cs="楷体"/>
                <w:sz w:val="21"/>
                <w:szCs w:val="21"/>
              </w:rPr>
              <w:t>2021.12.28</w:t>
            </w:r>
          </w:p>
        </w:tc>
        <w:tc>
          <w:tcPr>
            <w:tcW w:w="698" w:type="dxa"/>
          </w:tcPr>
          <w:p>
            <w:pPr>
              <w:rPr>
                <w:rFonts w:hint="eastAsia" w:ascii="楷体" w:hAnsi="楷体" w:eastAsia="楷体" w:cs="楷体"/>
                <w:sz w:val="21"/>
                <w:szCs w:val="21"/>
              </w:rPr>
            </w:pPr>
            <w:r>
              <w:rPr>
                <w:rFonts w:hint="eastAsia" w:ascii="楷体" w:hAnsi="楷体" w:eastAsia="楷体" w:cs="楷体"/>
                <w:sz w:val="21"/>
                <w:szCs w:val="21"/>
              </w:rPr>
              <w:t>高一15班</w:t>
            </w:r>
          </w:p>
        </w:tc>
        <w:tc>
          <w:tcPr>
            <w:tcW w:w="847" w:type="dxa"/>
          </w:tcPr>
          <w:p>
            <w:pPr>
              <w:rPr>
                <w:rFonts w:hint="eastAsia" w:ascii="楷体" w:hAnsi="楷体" w:eastAsia="楷体" w:cs="楷体"/>
                <w:sz w:val="21"/>
                <w:szCs w:val="21"/>
              </w:rPr>
            </w:pPr>
            <w:r>
              <w:rPr>
                <w:rFonts w:hint="eastAsia" w:ascii="楷体" w:hAnsi="楷体" w:eastAsia="楷体" w:cs="楷体"/>
                <w:sz w:val="21"/>
                <w:szCs w:val="21"/>
              </w:rPr>
              <w:t>陆慧洁</w:t>
            </w:r>
          </w:p>
        </w:tc>
        <w:tc>
          <w:tcPr>
            <w:tcW w:w="1325" w:type="dxa"/>
          </w:tcPr>
          <w:p>
            <w:pPr>
              <w:rPr>
                <w:rFonts w:hint="eastAsia" w:ascii="楷体" w:hAnsi="楷体" w:eastAsia="楷体" w:cs="楷体"/>
                <w:sz w:val="21"/>
                <w:szCs w:val="21"/>
              </w:rPr>
            </w:pPr>
            <w:r>
              <w:rPr>
                <w:rFonts w:hint="eastAsia" w:ascii="楷体" w:hAnsi="楷体" w:eastAsia="楷体" w:cs="楷体"/>
                <w:sz w:val="21"/>
                <w:szCs w:val="21"/>
              </w:rPr>
              <w:t>函数的零点</w:t>
            </w:r>
          </w:p>
        </w:tc>
        <w:tc>
          <w:tcPr>
            <w:tcW w:w="2735" w:type="dxa"/>
          </w:tcPr>
          <w:p>
            <w:pPr>
              <w:rPr>
                <w:rFonts w:hint="eastAsia" w:ascii="楷体" w:hAnsi="楷体" w:eastAsia="楷体" w:cs="楷体"/>
                <w:sz w:val="21"/>
                <w:szCs w:val="21"/>
              </w:rPr>
            </w:pPr>
            <w:r>
              <w:rPr>
                <w:rFonts w:hint="eastAsia" w:ascii="楷体" w:hAnsi="楷体" w:eastAsia="楷体" w:cs="楷体"/>
                <w:sz w:val="21"/>
                <w:szCs w:val="21"/>
              </w:rPr>
              <w:t>了解函数零点与方程根的关系及零点存在性定理，体会并理解函数与方程相互转化的数学思想</w:t>
            </w:r>
          </w:p>
        </w:tc>
        <w:tc>
          <w:tcPr>
            <w:tcW w:w="813" w:type="dxa"/>
          </w:tcPr>
          <w:p>
            <w:pPr>
              <w:rPr>
                <w:rFonts w:hint="eastAsia" w:ascii="楷体" w:hAnsi="楷体" w:eastAsia="楷体" w:cs="楷体"/>
                <w:sz w:val="21"/>
                <w:szCs w:val="21"/>
              </w:rPr>
            </w:pPr>
            <w:r>
              <w:rPr>
                <w:rFonts w:hint="eastAsia" w:ascii="楷体" w:hAnsi="楷体" w:eastAsia="楷体" w:cs="楷体"/>
                <w:sz w:val="21"/>
                <w:szCs w:val="21"/>
              </w:rPr>
              <w:t>校际</w:t>
            </w:r>
          </w:p>
        </w:tc>
      </w:tr>
    </w:tbl>
    <w:p>
      <w:pPr>
        <w:rPr>
          <w:rFonts w:hint="eastAsia" w:ascii="楷体" w:hAnsi="楷体" w:eastAsia="楷体" w:cs="楷体"/>
          <w:sz w:val="21"/>
          <w:szCs w:val="21"/>
        </w:rPr>
      </w:pPr>
      <w:r>
        <w:rPr>
          <w:rFonts w:hint="default" w:ascii="楷体" w:hAnsi="楷体" w:eastAsia="楷体" w:cs="楷体"/>
          <w:sz w:val="21"/>
          <w:szCs w:val="21"/>
        </w:rPr>
        <w:t>（2）</w:t>
      </w:r>
      <w:r>
        <w:rPr>
          <w:rFonts w:hint="eastAsia" w:ascii="楷体" w:hAnsi="楷体" w:eastAsia="楷体" w:cs="楷体"/>
          <w:sz w:val="21"/>
          <w:szCs w:val="21"/>
          <w:lang w:val="en-US" w:eastAsia="zh-Hans"/>
        </w:rPr>
        <w:t>开课报道</w:t>
      </w:r>
    </w:p>
    <w:p>
      <w:pPr>
        <w:ind w:firstLine="315" w:firstLineChars="150"/>
        <w:rPr>
          <w:rFonts w:hint="eastAsia" w:ascii="楷体" w:hAnsi="楷体" w:eastAsia="楷体" w:cs="楷体"/>
          <w:sz w:val="21"/>
          <w:szCs w:val="21"/>
        </w:rPr>
      </w:pPr>
      <w:r>
        <w:rPr>
          <w:rFonts w:hint="eastAsia" w:ascii="楷体" w:hAnsi="楷体" w:eastAsia="楷体" w:cs="楷体"/>
          <w:sz w:val="21"/>
          <w:szCs w:val="21"/>
        </w:rPr>
        <w:t>刘天程老师这节课从前一天常州的地震进行引入，吸引了学生的兴趣，点出本节课的主要内容，并从物理角度解释了三个参数的意义，进行了学科的融合，给大家教学内容丰富性和综合性的启发。他在新知讲授的过程中也让学生自主作图，感受图象变换的过程，从中发现变换的规则，使学生印象深刻。刘老师还从代数角度分析了图象的变化本质，角度特别，从几何与代数两个角度研究图象变换，帮助学生更好的了解图象变换的过程，有助于培养学生综合能力。教学内容充实，教态自然，言语流畅。</w:t>
      </w:r>
    </w:p>
    <w:p>
      <w:pPr>
        <w:rPr>
          <w:rFonts w:hint="eastAsia" w:ascii="楷体" w:hAnsi="楷体" w:eastAsia="楷体" w:cs="楷体"/>
          <w:sz w:val="21"/>
          <w:szCs w:val="21"/>
        </w:rPr>
      </w:pPr>
      <w:r>
        <w:rPr>
          <w:rFonts w:hint="eastAsia" w:ascii="楷体" w:hAnsi="楷体" w:eastAsia="楷体" w:cs="楷体"/>
          <w:sz w:val="21"/>
          <w:szCs w:val="21"/>
        </w:rPr>
        <w:t xml:space="preserve">   刘天程老师不仅教学风格风趣幽默，教学设计更是巧妙，其中用代数法解释三角函数图象变换的规律，不同于以往的几何法，让大家对数学教学有了更新的认识。课堂教学设计环环相扣、引人入胜，如果再结合实际应用效果会更好。</w:t>
      </w:r>
    </w:p>
    <w:p>
      <w:pPr>
        <w:ind w:firstLine="420" w:firstLineChars="200"/>
        <w:rPr>
          <w:rFonts w:hint="eastAsia" w:ascii="楷体" w:hAnsi="楷体" w:eastAsia="楷体" w:cs="楷体"/>
          <w:sz w:val="21"/>
          <w:szCs w:val="21"/>
        </w:rPr>
      </w:pPr>
      <w:r>
        <w:rPr>
          <w:rFonts w:hint="default" w:ascii="楷体" w:hAnsi="楷体" w:eastAsia="楷体" w:cs="楷体"/>
          <w:sz w:val="21"/>
          <w:szCs w:val="21"/>
        </w:rPr>
        <w:t>（3）</w:t>
      </w:r>
      <w:r>
        <w:rPr>
          <w:rFonts w:hint="eastAsia" w:ascii="楷体" w:hAnsi="楷体" w:eastAsia="楷体" w:cs="楷体"/>
          <w:sz w:val="21"/>
          <w:szCs w:val="21"/>
          <w:lang w:val="en-US" w:eastAsia="zh-Hans"/>
        </w:rPr>
        <w:t>阶段研究小结</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本月主要在新授课教学中进行课题研究，新授课采用问答法为主，讲授法为辅的方式开展。从学生的最近发展区入手，以旧知引入，对旧知提问并追问。追问时要注意准确把握追问时机：在学生有所知的情况下追问，通过提问旧知来加深或拓展学生对旧知的理解；在学生有所惑的情况下追问，通过提问使学生主动思考，当学生产生认知冲突时，引导学生自主发现问题所在，培养学生分析问题及解决问题的能力，以获取新知；在学生有所获的情况下追问，当学生对新知有所了解时，可适当增加问题的梯度或更改问题的角度，辨析与巩固新知，促使学生深度学习，从而构建“问思型”教学模式。追问时也需把握提问内容的连贯性，要对问题进行统整，从问题的内在联系性以及问题的难易程度等方面，确定提问的顺序。问题设置可从易到难、从简到繁、从具体到抽象，逐步带动学生积极思考，帮助学生构建理论逻辑框架，进入深度学习。</w:t>
      </w:r>
    </w:p>
    <w:p>
      <w:pPr>
        <w:numPr>
          <w:numId w:val="0"/>
        </w:numPr>
        <w:rPr>
          <w:sz w:val="28"/>
          <w:szCs w:val="32"/>
        </w:rPr>
      </w:pPr>
      <w:r>
        <w:rPr>
          <w:rFonts w:hint="default" w:ascii="黑体" w:hAnsi="黑体" w:eastAsia="黑体" w:cs="黑体"/>
          <w:b/>
          <w:bCs w:val="0"/>
          <w:sz w:val="21"/>
          <w:szCs w:val="21"/>
          <w:lang w:eastAsia="zh-Hans"/>
        </w:rPr>
        <w:t>8</w:t>
      </w:r>
      <w:r>
        <w:rPr>
          <w:rFonts w:hint="eastAsia" w:ascii="黑体" w:hAnsi="黑体" w:eastAsia="黑体" w:cs="黑体"/>
          <w:b/>
          <w:bCs w:val="0"/>
          <w:sz w:val="21"/>
          <w:szCs w:val="21"/>
          <w:lang w:val="en-US" w:eastAsia="zh-Hans"/>
        </w:rPr>
        <w:t>.</w:t>
      </w:r>
      <w:r>
        <w:rPr>
          <w:rFonts w:hint="eastAsia" w:ascii="黑体" w:hAnsi="黑体" w:eastAsia="黑体" w:cs="黑体"/>
          <w:b/>
          <w:bCs w:val="0"/>
          <w:sz w:val="21"/>
          <w:szCs w:val="21"/>
          <w:lang w:eastAsia="zh-Hans"/>
        </w:rPr>
        <w:t>《</w:t>
      </w:r>
      <w:r>
        <w:rPr>
          <w:rFonts w:hint="eastAsia" w:ascii="黑体" w:hAnsi="黑体" w:eastAsia="黑体" w:cs="黑体"/>
          <w:b/>
          <w:bCs w:val="0"/>
          <w:sz w:val="21"/>
          <w:szCs w:val="21"/>
        </w:rPr>
        <w:t>学生心理危机干预实践校本化</w:t>
      </w:r>
      <w:r>
        <w:rPr>
          <w:rFonts w:hint="eastAsia" w:ascii="黑体" w:hAnsi="黑体" w:eastAsia="黑体" w:cs="黑体"/>
          <w:b/>
          <w:bCs w:val="0"/>
          <w:sz w:val="21"/>
          <w:szCs w:val="21"/>
        </w:rPr>
        <w:t>》（</w:t>
      </w:r>
      <w:r>
        <w:rPr>
          <w:rFonts w:hint="eastAsia" w:ascii="黑体" w:hAnsi="黑体" w:eastAsia="黑体" w:cs="黑体"/>
          <w:b/>
          <w:bCs w:val="0"/>
          <w:sz w:val="21"/>
          <w:szCs w:val="21"/>
          <w:lang w:val="en-US" w:eastAsia="zh-Hans"/>
        </w:rPr>
        <w:t>主持人</w:t>
      </w:r>
      <w:r>
        <w:rPr>
          <w:rFonts w:hint="eastAsia" w:ascii="黑体" w:hAnsi="黑体" w:eastAsia="黑体" w:cs="黑体"/>
          <w:b/>
          <w:bCs w:val="0"/>
          <w:sz w:val="21"/>
          <w:szCs w:val="21"/>
          <w:lang w:eastAsia="zh-Hans"/>
        </w:rPr>
        <w:t>：</w:t>
      </w:r>
      <w:r>
        <w:rPr>
          <w:rFonts w:hint="eastAsia" w:ascii="黑体" w:hAnsi="黑体" w:eastAsia="黑体" w:cs="黑体"/>
          <w:b/>
          <w:bCs w:val="0"/>
          <w:sz w:val="21"/>
          <w:szCs w:val="21"/>
          <w:lang w:val="en-US" w:eastAsia="zh-Hans"/>
        </w:rPr>
        <w:t>江小燕</w:t>
      </w:r>
      <w:r>
        <w:rPr>
          <w:rFonts w:hint="eastAsia" w:ascii="黑体" w:hAnsi="黑体" w:eastAsia="黑体" w:cs="黑体"/>
          <w:b/>
          <w:bCs w:val="0"/>
          <w:sz w:val="21"/>
          <w:szCs w:val="21"/>
        </w:rPr>
        <w:t>）</w:t>
      </w:r>
      <w:r>
        <w:rPr>
          <w:rFonts w:hint="eastAsia"/>
          <w:sz w:val="28"/>
          <w:szCs w:val="32"/>
        </w:rPr>
        <w:t xml:space="preserve"> </w:t>
      </w:r>
      <w:r>
        <w:rPr>
          <w:sz w:val="28"/>
          <w:szCs w:val="32"/>
        </w:rPr>
        <w:t xml:space="preserve">  </w:t>
      </w:r>
      <w:r>
        <w:rPr>
          <w:rFonts w:hint="eastAsia"/>
          <w:sz w:val="28"/>
          <w:szCs w:val="32"/>
        </w:rPr>
        <w:t xml:space="preserve"> </w:t>
      </w:r>
      <w:r>
        <w:rPr>
          <w:sz w:val="28"/>
          <w:szCs w:val="32"/>
        </w:rPr>
        <w:t xml:space="preserve"> </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在前期的资料收集、查阅、研究基础上，基本确定了本项目在心理课程、家校联合、案例收集、班主任能力4个方面同时进行的研究模式。在心理课程上，项目主持人和成员袁雯围绕学生最易产生心理危机的高发时间点和事件研发了相关教学设计，设计了开学适应和考试焦虑教学案例，并以引此教学设计在四校联合教研活动中与班会进行心理主题的同题异构公开课展示。在家校联合上，利用线上培训方式对本校所有学生家长开设智慧家长心理讲座。后期将以结合学生案例提升班主任能力为重点继续项目研究。</w:t>
      </w:r>
    </w:p>
    <w:p>
      <w:pPr>
        <w:rPr>
          <w:rFonts w:hint="eastAsia" w:ascii="黑体" w:hAnsi="黑体" w:eastAsia="黑体" w:cs="黑体"/>
          <w:b/>
          <w:bCs/>
          <w:sz w:val="21"/>
          <w:szCs w:val="21"/>
          <w:lang w:val="en-US" w:eastAsia="zh-Hans"/>
        </w:rPr>
      </w:pPr>
      <w:r>
        <w:rPr>
          <w:rFonts w:hint="eastAsia" w:ascii="黑体" w:hAnsi="黑体" w:eastAsia="黑体" w:cs="黑体"/>
          <w:b/>
          <w:bCs/>
          <w:sz w:val="21"/>
          <w:szCs w:val="21"/>
        </w:rPr>
        <w:t>9</w:t>
      </w:r>
      <w:r>
        <w:rPr>
          <w:rFonts w:hint="eastAsia" w:ascii="黑体" w:hAnsi="黑体" w:eastAsia="黑体" w:cs="黑体"/>
          <w:b/>
          <w:bCs/>
          <w:sz w:val="21"/>
          <w:szCs w:val="21"/>
          <w:lang w:val="en-US" w:eastAsia="zh-Hans"/>
        </w:rPr>
        <w:t>.</w:t>
      </w:r>
      <w:r>
        <w:rPr>
          <w:rFonts w:hint="eastAsia" w:ascii="黑体" w:hAnsi="黑体" w:eastAsia="黑体" w:cs="黑体"/>
          <w:b/>
          <w:bCs/>
          <w:sz w:val="21"/>
          <w:szCs w:val="21"/>
        </w:rPr>
        <w:t>《基于问题情境创设的高中物理教学改进研究》</w:t>
      </w:r>
      <w:r>
        <w:rPr>
          <w:rFonts w:hint="eastAsia" w:ascii="黑体" w:hAnsi="黑体" w:eastAsia="黑体" w:cs="黑体"/>
          <w:b/>
          <w:bCs/>
          <w:sz w:val="21"/>
          <w:szCs w:val="21"/>
        </w:rPr>
        <w:t>（</w:t>
      </w:r>
      <w:r>
        <w:rPr>
          <w:rFonts w:hint="eastAsia" w:ascii="黑体" w:hAnsi="黑体" w:eastAsia="黑体" w:cs="黑体"/>
          <w:b/>
          <w:bCs/>
          <w:sz w:val="21"/>
          <w:szCs w:val="21"/>
          <w:lang w:val="en-US" w:eastAsia="zh-Hans"/>
        </w:rPr>
        <w:t>常思远</w:t>
      </w:r>
      <w:r>
        <w:rPr>
          <w:rFonts w:hint="eastAsia" w:ascii="黑体" w:hAnsi="黑体" w:eastAsia="黑体" w:cs="黑体"/>
          <w:b/>
          <w:bCs/>
          <w:sz w:val="21"/>
          <w:szCs w:val="21"/>
        </w:rPr>
        <w:t>）</w:t>
      </w:r>
    </w:p>
    <w:p>
      <w:pPr>
        <w:ind w:firstLine="420" w:firstLineChars="200"/>
        <w:rPr>
          <w:rFonts w:hint="eastAsia" w:ascii="楷体" w:hAnsi="楷体" w:eastAsia="楷体" w:cs="楷体"/>
          <w:sz w:val="21"/>
          <w:szCs w:val="21"/>
        </w:rPr>
      </w:pPr>
      <w:r>
        <w:rPr>
          <w:rFonts w:hint="eastAsia" w:ascii="楷体" w:hAnsi="楷体" w:eastAsia="楷体" w:cs="楷体"/>
          <w:sz w:val="21"/>
          <w:szCs w:val="21"/>
        </w:rPr>
        <w:t>本课题旨在发掘问题情境的价值，以便进一步发展高中生物理学科核心素养。本项目组在2022年12月份的主要工作成果是开设了一节聚焦课堂。本节课的主题是《生活中的圆周运动》，开课人为陈钰婕。随后在2022年的1月份，项目又围绕研究主题开设了两节聚焦课堂，分别是陈明雪的《带电粒子在复核场中的运动》和常思远的《质谱仪与回旋加速器》。</w:t>
      </w:r>
    </w:p>
    <w:p>
      <w:pPr>
        <w:jc w:val="center"/>
        <w:rPr>
          <w:rFonts w:hint="eastAsia" w:ascii="楷体" w:hAnsi="楷体" w:eastAsia="楷体" w:cs="楷体"/>
          <w:sz w:val="21"/>
          <w:szCs w:val="21"/>
          <w:lang w:eastAsia="zh-Hans"/>
        </w:rPr>
      </w:pPr>
      <w:r>
        <w:drawing>
          <wp:inline distT="0" distB="0" distL="0" distR="0">
            <wp:extent cx="4604385" cy="3125470"/>
            <wp:effectExtent l="0" t="0" r="18415" b="241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604385" cy="3125470"/>
                    </a:xfrm>
                    <a:prstGeom prst="rect">
                      <a:avLst/>
                    </a:prstGeom>
                  </pic:spPr>
                </pic:pic>
              </a:graphicData>
            </a:graphic>
          </wp:inline>
        </w:drawing>
      </w:r>
    </w:p>
    <w:p>
      <w:pPr>
        <w:snapToGrid w:val="0"/>
        <w:ind w:firstLine="420" w:firstLineChars="200"/>
        <w:rPr>
          <w:rFonts w:hint="eastAsia" w:ascii="黑体" w:hAnsi="黑体" w:eastAsia="黑体" w:cs="黑体"/>
          <w:b/>
          <w:bCs/>
        </w:rPr>
      </w:pPr>
      <w:r>
        <w:rPr>
          <w:rFonts w:hint="eastAsia" w:ascii="黑体" w:hAnsi="黑体" w:eastAsia="黑体" w:cs="黑体"/>
          <w:b/>
          <w:bCs/>
        </w:rPr>
        <w:t>10</w:t>
      </w:r>
      <w:r>
        <w:rPr>
          <w:rFonts w:hint="eastAsia" w:ascii="黑体" w:hAnsi="黑体" w:eastAsia="黑体" w:cs="黑体"/>
          <w:b/>
          <w:bCs/>
          <w:lang w:val="en-US" w:eastAsia="zh-Hans"/>
        </w:rPr>
        <w:t>.</w:t>
      </w:r>
      <w:r>
        <w:rPr>
          <w:rFonts w:hint="eastAsia" w:ascii="黑体" w:hAnsi="黑体" w:eastAsia="黑体" w:cs="黑体"/>
          <w:b/>
          <w:bCs/>
          <w:lang w:eastAsia="zh-Hans"/>
        </w:rPr>
        <w:t>《指向适应性学习的增值评价模式与实践研究》（</w:t>
      </w:r>
      <w:r>
        <w:rPr>
          <w:rFonts w:hint="eastAsia" w:ascii="黑体" w:hAnsi="黑体" w:eastAsia="黑体" w:cs="黑体"/>
          <w:b/>
          <w:bCs/>
          <w:lang w:val="en-US" w:eastAsia="zh-Hans"/>
        </w:rPr>
        <w:t>主持人</w:t>
      </w:r>
      <w:r>
        <w:rPr>
          <w:rFonts w:hint="eastAsia" w:ascii="黑体" w:hAnsi="黑体" w:eastAsia="黑体" w:cs="黑体"/>
          <w:b/>
          <w:bCs/>
          <w:lang w:eastAsia="zh-Hans"/>
        </w:rPr>
        <w:t>：顾佳妮、袁雯）</w:t>
      </w:r>
    </w:p>
    <w:p>
      <w:pPr>
        <w:snapToGrid w:val="0"/>
        <w:ind w:firstLine="420" w:firstLineChars="200"/>
        <w:rPr>
          <w:rFonts w:hint="eastAsia" w:ascii="楷体" w:hAnsi="楷体" w:eastAsia="楷体" w:cs="楷体"/>
        </w:rPr>
      </w:pPr>
      <w:bookmarkStart w:id="0" w:name="_GoBack"/>
      <w:r>
        <w:rPr>
          <w:rFonts w:hint="eastAsia" w:ascii="楷体" w:hAnsi="楷体" w:eastAsia="楷体" w:cs="楷体"/>
        </w:rPr>
        <w:t>基于学生的中考成绩将全体学生划分为若干个学业水平相似的学生群体，Betebenner将这样的学生群体定义为“学业伙伴”（academic peer）。本次研究数据采集于2021届高一新生，剔除自主招生入学的样本数116名（16、17班），最终选取2021届1044名学生作为研究样本，采集的数据包括其语文、数学、外语、物理、化学五门成绩，最终划分了38组学业伙伴。</w:t>
      </w:r>
    </w:p>
    <w:p>
      <w:pPr>
        <w:snapToGrid w:val="0"/>
        <w:ind w:firstLine="420" w:firstLineChars="200"/>
        <w:rPr>
          <w:rFonts w:hint="eastAsia"/>
        </w:rPr>
      </w:pPr>
      <w:r>
        <w:rPr>
          <w:rFonts w:hint="eastAsia" w:ascii="楷体" w:hAnsi="楷体" w:eastAsia="楷体" w:cs="楷体"/>
        </w:rPr>
        <w:drawing>
          <wp:inline distT="0" distB="0" distL="0" distR="0">
            <wp:extent cx="4465320" cy="5541645"/>
            <wp:effectExtent l="0" t="0" r="5080" b="209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rcRect t="-1" b="781"/>
                    <a:stretch>
                      <a:fillRect/>
                    </a:stretch>
                  </pic:blipFill>
                  <pic:spPr>
                    <a:xfrm>
                      <a:off x="0" y="0"/>
                      <a:ext cx="4465707" cy="5542299"/>
                    </a:xfrm>
                    <a:prstGeom prst="rect">
                      <a:avLst/>
                    </a:prstGeom>
                    <a:ln>
                      <a:noFill/>
                    </a:ln>
                  </pic:spPr>
                </pic:pic>
              </a:graphicData>
            </a:graphic>
          </wp:inline>
        </w:drawing>
      </w:r>
      <w:bookmarkEnd w:id="0"/>
    </w:p>
    <w:p/>
    <w:p>
      <w:pPr>
        <w:ind w:firstLine="420" w:firstLineChars="200"/>
        <w:rPr>
          <w:rFonts w:hint="eastAsia" w:ascii="楷体" w:hAnsi="楷体" w:eastAsia="楷体" w:cs="楷体"/>
          <w:sz w:val="21"/>
          <w:szCs w:val="21"/>
        </w:rPr>
      </w:pPr>
    </w:p>
    <w:p>
      <w:pPr>
        <w:numPr>
          <w:numId w:val="0"/>
        </w:numPr>
        <w:jc w:val="left"/>
        <w:rPr>
          <w:rFonts w:hint="default"/>
          <w:lang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00"/>
    <w:family w:val="swiss"/>
    <w:pitch w:val="default"/>
    <w:sig w:usb0="E0000AFF" w:usb1="00007843" w:usb2="00000001" w:usb3="00000000" w:csb0="400001BF" w:csb1="DFF70000"/>
  </w:font>
  <w:font w:name="楷体">
    <w:altName w:val="汉仪楷体KW"/>
    <w:panose1 w:val="00000000000000000000"/>
    <w:charset w:val="00"/>
    <w:family w:val="auto"/>
    <w:pitch w:val="default"/>
    <w:sig w:usb0="00000000" w:usb1="00000000" w:usb2="00000000" w:usb3="00000000" w:csb0="00000000" w:csb1="00000000"/>
  </w:font>
  <w:font w:name="汉仪楷体KW">
    <w:panose1 w:val="00020600040101010101"/>
    <w:charset w:val="86"/>
    <w:family w:val="auto"/>
    <w:pitch w:val="default"/>
    <w:sig w:usb0="A00002BF" w:usb1="18EF7CFA" w:usb2="00000016" w:usb3="00000000" w:csb0="00040000" w:csb1="00000000"/>
  </w:font>
  <w:font w:name="黑体">
    <w:altName w:val="汉仪中黑KW"/>
    <w:panose1 w:val="0000000000000000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Wingdings">
    <w:panose1 w:val="05000000000000000000"/>
    <w:charset w:val="02"/>
    <w:family w:val="auto"/>
    <w:pitch w:val="default"/>
    <w:sig w:usb0="00000000" w:usb1="00000000" w:usb2="00000000" w:usb3="00000000" w:csb0="80000000"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10000000" w:usb2="00000000" w:usb3="00000000" w:csb0="00000001" w:csb1="00000000"/>
  </w:font>
  <w:font w:name="Calibri Light">
    <w:altName w:val="Helvetica Neue"/>
    <w:panose1 w:val="020F030202020403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F5929"/>
    <w:multiLevelType w:val="singleLevel"/>
    <w:tmpl w:val="620F592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CE9B2535"/>
    <w:rsid w:val="CE9B25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Arial"/>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table" w:styleId="4">
    <w:name w:val="Table Grid"/>
    <w:basedOn w:val="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Office_3.9.6.6441_F1E327BC-269C-435d-A152-05C5408002CA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2022-02-18T14:47:00Z</dcterms:created>
  <dc:creator>gexuan</dc:creator>
  <cp:lastModifiedBy>gexuan</cp:lastModifiedBy>
  <dcterms:modified xsi:type="dcterms:W3CDTF">2022-02-18T15:17:04Z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