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rPr>
          <w:b/>
          <w:bCs/>
          <w:sz w:val="28"/>
          <w:szCs w:val="32"/>
        </w:rPr>
      </w:pPr>
      <w:r>
        <w:rPr>
          <w:rFonts w:hint="eastAsia"/>
        </w:rPr>
        <w:t xml:space="preserve"> </w:t>
      </w:r>
      <w:r>
        <w:t xml:space="preserve">      </w:t>
      </w:r>
      <w:r>
        <w:rPr>
          <w:rFonts w:hint="eastAsia"/>
          <w:b/>
          <w:bCs/>
          <w:sz w:val="28"/>
          <w:szCs w:val="32"/>
        </w:rPr>
        <w:t>常州市新北区龙虎塘第二实验小学</w:t>
      </w:r>
      <w:r>
        <w:rPr>
          <w:b/>
          <w:bCs/>
          <w:sz w:val="28"/>
          <w:szCs w:val="32"/>
          <w:u w:val="single"/>
        </w:rPr>
        <w:t xml:space="preserve">  </w:t>
      </w:r>
      <w:r>
        <w:rPr>
          <w:rFonts w:hint="eastAsia"/>
          <w:b/>
          <w:bCs/>
          <w:sz w:val="28"/>
          <w:szCs w:val="32"/>
          <w:u w:val="single"/>
        </w:rPr>
        <w:t>数学</w:t>
      </w:r>
      <w:r>
        <w:rPr>
          <w:b/>
          <w:bCs/>
          <w:sz w:val="28"/>
          <w:szCs w:val="32"/>
          <w:u w:val="single"/>
        </w:rPr>
        <w:t xml:space="preserve">  </w:t>
      </w:r>
      <w:r>
        <w:rPr>
          <w:rFonts w:hint="eastAsia"/>
          <w:b/>
          <w:bCs/>
          <w:sz w:val="28"/>
          <w:szCs w:val="32"/>
        </w:rPr>
        <w:t>学科/部门总结</w:t>
      </w:r>
    </w:p>
    <w:p>
      <w:pPr>
        <w:pStyle w:val="12"/>
        <w:numPr>
          <w:ilvl w:val="0"/>
          <w:numId w:val="0"/>
        </w:numPr>
        <w:tabs>
          <w:tab w:val="left" w:pos="2127"/>
        </w:tabs>
        <w:ind w:leftChars="0"/>
        <w:rPr>
          <w:b/>
          <w:bCs/>
          <w:sz w:val="24"/>
          <w:szCs w:val="28"/>
        </w:rPr>
      </w:pPr>
      <w:r>
        <w:rPr>
          <w:rFonts w:hint="eastAsia"/>
          <w:b/>
          <w:bCs/>
          <w:sz w:val="24"/>
          <w:szCs w:val="28"/>
          <w:lang w:val="en-US" w:eastAsia="zh-CN"/>
        </w:rPr>
        <w:t>一、</w:t>
      </w:r>
      <w:r>
        <w:rPr>
          <w:rFonts w:hint="eastAsia"/>
          <w:b/>
          <w:bCs/>
          <w:sz w:val="24"/>
          <w:szCs w:val="28"/>
        </w:rPr>
        <w:t>学科组基本情况</w:t>
      </w:r>
    </w:p>
    <w:p>
      <w:pPr>
        <w:numPr>
          <w:ilvl w:val="0"/>
          <w:numId w:val="0"/>
        </w:numPr>
        <w:tabs>
          <w:tab w:val="left" w:pos="2127"/>
        </w:tabs>
        <w:ind w:firstLine="480" w:firstLineChars="200"/>
        <w:rPr>
          <w:sz w:val="24"/>
          <w:szCs w:val="28"/>
        </w:rPr>
      </w:pPr>
      <w:r>
        <w:rPr>
          <w:rFonts w:hint="eastAsia"/>
          <w:sz w:val="24"/>
          <w:szCs w:val="28"/>
        </w:rPr>
        <w:t>整个团队</w:t>
      </w:r>
      <w:r>
        <w:rPr>
          <w:rFonts w:hint="eastAsia"/>
          <w:sz w:val="24"/>
          <w:szCs w:val="28"/>
          <w:lang w:val="en-US" w:eastAsia="zh-CN"/>
        </w:rPr>
        <w:t>新教师比较多，所以本学期我们以教材的专业化解读和生成性学习资源为主要抓手进行研究。</w:t>
      </w:r>
      <w:r>
        <w:rPr>
          <w:rFonts w:hint="eastAsia"/>
          <w:sz w:val="24"/>
          <w:szCs w:val="28"/>
        </w:rPr>
        <w:t>从教师的研究课和平时的常态课都可以看出，老师们</w:t>
      </w:r>
      <w:r>
        <w:rPr>
          <w:rFonts w:hint="eastAsia"/>
          <w:sz w:val="24"/>
          <w:szCs w:val="28"/>
          <w:lang w:val="en-US" w:eastAsia="zh-CN"/>
        </w:rPr>
        <w:t>能主动对课堂中的生成性学习资源进行捕捉和利用，</w:t>
      </w:r>
      <w:r>
        <w:rPr>
          <w:rFonts w:hint="eastAsia"/>
          <w:sz w:val="24"/>
          <w:szCs w:val="28"/>
        </w:rPr>
        <w:t>对于教材的解读也有了一个提升，每个人都卷入到这样的研究中，每个人都获得了成长。本学期2</w:t>
      </w:r>
      <w:r>
        <w:rPr>
          <w:rFonts w:hint="eastAsia"/>
          <w:sz w:val="24"/>
          <w:szCs w:val="28"/>
          <w:lang w:val="en-US" w:eastAsia="zh-CN"/>
        </w:rPr>
        <w:t>6</w:t>
      </w:r>
      <w:r>
        <w:rPr>
          <w:rFonts w:hint="eastAsia"/>
          <w:sz w:val="24"/>
          <w:szCs w:val="28"/>
        </w:rPr>
        <w:t>位数学老师，1</w:t>
      </w:r>
      <w:r>
        <w:rPr>
          <w:rFonts w:hint="eastAsia"/>
          <w:sz w:val="24"/>
          <w:szCs w:val="28"/>
          <w:lang w:val="en-US" w:eastAsia="zh-CN"/>
        </w:rPr>
        <w:t>8</w:t>
      </w:r>
      <w:r>
        <w:rPr>
          <w:rFonts w:hint="eastAsia"/>
          <w:sz w:val="24"/>
          <w:szCs w:val="28"/>
        </w:rPr>
        <w:t>位老师都承担了校级的研究课，在</w:t>
      </w:r>
      <w:r>
        <w:rPr>
          <w:rFonts w:hint="eastAsia"/>
          <w:sz w:val="24"/>
          <w:szCs w:val="28"/>
          <w:lang w:val="en-US" w:eastAsia="zh-CN"/>
        </w:rPr>
        <w:t>蒋</w:t>
      </w:r>
      <w:r>
        <w:rPr>
          <w:rFonts w:hint="eastAsia"/>
          <w:sz w:val="24"/>
          <w:szCs w:val="28"/>
        </w:rPr>
        <w:t>校长、</w:t>
      </w:r>
      <w:r>
        <w:rPr>
          <w:rFonts w:hint="eastAsia"/>
          <w:sz w:val="24"/>
          <w:szCs w:val="28"/>
          <w:lang w:val="en-US" w:eastAsia="zh-CN"/>
        </w:rPr>
        <w:t>陈</w:t>
      </w:r>
      <w:r>
        <w:rPr>
          <w:rFonts w:hint="eastAsia"/>
          <w:sz w:val="24"/>
          <w:szCs w:val="28"/>
        </w:rPr>
        <w:t>校长的指导下，老师们的课堂教学能力都得到了一定程度的提高。</w:t>
      </w:r>
    </w:p>
    <w:p>
      <w:pPr>
        <w:pStyle w:val="12"/>
        <w:numPr>
          <w:ilvl w:val="0"/>
          <w:numId w:val="0"/>
        </w:numPr>
        <w:tabs>
          <w:tab w:val="left" w:pos="2127"/>
        </w:tabs>
        <w:ind w:leftChars="0"/>
        <w:rPr>
          <w:b/>
          <w:bCs/>
          <w:sz w:val="24"/>
          <w:szCs w:val="28"/>
        </w:rPr>
      </w:pPr>
      <w:r>
        <w:rPr>
          <w:rFonts w:hint="eastAsia"/>
          <w:b/>
          <w:bCs/>
          <w:sz w:val="24"/>
          <w:szCs w:val="28"/>
          <w:lang w:val="en-US" w:eastAsia="zh-CN"/>
        </w:rPr>
        <w:t>二、</w:t>
      </w:r>
      <w:r>
        <w:rPr>
          <w:rFonts w:hint="eastAsia"/>
          <w:b/>
          <w:bCs/>
          <w:sz w:val="24"/>
          <w:szCs w:val="28"/>
        </w:rPr>
        <w:t>重点工作（或事件）</w:t>
      </w:r>
    </w:p>
    <w:p>
      <w:pPr>
        <w:tabs>
          <w:tab w:val="left" w:pos="2127"/>
        </w:tabs>
        <w:rPr>
          <w:rFonts w:hint="eastAsia"/>
          <w:sz w:val="24"/>
          <w:szCs w:val="28"/>
        </w:rPr>
      </w:pPr>
      <w:r>
        <w:rPr>
          <w:rFonts w:hint="eastAsia"/>
          <w:sz w:val="24"/>
          <w:szCs w:val="28"/>
        </w:rPr>
        <w:t>1、促进学科组青年教师团队发展，建立</w:t>
      </w:r>
      <w:r>
        <w:rPr>
          <w:rFonts w:hint="eastAsia"/>
          <w:sz w:val="24"/>
          <w:szCs w:val="28"/>
          <w:lang w:val="en-US" w:eastAsia="zh-CN"/>
        </w:rPr>
        <w:t>研</w:t>
      </w:r>
      <w:r>
        <w:rPr>
          <w:rFonts w:hint="eastAsia"/>
          <w:sz w:val="24"/>
          <w:szCs w:val="28"/>
        </w:rPr>
        <w:t>、练一体化平台。组织开展</w:t>
      </w:r>
      <w:r>
        <w:rPr>
          <w:rFonts w:hint="eastAsia"/>
          <w:sz w:val="24"/>
          <w:szCs w:val="28"/>
          <w:lang w:val="en-US" w:eastAsia="zh-CN"/>
        </w:rPr>
        <w:t>弘雅</w:t>
      </w:r>
      <w:r>
        <w:rPr>
          <w:rFonts w:hint="eastAsia"/>
          <w:sz w:val="24"/>
          <w:szCs w:val="28"/>
        </w:rPr>
        <w:t>杯青年教师</w:t>
      </w:r>
      <w:r>
        <w:rPr>
          <w:rFonts w:hint="eastAsia"/>
          <w:sz w:val="24"/>
          <w:szCs w:val="28"/>
          <w:lang w:val="en-US" w:eastAsia="zh-CN"/>
        </w:rPr>
        <w:t>练兵课</w:t>
      </w:r>
      <w:r>
        <w:rPr>
          <w:rFonts w:hint="eastAsia"/>
          <w:sz w:val="24"/>
          <w:szCs w:val="28"/>
        </w:rPr>
        <w:t>。</w:t>
      </w:r>
    </w:p>
    <w:p>
      <w:pPr>
        <w:tabs>
          <w:tab w:val="left" w:pos="2127"/>
        </w:tabs>
        <w:rPr>
          <w:rFonts w:hint="default" w:eastAsiaTheme="minorEastAsia"/>
          <w:sz w:val="24"/>
          <w:szCs w:val="28"/>
          <w:lang w:val="en-US" w:eastAsia="zh-CN"/>
        </w:rPr>
      </w:pPr>
      <w:r>
        <w:rPr>
          <w:rFonts w:hint="eastAsia"/>
          <w:sz w:val="24"/>
          <w:szCs w:val="28"/>
          <w:lang w:val="en-US" w:eastAsia="zh-CN"/>
        </w:rPr>
        <w:t>2、组织教材解读讲座</w:t>
      </w:r>
    </w:p>
    <w:p>
      <w:pPr>
        <w:tabs>
          <w:tab w:val="left" w:pos="2127"/>
        </w:tabs>
        <w:rPr>
          <w:rFonts w:hint="eastAsia"/>
          <w:sz w:val="24"/>
          <w:szCs w:val="28"/>
          <w:lang w:val="en-US" w:eastAsia="zh-CN"/>
        </w:rPr>
      </w:pPr>
      <w:r>
        <w:rPr>
          <w:rFonts w:hint="eastAsia"/>
          <w:sz w:val="24"/>
          <w:szCs w:val="28"/>
          <w:lang w:val="en-US" w:eastAsia="zh-CN"/>
        </w:rPr>
        <w:t>3</w:t>
      </w:r>
      <w:r>
        <w:rPr>
          <w:rFonts w:hint="eastAsia"/>
          <w:sz w:val="24"/>
          <w:szCs w:val="28"/>
        </w:rPr>
        <w:t>、</w:t>
      </w:r>
      <w:r>
        <w:rPr>
          <w:rFonts w:hint="eastAsia"/>
          <w:sz w:val="24"/>
          <w:szCs w:val="28"/>
          <w:lang w:val="en-US" w:eastAsia="zh-CN"/>
        </w:rPr>
        <w:t>10月份积极准备五级梯队参评。</w:t>
      </w:r>
    </w:p>
    <w:p>
      <w:pPr>
        <w:numPr>
          <w:ilvl w:val="0"/>
          <w:numId w:val="0"/>
        </w:numPr>
        <w:tabs>
          <w:tab w:val="left" w:pos="2127"/>
        </w:tabs>
        <w:rPr>
          <w:rFonts w:hint="eastAsia"/>
          <w:sz w:val="24"/>
          <w:szCs w:val="28"/>
        </w:rPr>
      </w:pPr>
      <w:r>
        <w:rPr>
          <w:rFonts w:hint="eastAsia"/>
          <w:sz w:val="24"/>
          <w:szCs w:val="28"/>
          <w:lang w:val="en-US" w:eastAsia="zh-CN"/>
        </w:rPr>
        <w:t>4、</w:t>
      </w:r>
      <w:r>
        <w:rPr>
          <w:rFonts w:hint="eastAsia"/>
          <w:sz w:val="24"/>
          <w:szCs w:val="28"/>
        </w:rPr>
        <w:t>组织教师积极参加常州市同课异构、数字化学习、数学实验项目组活动。</w:t>
      </w:r>
    </w:p>
    <w:p>
      <w:pPr>
        <w:pStyle w:val="12"/>
        <w:numPr>
          <w:ilvl w:val="0"/>
          <w:numId w:val="0"/>
        </w:numPr>
        <w:tabs>
          <w:tab w:val="left" w:pos="2127"/>
        </w:tabs>
        <w:ind w:leftChars="0"/>
        <w:rPr>
          <w:rFonts w:hint="default" w:eastAsiaTheme="minorEastAsia"/>
          <w:b/>
          <w:bCs/>
          <w:sz w:val="24"/>
          <w:szCs w:val="28"/>
          <w:lang w:val="en-US" w:eastAsia="zh-CN"/>
        </w:rPr>
      </w:pPr>
      <w:r>
        <w:rPr>
          <w:rFonts w:hint="eastAsia"/>
          <w:b/>
          <w:bCs/>
          <w:sz w:val="24"/>
          <w:szCs w:val="28"/>
          <w:lang w:val="en-US" w:eastAsia="zh-CN"/>
        </w:rPr>
        <w:t>三、文化引领</w:t>
      </w:r>
    </w:p>
    <w:p>
      <w:pPr>
        <w:rPr>
          <w:rFonts w:hint="eastAsia"/>
          <w:sz w:val="24"/>
          <w:szCs w:val="28"/>
          <w:lang w:val="en-US" w:eastAsia="zh-CN"/>
        </w:rPr>
      </w:pPr>
      <w:r>
        <w:rPr>
          <w:rFonts w:hint="eastAsia"/>
          <w:sz w:val="24"/>
          <w:szCs w:val="28"/>
          <w:lang w:val="en-US" w:eastAsia="zh-CN"/>
        </w:rPr>
        <w:t>1、文化滋养凝心力，助力学科明方向</w:t>
      </w:r>
    </w:p>
    <w:p>
      <w:pPr>
        <w:tabs>
          <w:tab w:val="left" w:pos="2127"/>
        </w:tabs>
        <w:spacing w:line="360" w:lineRule="auto"/>
        <w:ind w:left="360" w:firstLine="420" w:firstLineChars="200"/>
        <w:rPr>
          <w:rFonts w:hint="eastAsia"/>
          <w:szCs w:val="21"/>
          <w:lang w:val="en-US" w:eastAsia="zh-CN"/>
        </w:rPr>
      </w:pPr>
      <w:r>
        <w:rPr>
          <w:rFonts w:hint="eastAsia"/>
          <w:szCs w:val="21"/>
          <w:lang w:val="en-US" w:eastAsia="zh-CN"/>
        </w:rPr>
        <w:t>数学组坚持“</w:t>
      </w:r>
      <w:r>
        <w:rPr>
          <w:rFonts w:hint="eastAsia"/>
          <w:b/>
          <w:bCs/>
          <w:szCs w:val="21"/>
          <w:lang w:val="en-US" w:eastAsia="zh-CN"/>
        </w:rPr>
        <w:t>‘</w:t>
      </w:r>
      <w:r>
        <w:rPr>
          <w:rFonts w:hint="default"/>
          <w:b/>
          <w:bCs/>
          <w:szCs w:val="21"/>
          <w:lang w:val="en-US" w:eastAsia="zh-CN"/>
        </w:rPr>
        <w:t>真</w:t>
      </w:r>
      <w:r>
        <w:rPr>
          <w:rFonts w:hint="eastAsia"/>
          <w:b/>
          <w:bCs/>
          <w:szCs w:val="21"/>
          <w:lang w:val="en-US" w:eastAsia="zh-CN"/>
        </w:rPr>
        <w:t>’</w:t>
      </w:r>
      <w:r>
        <w:rPr>
          <w:rFonts w:hint="default"/>
          <w:b/>
          <w:bCs/>
          <w:szCs w:val="21"/>
          <w:lang w:val="en-US" w:eastAsia="zh-CN"/>
        </w:rPr>
        <w:t>的平台</w:t>
      </w:r>
      <w:r>
        <w:rPr>
          <w:rFonts w:hint="eastAsia"/>
          <w:szCs w:val="21"/>
          <w:lang w:val="en-US" w:eastAsia="zh-CN"/>
        </w:rPr>
        <w:t>：</w:t>
      </w:r>
      <w:r>
        <w:rPr>
          <w:rFonts w:hint="default"/>
          <w:szCs w:val="21"/>
          <w:lang w:val="en-US" w:eastAsia="zh-CN"/>
        </w:rPr>
        <w:t>开展真实践，明晰真路径，建设真项目，寻求真策略；</w:t>
      </w:r>
      <w:r>
        <w:rPr>
          <w:rFonts w:hint="eastAsia"/>
          <w:b/>
          <w:bCs/>
          <w:szCs w:val="21"/>
          <w:lang w:val="en-US" w:eastAsia="zh-CN"/>
        </w:rPr>
        <w:t>‘</w:t>
      </w:r>
      <w:r>
        <w:rPr>
          <w:rFonts w:hint="default"/>
          <w:b/>
          <w:bCs/>
          <w:szCs w:val="21"/>
          <w:lang w:val="en-US" w:eastAsia="zh-CN"/>
        </w:rPr>
        <w:t>动</w:t>
      </w:r>
      <w:r>
        <w:rPr>
          <w:rFonts w:hint="eastAsia"/>
          <w:b/>
          <w:bCs/>
          <w:szCs w:val="21"/>
          <w:lang w:val="en-US" w:eastAsia="zh-CN"/>
        </w:rPr>
        <w:t>’</w:t>
      </w:r>
      <w:r>
        <w:rPr>
          <w:rFonts w:hint="default"/>
          <w:b/>
          <w:bCs/>
          <w:szCs w:val="21"/>
          <w:lang w:val="en-US" w:eastAsia="zh-CN"/>
        </w:rPr>
        <w:t>的舞台</w:t>
      </w:r>
      <w:r>
        <w:rPr>
          <w:rFonts w:hint="eastAsia"/>
          <w:szCs w:val="21"/>
          <w:lang w:val="en-US" w:eastAsia="zh-CN"/>
        </w:rPr>
        <w:t>：</w:t>
      </w:r>
      <w:r>
        <w:rPr>
          <w:rFonts w:hint="default"/>
          <w:szCs w:val="21"/>
          <w:lang w:val="en-US" w:eastAsia="zh-CN"/>
        </w:rPr>
        <w:t>灵动的课堂，生动的分享，互动的交往，能动的创想</w:t>
      </w:r>
      <w:r>
        <w:rPr>
          <w:rFonts w:hint="eastAsia"/>
          <w:szCs w:val="21"/>
          <w:lang w:val="en-US" w:eastAsia="zh-CN"/>
        </w:rPr>
        <w:t>”的精神文化，不断优化</w:t>
      </w:r>
      <w:r>
        <w:rPr>
          <w:rFonts w:hint="eastAsia"/>
          <w:szCs w:val="21"/>
        </w:rPr>
        <w:t>教师教学理念</w:t>
      </w:r>
      <w:r>
        <w:rPr>
          <w:rFonts w:hint="eastAsia"/>
          <w:szCs w:val="21"/>
          <w:lang w:eastAsia="zh-CN"/>
        </w:rPr>
        <w:t>，</w:t>
      </w:r>
      <w:r>
        <w:rPr>
          <w:rFonts w:hint="eastAsia"/>
          <w:szCs w:val="21"/>
          <w:lang w:val="en-US" w:eastAsia="zh-CN"/>
        </w:rPr>
        <w:t>提升</w:t>
      </w:r>
      <w:r>
        <w:rPr>
          <w:rFonts w:hint="eastAsia"/>
          <w:szCs w:val="21"/>
        </w:rPr>
        <w:t>课程理解力</w:t>
      </w:r>
      <w:r>
        <w:rPr>
          <w:rFonts w:hint="eastAsia"/>
          <w:szCs w:val="21"/>
          <w:lang w:val="en-US" w:eastAsia="zh-CN"/>
        </w:rPr>
        <w:t>以及教学素养，发展数学教师的专业化成长，促进</w:t>
      </w:r>
      <w:r>
        <w:rPr>
          <w:rFonts w:hint="eastAsia"/>
          <w:szCs w:val="21"/>
        </w:rPr>
        <w:t>学校数学教育与儿童数学</w:t>
      </w:r>
      <w:r>
        <w:rPr>
          <w:rFonts w:hint="eastAsia"/>
          <w:szCs w:val="21"/>
          <w:lang w:val="en-US" w:eastAsia="zh-CN"/>
        </w:rPr>
        <w:t>内涵的提升。</w:t>
      </w:r>
    </w:p>
    <w:p>
      <w:pPr>
        <w:pStyle w:val="12"/>
        <w:numPr>
          <w:ilvl w:val="0"/>
          <w:numId w:val="0"/>
        </w:numPr>
        <w:tabs>
          <w:tab w:val="left" w:pos="2127"/>
        </w:tabs>
        <w:ind w:leftChars="0"/>
        <w:rPr>
          <w:rFonts w:hint="default"/>
          <w:b/>
          <w:bCs/>
          <w:sz w:val="24"/>
          <w:szCs w:val="28"/>
          <w:lang w:val="en-US" w:eastAsia="zh-CN"/>
        </w:rPr>
      </w:pPr>
      <w:r>
        <w:rPr>
          <w:rFonts w:hint="eastAsia"/>
          <w:b/>
          <w:bCs/>
          <w:sz w:val="24"/>
          <w:szCs w:val="28"/>
          <w:lang w:val="en-US" w:eastAsia="zh-CN"/>
        </w:rPr>
        <w:t>四、教师发展</w:t>
      </w:r>
    </w:p>
    <w:p>
      <w:pPr>
        <w:tabs>
          <w:tab w:val="left" w:pos="2127"/>
        </w:tabs>
        <w:spacing w:line="360" w:lineRule="auto"/>
        <w:ind w:firstLine="420" w:firstLineChars="200"/>
        <w:rPr>
          <w:rFonts w:hint="default"/>
          <w:szCs w:val="21"/>
          <w:lang w:val="en-US" w:eastAsia="zh-CN"/>
        </w:rPr>
      </w:pPr>
      <w:r>
        <w:rPr>
          <w:rFonts w:hint="eastAsia" w:asciiTheme="minorHAnsi" w:hAnsiTheme="minorHAnsi" w:eastAsiaTheme="minorEastAsia" w:cstheme="minorBidi"/>
          <w:kern w:val="2"/>
          <w:sz w:val="21"/>
          <w:szCs w:val="21"/>
          <w:lang w:val="en-US" w:eastAsia="zh-CN" w:bidi="ar-SA"/>
        </w:rPr>
        <w:t>本学期我们每月</w:t>
      </w:r>
      <w:r>
        <w:rPr>
          <w:rFonts w:hint="eastAsia" w:cstheme="minorBidi"/>
          <w:kern w:val="2"/>
          <w:sz w:val="21"/>
          <w:szCs w:val="21"/>
          <w:lang w:val="en-US" w:eastAsia="zh-CN" w:bidi="ar-SA"/>
        </w:rPr>
        <w:t>以</w:t>
      </w:r>
      <w:r>
        <w:rPr>
          <w:rFonts w:hint="eastAsia" w:cstheme="minorBidi"/>
          <w:b/>
          <w:bCs/>
          <w:kern w:val="2"/>
          <w:sz w:val="21"/>
          <w:szCs w:val="21"/>
          <w:lang w:val="en-US" w:eastAsia="zh-CN" w:bidi="ar-SA"/>
        </w:rPr>
        <w:t>1+1+</w:t>
      </w:r>
      <w:r>
        <w:rPr>
          <w:rFonts w:hint="eastAsia" w:asciiTheme="minorHAnsi" w:hAnsiTheme="minorHAnsi" w:eastAsiaTheme="minorEastAsia" w:cstheme="minorBidi"/>
          <w:b/>
          <w:bCs/>
          <w:kern w:val="2"/>
          <w:sz w:val="21"/>
          <w:szCs w:val="21"/>
          <w:lang w:val="en-US" w:eastAsia="zh-CN" w:bidi="ar-SA"/>
        </w:rPr>
        <w:t>2</w:t>
      </w:r>
      <w:r>
        <w:rPr>
          <w:rFonts w:hint="eastAsia" w:asciiTheme="minorHAnsi" w:hAnsiTheme="minorHAnsi" w:eastAsiaTheme="minorEastAsia" w:cstheme="minorBidi"/>
          <w:kern w:val="2"/>
          <w:sz w:val="21"/>
          <w:szCs w:val="21"/>
          <w:lang w:val="en-US" w:eastAsia="zh-CN" w:bidi="ar-SA"/>
        </w:rPr>
        <w:t>模式</w:t>
      </w:r>
      <w:r>
        <w:rPr>
          <w:rFonts w:hint="eastAsia" w:cstheme="minorBidi"/>
          <w:kern w:val="2"/>
          <w:sz w:val="21"/>
          <w:szCs w:val="21"/>
          <w:lang w:val="en-US" w:eastAsia="zh-CN" w:bidi="ar-SA"/>
        </w:rPr>
        <w:t>开展研究日活动。</w:t>
      </w:r>
    </w:p>
    <w:p>
      <w:pPr>
        <w:pStyle w:val="12"/>
        <w:numPr>
          <w:ilvl w:val="0"/>
          <w:numId w:val="0"/>
        </w:numPr>
        <w:spacing w:line="420" w:lineRule="exact"/>
        <w:ind w:leftChars="0"/>
        <w:rPr>
          <w:rFonts w:hint="eastAsia" w:cstheme="minorBidi"/>
          <w:kern w:val="2"/>
          <w:sz w:val="21"/>
          <w:szCs w:val="21"/>
          <w:lang w:val="en-US" w:eastAsia="zh-CN" w:bidi="ar-SA"/>
        </w:rPr>
      </w:pPr>
      <w:r>
        <w:rPr>
          <w:rFonts w:hint="eastAsia" w:asciiTheme="majorEastAsia" w:hAnsiTheme="majorEastAsia" w:eastAsiaTheme="majorEastAsia"/>
          <w:b/>
          <w:sz w:val="24"/>
          <w:szCs w:val="24"/>
          <w:lang w:val="en-US" w:eastAsia="zh-CN"/>
        </w:rPr>
        <w:t>1、集思广益聚才智，深度研学助成长</w:t>
      </w:r>
    </w:p>
    <w:p>
      <w:pPr>
        <w:pStyle w:val="12"/>
        <w:numPr>
          <w:ilvl w:val="0"/>
          <w:numId w:val="0"/>
        </w:numPr>
        <w:spacing w:line="420" w:lineRule="exact"/>
        <w:ind w:leftChars="0" w:firstLine="420" w:firstLineChars="200"/>
        <w:rPr>
          <w:rFonts w:hint="eastAsia"/>
          <w:color w:val="FF0000"/>
          <w:szCs w:val="21"/>
          <w:lang w:val="en-US" w:eastAsia="zh-CN"/>
        </w:rPr>
      </w:pPr>
      <w:r>
        <w:rPr>
          <w:rFonts w:hint="eastAsia"/>
          <w:szCs w:val="21"/>
        </w:rPr>
        <w:t>教材的专业化解读是教师学科素养提升最为关键的要素，也是教师最为日常的事项。</w:t>
      </w:r>
      <w:r>
        <w:rPr>
          <w:rFonts w:hint="eastAsia"/>
          <w:szCs w:val="21"/>
          <w:lang w:val="en-US" w:eastAsia="zh-CN"/>
        </w:rPr>
        <w:t>基于此，我们每月</w:t>
      </w:r>
      <w:r>
        <w:rPr>
          <w:rFonts w:hint="eastAsia"/>
          <w:b/>
          <w:bCs/>
          <w:szCs w:val="21"/>
          <w:lang w:val="en-US" w:eastAsia="zh-CN"/>
        </w:rPr>
        <w:t>1次</w:t>
      </w:r>
      <w:r>
        <w:rPr>
          <w:rFonts w:hint="eastAsia"/>
          <w:szCs w:val="21"/>
          <w:lang w:val="en-US" w:eastAsia="zh-CN"/>
        </w:rPr>
        <w:t>开展教材解读＋读书分享活动。大家读思结合，一篇篇阅读笔记，一次次读书交流，校教材解读展示中的凯凯而谈，笃定自信，无疑就是大家努力的最好见证。其实像这样通过老师们彼此交流、共同分享，也提高了数学教师科研及论文写作的兴趣。</w:t>
      </w:r>
    </w:p>
    <w:p>
      <w:pPr>
        <w:pStyle w:val="12"/>
        <w:numPr>
          <w:ilvl w:val="0"/>
          <w:numId w:val="0"/>
        </w:numPr>
        <w:spacing w:line="420" w:lineRule="exact"/>
        <w:ind w:leftChars="0"/>
        <w:rPr>
          <w:rFonts w:hint="eastAsia" w:cstheme="minorBidi"/>
          <w:kern w:val="2"/>
          <w:sz w:val="21"/>
          <w:szCs w:val="21"/>
          <w:lang w:val="en-US" w:eastAsia="zh-CN" w:bidi="ar-SA"/>
        </w:rPr>
      </w:pPr>
      <w:r>
        <w:rPr>
          <w:rFonts w:hint="eastAsia" w:cstheme="minorBidi"/>
          <w:kern w:val="2"/>
          <w:sz w:val="21"/>
          <w:szCs w:val="21"/>
          <w:lang w:val="en-US" w:eastAsia="zh-CN" w:bidi="ar-SA"/>
        </w:rPr>
        <w:t>为了凝集教师合力，营造良好的教学研究氛围，增强教师合作意识，每月</w:t>
      </w:r>
      <w:r>
        <w:rPr>
          <w:rFonts w:hint="eastAsia" w:cstheme="minorBidi"/>
          <w:b/>
          <w:bCs/>
          <w:kern w:val="2"/>
          <w:sz w:val="21"/>
          <w:szCs w:val="21"/>
          <w:lang w:val="en-US" w:eastAsia="zh-CN" w:bidi="ar-SA"/>
        </w:rPr>
        <w:t>1次</w:t>
      </w:r>
      <w:r>
        <w:rPr>
          <w:rFonts w:hint="eastAsia" w:cstheme="minorBidi"/>
          <w:kern w:val="2"/>
          <w:sz w:val="21"/>
          <w:szCs w:val="21"/>
          <w:lang w:val="en-US" w:eastAsia="zh-CN" w:bidi="ar-SA"/>
        </w:rPr>
        <w:t>的集备时间很有必要！在各教研组长的带领下，研讨编排意图、教学重难点、资源处理、过程推进......有疑问、教学设想、有新意的地方共同交流、讨论、思考、大家取长补短。数学组将“和而不同”作为集体备课的思维指向，只统一思想,不统一教案,把集体备课和独立备课有机结合起来。老师们都能积极接纳集体生成的智慧,修正原先的教学思路,从本班学生的实际情况出发,设计适合自己的教学方案。</w:t>
      </w:r>
    </w:p>
    <w:p>
      <w:pPr>
        <w:pStyle w:val="12"/>
        <w:numPr>
          <w:ilvl w:val="0"/>
          <w:numId w:val="0"/>
        </w:numPr>
        <w:spacing w:line="420" w:lineRule="exact"/>
        <w:ind w:leftChars="0"/>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lang w:val="en-US" w:eastAsia="zh-CN"/>
        </w:rPr>
        <w:t>2、聚焦课堂展风采，宝剑锋从磨砺出</w:t>
      </w:r>
    </w:p>
    <w:p>
      <w:pPr>
        <w:pStyle w:val="12"/>
        <w:numPr>
          <w:ilvl w:val="0"/>
          <w:numId w:val="0"/>
        </w:numPr>
        <w:spacing w:line="420" w:lineRule="exact"/>
        <w:ind w:leftChars="0" w:firstLine="420" w:firstLineChars="200"/>
        <w:rPr>
          <w:rFonts w:hint="default" w:eastAsiaTheme="minorEastAsia" w:cstheme="minorBidi"/>
          <w:color w:val="FF0000"/>
          <w:kern w:val="2"/>
          <w:sz w:val="21"/>
          <w:szCs w:val="21"/>
          <w:lang w:val="en-US" w:eastAsia="zh-CN" w:bidi="ar-SA"/>
        </w:rPr>
      </w:pPr>
      <w:r>
        <w:rPr>
          <w:rFonts w:hint="eastAsia"/>
          <w:szCs w:val="21"/>
        </w:rPr>
        <w:t>学科组</w:t>
      </w:r>
      <w:r>
        <w:rPr>
          <w:rFonts w:hint="eastAsia"/>
          <w:szCs w:val="21"/>
          <w:lang w:val="en-US" w:eastAsia="zh-CN"/>
        </w:rPr>
        <w:t>每月</w:t>
      </w:r>
      <w:r>
        <w:rPr>
          <w:rFonts w:hint="eastAsia"/>
          <w:b/>
          <w:bCs/>
          <w:szCs w:val="21"/>
          <w:lang w:val="en-US" w:eastAsia="zh-CN"/>
        </w:rPr>
        <w:t>2次</w:t>
      </w:r>
      <w:r>
        <w:rPr>
          <w:rFonts w:hint="eastAsia"/>
          <w:szCs w:val="21"/>
        </w:rPr>
        <w:t>开展围绕研究主题的课堂教学活动</w:t>
      </w:r>
      <w:r>
        <w:rPr>
          <w:rFonts w:hint="eastAsia"/>
          <w:szCs w:val="21"/>
          <w:lang w:eastAsia="zh-CN"/>
        </w:rPr>
        <w:t>。内容设计上兼顾不同类型，</w:t>
      </w:r>
      <w:r>
        <w:rPr>
          <w:rFonts w:hint="eastAsia"/>
          <w:szCs w:val="21"/>
          <w:lang w:val="en-US" w:eastAsia="zh-CN"/>
        </w:rPr>
        <w:t>计算、图形、解决问题的策略、规律探究......</w:t>
      </w:r>
      <w:r>
        <w:rPr>
          <w:rFonts w:hint="eastAsia"/>
          <w:szCs w:val="21"/>
          <w:lang w:eastAsia="zh-CN"/>
        </w:rPr>
        <w:t>通过多种课型，多种教研方式【</w:t>
      </w:r>
      <w:r>
        <w:rPr>
          <w:rFonts w:hint="eastAsia"/>
          <w:szCs w:val="21"/>
          <w:lang w:val="en-US" w:eastAsia="zh-CN"/>
        </w:rPr>
        <w:t>大组、组组（报道）】</w:t>
      </w:r>
      <w:r>
        <w:rPr>
          <w:rFonts w:hint="eastAsia"/>
          <w:szCs w:val="21"/>
          <w:lang w:eastAsia="zh-CN"/>
        </w:rPr>
        <w:t>打开教师视野、丰富教师经验、拓宽教师眼界，从而提高教师的教材解读能力和课堂教学素养。当然不同的老师我们邀请了不同的专家进行专业性的培养，</w:t>
      </w:r>
      <w:r>
        <w:rPr>
          <w:rFonts w:hint="eastAsia"/>
          <w:szCs w:val="21"/>
          <w:lang w:val="en-US" w:eastAsia="zh-CN"/>
        </w:rPr>
        <w:t>蒋敏杰</w:t>
      </w:r>
      <w:r>
        <w:rPr>
          <w:rFonts w:hint="eastAsia"/>
          <w:szCs w:val="21"/>
          <w:lang w:eastAsia="zh-CN"/>
        </w:rPr>
        <w:t>校长指导成熟型骨干教师的课堂，</w:t>
      </w:r>
      <w:r>
        <w:rPr>
          <w:rFonts w:hint="eastAsia"/>
          <w:szCs w:val="21"/>
          <w:lang w:val="en-US" w:eastAsia="zh-CN"/>
        </w:rPr>
        <w:t>陈建伟校长</w:t>
      </w:r>
      <w:r>
        <w:rPr>
          <w:rFonts w:hint="eastAsia"/>
          <w:szCs w:val="21"/>
          <w:lang w:eastAsia="zh-CN"/>
        </w:rPr>
        <w:t>指导青年骨干教师的课堂。</w:t>
      </w:r>
      <w:r>
        <w:rPr>
          <w:rFonts w:hint="eastAsia"/>
          <w:szCs w:val="21"/>
          <w:lang w:val="en-US" w:eastAsia="zh-CN"/>
        </w:rPr>
        <w:t>我们</w:t>
      </w:r>
      <w:r>
        <w:rPr>
          <w:rFonts w:hint="eastAsia"/>
          <w:szCs w:val="21"/>
          <w:lang w:eastAsia="zh-CN"/>
        </w:rPr>
        <w:t>和荆老师</w:t>
      </w:r>
      <w:r>
        <w:rPr>
          <w:rFonts w:hint="eastAsia"/>
          <w:szCs w:val="21"/>
          <w:lang w:val="en-US" w:eastAsia="zh-CN"/>
        </w:rPr>
        <w:t>时常</w:t>
      </w:r>
      <w:r>
        <w:rPr>
          <w:rFonts w:hint="eastAsia"/>
          <w:szCs w:val="21"/>
          <w:lang w:eastAsia="zh-CN"/>
        </w:rPr>
        <w:t>推门听课</w:t>
      </w:r>
      <w:r>
        <w:rPr>
          <w:rFonts w:hint="eastAsia"/>
          <w:szCs w:val="21"/>
          <w:lang w:val="en-US" w:eastAsia="zh-CN"/>
        </w:rPr>
        <w:t>来了解新</w:t>
      </w:r>
      <w:r>
        <w:rPr>
          <w:rFonts w:hint="eastAsia"/>
          <w:szCs w:val="21"/>
          <w:lang w:eastAsia="zh-CN"/>
        </w:rPr>
        <w:t>教师的上课行为、课堂教学情况、授课质量，帮助</w:t>
      </w:r>
      <w:r>
        <w:rPr>
          <w:rFonts w:hint="eastAsia"/>
          <w:szCs w:val="21"/>
          <w:lang w:val="en-US" w:eastAsia="zh-CN"/>
        </w:rPr>
        <w:t>老师们</w:t>
      </w:r>
      <w:r>
        <w:rPr>
          <w:rFonts w:hint="eastAsia"/>
          <w:szCs w:val="21"/>
          <w:lang w:eastAsia="zh-CN"/>
        </w:rPr>
        <w:t>提高教育教学水平、提高教师队伍的业务水平。</w:t>
      </w:r>
    </w:p>
    <w:p>
      <w:pPr>
        <w:pStyle w:val="12"/>
        <w:numPr>
          <w:ilvl w:val="0"/>
          <w:numId w:val="0"/>
        </w:numPr>
        <w:spacing w:line="420" w:lineRule="exact"/>
        <w:rPr>
          <w:rFonts w:hint="default"/>
          <w:szCs w:val="21"/>
          <w:lang w:val="en-US" w:eastAsia="zh-CN"/>
        </w:rPr>
      </w:pPr>
      <w:r>
        <w:rPr>
          <w:rFonts w:hint="eastAsia" w:asciiTheme="majorEastAsia" w:hAnsiTheme="majorEastAsia" w:eastAsiaTheme="majorEastAsia"/>
          <w:b/>
          <w:sz w:val="24"/>
          <w:szCs w:val="24"/>
          <w:lang w:val="en-US" w:eastAsia="zh-CN"/>
        </w:rPr>
        <w:t>3、课题研究为抓手，做真教研促发展</w:t>
      </w:r>
    </w:p>
    <w:p>
      <w:pPr>
        <w:pStyle w:val="12"/>
        <w:numPr>
          <w:ilvl w:val="0"/>
          <w:numId w:val="0"/>
        </w:numPr>
        <w:spacing w:line="420" w:lineRule="exact"/>
        <w:ind w:leftChars="0" w:firstLine="420" w:firstLineChars="200"/>
        <w:rPr>
          <w:rFonts w:hint="eastAsia"/>
          <w:szCs w:val="21"/>
          <w:lang w:val="en-US" w:eastAsia="zh-CN"/>
        </w:rPr>
      </w:pPr>
      <w:r>
        <w:rPr>
          <w:rFonts w:hint="eastAsia"/>
          <w:szCs w:val="21"/>
          <w:lang w:val="en-US" w:eastAsia="zh-CN"/>
        </w:rPr>
        <w:t>本学期我们致力于“生成性学习资源”和“数学命题”两大项目组，帮助打开</w:t>
      </w:r>
      <w:r>
        <w:rPr>
          <w:rFonts w:hint="eastAsia"/>
          <w:szCs w:val="21"/>
        </w:rPr>
        <w:t>解决问题的视角、路径与方式</w:t>
      </w:r>
      <w:r>
        <w:rPr>
          <w:rFonts w:hint="eastAsia"/>
          <w:szCs w:val="21"/>
          <w:lang w:eastAsia="zh-CN"/>
        </w:rPr>
        <w:t>。</w:t>
      </w:r>
      <w:r>
        <w:rPr>
          <w:rFonts w:hint="eastAsia"/>
          <w:b/>
          <w:bCs/>
          <w:szCs w:val="21"/>
          <w:lang w:val="en-US" w:eastAsia="zh-CN"/>
        </w:rPr>
        <w:t>“生成性学习资源</w:t>
      </w:r>
      <w:r>
        <w:rPr>
          <w:rFonts w:hint="eastAsia"/>
          <w:szCs w:val="21"/>
          <w:lang w:val="en-US" w:eastAsia="zh-CN"/>
        </w:rPr>
        <w:t>”的</w:t>
      </w:r>
      <w:r>
        <w:rPr>
          <w:rFonts w:hint="eastAsia"/>
          <w:szCs w:val="21"/>
          <w:lang w:eastAsia="zh-CN"/>
        </w:rPr>
        <w:t>项目在各位老师的课堂上都有了很好的体现，</w:t>
      </w:r>
      <w:r>
        <w:rPr>
          <w:rFonts w:hint="eastAsia"/>
          <w:szCs w:val="21"/>
          <w:lang w:val="en-US" w:eastAsia="zh-CN"/>
        </w:rPr>
        <w:t>老师们预设、捕捉和呈现资源的意识已成常态化，各组也都建立本年级数学资源库，并尝试进行梳理。在“双减” 的背景下，为了准确研判教学命题新趋势、新动向、新方法，</w:t>
      </w:r>
      <w:r>
        <w:rPr>
          <w:rFonts w:hint="eastAsia"/>
          <w:b/>
          <w:bCs/>
          <w:szCs w:val="21"/>
          <w:lang w:val="en-US" w:eastAsia="zh-CN"/>
        </w:rPr>
        <w:t>“数学命题”</w:t>
      </w:r>
      <w:r>
        <w:rPr>
          <w:rFonts w:hint="eastAsia"/>
          <w:szCs w:val="21"/>
          <w:lang w:val="en-US" w:eastAsia="zh-CN"/>
        </w:rPr>
        <w:t>项目组也在努力，</w:t>
      </w:r>
      <w:r>
        <w:rPr>
          <w:rFonts w:hint="eastAsia"/>
          <w:szCs w:val="21"/>
        </w:rPr>
        <w:t>目前为止已经完成期中和期末的试卷，试卷的质量比较高</w:t>
      </w:r>
      <w:r>
        <w:rPr>
          <w:rFonts w:hint="eastAsia"/>
          <w:color w:val="FF0000"/>
          <w:szCs w:val="21"/>
          <w:lang w:val="en-US" w:eastAsia="zh-CN"/>
        </w:rPr>
        <w:t>。</w:t>
      </w:r>
      <w:r>
        <w:rPr>
          <w:rFonts w:hint="eastAsia"/>
          <w:color w:val="000000" w:themeColor="text1"/>
          <w:szCs w:val="21"/>
          <w:lang w:val="en-US" w:eastAsia="zh-CN"/>
          <w14:textFill>
            <w14:solidFill>
              <w14:schemeClr w14:val="tx1"/>
            </w14:solidFill>
          </w14:textFill>
        </w:rPr>
        <w:t>当然每一个教研组也也根据自己年级的特点，有序列，有梯度的形成了有自己的研究小专题。使</w:t>
      </w:r>
      <w:r>
        <w:rPr>
          <w:rFonts w:hint="eastAsia"/>
          <w:szCs w:val="21"/>
        </w:rPr>
        <w:t>人人经历，人人成长</w:t>
      </w:r>
      <w:r>
        <w:rPr>
          <w:rFonts w:hint="eastAsia"/>
          <w:szCs w:val="21"/>
          <w:lang w:eastAsia="zh-CN"/>
        </w:rPr>
        <w:t>，</w:t>
      </w:r>
      <w:r>
        <w:rPr>
          <w:rFonts w:hint="eastAsia"/>
          <w:szCs w:val="21"/>
          <w:lang w:val="en-US" w:eastAsia="zh-CN"/>
        </w:rPr>
        <w:t>做真教研！</w:t>
      </w:r>
    </w:p>
    <w:p>
      <w:pPr>
        <w:pStyle w:val="12"/>
        <w:numPr>
          <w:ilvl w:val="0"/>
          <w:numId w:val="0"/>
        </w:numPr>
        <w:tabs>
          <w:tab w:val="left" w:pos="2127"/>
        </w:tabs>
        <w:ind w:leftChars="0"/>
        <w:rPr>
          <w:rFonts w:hint="default"/>
          <w:b/>
          <w:bCs/>
          <w:sz w:val="24"/>
          <w:szCs w:val="28"/>
          <w:lang w:val="en-US" w:eastAsia="zh-CN"/>
        </w:rPr>
      </w:pPr>
      <w:r>
        <w:rPr>
          <w:rFonts w:hint="eastAsia"/>
          <w:b/>
          <w:bCs/>
          <w:sz w:val="24"/>
          <w:szCs w:val="28"/>
          <w:lang w:val="en-US" w:eastAsia="zh-CN"/>
        </w:rPr>
        <w:t>五、学生成长</w:t>
      </w:r>
    </w:p>
    <w:p>
      <w:pPr>
        <w:pStyle w:val="12"/>
        <w:numPr>
          <w:ilvl w:val="0"/>
          <w:numId w:val="0"/>
        </w:numPr>
        <w:spacing w:line="420" w:lineRule="exact"/>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lang w:val="en-US" w:eastAsia="zh-CN"/>
        </w:rPr>
        <w:t>1.多彩活动提思维，精彩数学巧创生</w:t>
      </w:r>
    </w:p>
    <w:p>
      <w:pPr>
        <w:pStyle w:val="12"/>
        <w:numPr>
          <w:ilvl w:val="0"/>
          <w:numId w:val="0"/>
        </w:numPr>
        <w:spacing w:line="420" w:lineRule="exact"/>
        <w:ind w:leftChars="0" w:firstLine="420" w:firstLineChars="200"/>
        <w:rPr>
          <w:rFonts w:hint="eastAsia"/>
          <w:lang w:val="en-US" w:eastAsia="zh-CN"/>
        </w:rPr>
      </w:pPr>
      <w:r>
        <w:rPr>
          <w:rFonts w:hint="eastAsia"/>
          <w:szCs w:val="21"/>
          <w:lang w:val="en-US" w:eastAsia="zh-CN"/>
        </w:rPr>
        <w:t>（1）“双减”背景下如何让数学作业既减“量”又增“质”；既充满趣味，又保含思维深度？各组学习了潘院关于围绕指向作业高质量设计的课堂教学模式的讲座，深耕作业微研究，探索教学新样态，设计并开展主题鲜明，形式丰富，内容有趣的作业改革。比如有的年级课时作业分层设计，体现弹性和个性化；有的年级对练习进行删选和分配，灵活选择作业的时间和方式.....围绕着“学科关键能力”，以学科素养培养为核心，各组开展丰富的能级过关，让数学学科教学走向课程实施，更全面地提升小学数学课程实施水平和学生学业水平</w:t>
      </w:r>
      <w:r>
        <w:rPr>
          <w:rFonts w:hint="eastAsia"/>
          <w:color w:val="FF0000"/>
          <w:szCs w:val="21"/>
          <w:lang w:val="en-US" w:eastAsia="zh-CN"/>
        </w:rPr>
        <w:t>。</w:t>
      </w:r>
      <w:r>
        <w:rPr>
          <w:rFonts w:hint="eastAsia"/>
          <w:szCs w:val="21"/>
          <w:lang w:val="en-US" w:eastAsia="zh-CN"/>
        </w:rPr>
        <w:t xml:space="preserve"> “双减”不减成长，“减负”不减质量。</w:t>
      </w:r>
      <w:r>
        <w:rPr>
          <w:rFonts w:hint="eastAsia"/>
          <w:lang w:val="en-US" w:eastAsia="zh-CN"/>
        </w:rPr>
        <w:t>低年级</w:t>
      </w:r>
      <w:r>
        <w:rPr>
          <w:rFonts w:hint="eastAsia"/>
          <w:szCs w:val="21"/>
          <w:lang w:val="en-US" w:eastAsia="zh-CN"/>
        </w:rPr>
        <w:t>积极探索评价多元方式，</w:t>
      </w:r>
      <w:r>
        <w:rPr>
          <w:rFonts w:hint="eastAsia"/>
          <w:lang w:val="en-US" w:eastAsia="zh-CN"/>
        </w:rPr>
        <w:t>基于学生心理特点和数学学科特点，立足数学核心素养，把数学知识融于闯关活动当中</w:t>
      </w:r>
      <w:r>
        <w:rPr>
          <w:rFonts w:hint="eastAsia"/>
          <w:szCs w:val="21"/>
          <w:lang w:val="en-US" w:eastAsia="zh-CN"/>
        </w:rPr>
        <w:t>，孩子们在“我是计算小能手”“我是操作小达人”“我是讲题小能手”的综合素质评价中做到胸有成竹，</w:t>
      </w:r>
      <w:r>
        <w:rPr>
          <w:rFonts w:hint="eastAsia"/>
          <w:lang w:val="en-US" w:eastAsia="zh-CN"/>
        </w:rPr>
        <w:t>展示自己的个性。</w:t>
      </w:r>
    </w:p>
    <w:p>
      <w:pPr>
        <w:pStyle w:val="12"/>
        <w:numPr>
          <w:ilvl w:val="0"/>
          <w:numId w:val="0"/>
        </w:numPr>
        <w:spacing w:line="420" w:lineRule="exact"/>
        <w:ind w:leftChars="0" w:firstLine="420" w:firstLineChars="200"/>
        <w:rPr>
          <w:rFonts w:hint="default"/>
          <w:szCs w:val="21"/>
          <w:lang w:val="en-US" w:eastAsia="zh-CN"/>
        </w:rPr>
      </w:pPr>
      <w:r>
        <w:rPr>
          <w:rFonts w:hint="eastAsia"/>
          <w:szCs w:val="21"/>
          <w:lang w:val="en-US" w:eastAsia="zh-CN"/>
        </w:rPr>
        <w:t>（2）</w:t>
      </w:r>
      <w:r>
        <w:rPr>
          <w:rFonts w:hint="default"/>
          <w:szCs w:val="21"/>
          <w:lang w:val="en-US" w:eastAsia="zh-CN"/>
        </w:rPr>
        <w:t>基础作业之余</w:t>
      </w:r>
      <w:r>
        <w:rPr>
          <w:rFonts w:hint="eastAsia"/>
          <w:szCs w:val="21"/>
          <w:lang w:val="en-US" w:eastAsia="zh-CN"/>
        </w:rPr>
        <w:t>，</w:t>
      </w:r>
      <w:r>
        <w:rPr>
          <w:rFonts w:hint="default"/>
          <w:szCs w:val="21"/>
          <w:lang w:val="en-US" w:eastAsia="zh-CN"/>
        </w:rPr>
        <w:t>创生性实践作业</w:t>
      </w:r>
      <w:r>
        <w:rPr>
          <w:rFonts w:hint="eastAsia"/>
          <w:szCs w:val="21"/>
          <w:lang w:val="en-US" w:eastAsia="zh-CN"/>
        </w:rPr>
        <w:t>更是丰富多彩：</w:t>
      </w:r>
    </w:p>
    <w:p>
      <w:pPr>
        <w:pStyle w:val="12"/>
        <w:numPr>
          <w:ilvl w:val="0"/>
          <w:numId w:val="0"/>
        </w:numPr>
        <w:spacing w:line="420" w:lineRule="exact"/>
        <w:ind w:leftChars="0" w:firstLine="420" w:firstLineChars="200"/>
        <w:rPr>
          <w:rFonts w:hint="eastAsia"/>
          <w:szCs w:val="21"/>
          <w:lang w:val="en-US" w:eastAsia="zh-CN"/>
        </w:rPr>
      </w:pPr>
      <w:r>
        <w:rPr>
          <w:rFonts w:hint="eastAsia"/>
          <w:color w:val="00B0F0"/>
          <w:szCs w:val="21"/>
          <w:lang w:val="en-US" w:eastAsia="zh-CN"/>
        </w:rPr>
        <w:t>一年级的点滴特色</w:t>
      </w:r>
      <w:r>
        <w:rPr>
          <w:rFonts w:hint="eastAsia"/>
          <w:szCs w:val="21"/>
          <w:lang w:val="en-US" w:eastAsia="zh-CN"/>
        </w:rPr>
        <w:t>：“数字画”“数字连线画”“拼拼搭搭”“捆小棒比赛”“数字卡片的制作及玩法”“能级过关”。改善孩子非智力元素</w:t>
      </w:r>
    </w:p>
    <w:p>
      <w:pPr>
        <w:pStyle w:val="12"/>
        <w:numPr>
          <w:ilvl w:val="0"/>
          <w:numId w:val="0"/>
        </w:numPr>
        <w:spacing w:line="420" w:lineRule="exact"/>
        <w:ind w:leftChars="0" w:firstLine="420" w:firstLineChars="200"/>
        <w:rPr>
          <w:rFonts w:hint="default"/>
          <w:szCs w:val="21"/>
          <w:lang w:val="en-US" w:eastAsia="zh-CN"/>
        </w:rPr>
      </w:pPr>
      <w:r>
        <w:rPr>
          <w:rFonts w:hint="default"/>
          <w:color w:val="00B0F0"/>
          <w:szCs w:val="21"/>
          <w:lang w:val="en-US" w:eastAsia="zh-CN"/>
        </w:rPr>
        <w:t>二年级</w:t>
      </w:r>
      <w:r>
        <w:rPr>
          <w:rFonts w:hint="default"/>
          <w:szCs w:val="21"/>
          <w:lang w:val="en-US" w:eastAsia="zh-CN"/>
        </w:rPr>
        <w:t>的</w:t>
      </w:r>
      <w:r>
        <w:rPr>
          <w:rFonts w:hint="eastAsia"/>
          <w:szCs w:val="21"/>
          <w:lang w:val="en-US" w:eastAsia="zh-CN"/>
        </w:rPr>
        <w:t>百变七巧板、寻找身体尺，记忆对对碰、口诀战，</w:t>
      </w:r>
      <w:r>
        <w:rPr>
          <w:rFonts w:hint="default"/>
          <w:szCs w:val="21"/>
          <w:lang w:val="en-US" w:eastAsia="zh-CN"/>
        </w:rPr>
        <w:t>在动手中的帮助学生拓展数学思维，逐步内化数学知识。</w:t>
      </w:r>
    </w:p>
    <w:p>
      <w:pPr>
        <w:pStyle w:val="12"/>
        <w:numPr>
          <w:ilvl w:val="0"/>
          <w:numId w:val="0"/>
        </w:numPr>
        <w:spacing w:line="420" w:lineRule="exact"/>
        <w:ind w:leftChars="0" w:firstLine="420" w:firstLineChars="200"/>
        <w:rPr>
          <w:rFonts w:hint="eastAsia"/>
          <w:lang w:val="en-US" w:eastAsia="zh-CN"/>
        </w:rPr>
      </w:pPr>
      <w:r>
        <w:rPr>
          <w:rFonts w:hint="eastAsia"/>
          <w:b w:val="0"/>
          <w:bCs w:val="0"/>
          <w:color w:val="00B0F0"/>
          <w:szCs w:val="21"/>
          <w:lang w:val="en-US" w:eastAsia="zh-CN"/>
        </w:rPr>
        <w:t>三年级</w:t>
      </w:r>
      <w:r>
        <w:rPr>
          <w:rFonts w:hint="eastAsia"/>
          <w:szCs w:val="21"/>
          <w:lang w:val="en-US" w:eastAsia="zh-CN"/>
        </w:rPr>
        <w:t>聚焦难点，开展“质量知多少、周长的奥秘、</w:t>
      </w:r>
      <w:r>
        <w:rPr>
          <w:rFonts w:hint="eastAsia"/>
          <w:lang w:eastAsia="zh-Hans"/>
        </w:rPr>
        <w:t>美丽的轴对称</w:t>
      </w:r>
      <w:r>
        <w:rPr>
          <w:rFonts w:hint="eastAsia"/>
          <w:lang w:eastAsia="zh-CN"/>
        </w:rPr>
        <w:t>、</w:t>
      </w:r>
      <w:r>
        <w:rPr>
          <w:rFonts w:hint="eastAsia"/>
          <w:lang w:eastAsia="zh-Hans"/>
        </w:rPr>
        <w:t>多彩的分数条</w:t>
      </w:r>
      <w:r>
        <w:rPr>
          <w:rFonts w:hint="eastAsia"/>
          <w:lang w:eastAsia="zh-CN"/>
        </w:rPr>
        <w:t>”</w:t>
      </w:r>
      <w:r>
        <w:rPr>
          <w:rFonts w:hint="eastAsia"/>
          <w:lang w:val="en-US" w:eastAsia="zh-CN"/>
        </w:rPr>
        <w:t>活动。</w:t>
      </w:r>
    </w:p>
    <w:p>
      <w:pPr>
        <w:pStyle w:val="12"/>
        <w:numPr>
          <w:ilvl w:val="0"/>
          <w:numId w:val="0"/>
        </w:numPr>
        <w:spacing w:line="420" w:lineRule="exact"/>
        <w:ind w:leftChars="0" w:firstLine="420" w:firstLineChars="200"/>
        <w:rPr>
          <w:rFonts w:hint="eastAsia"/>
          <w:lang w:val="en-US" w:eastAsia="zh-CN"/>
        </w:rPr>
      </w:pPr>
      <w:r>
        <w:rPr>
          <w:rFonts w:hint="eastAsia"/>
          <w:color w:val="00B0F0"/>
          <w:lang w:val="en-US" w:eastAsia="zh-CN"/>
        </w:rPr>
        <w:t>四年级</w:t>
      </w:r>
      <w:r>
        <w:rPr>
          <w:rFonts w:hint="eastAsia"/>
          <w:lang w:val="en-US" w:eastAsia="zh-CN"/>
        </w:rPr>
        <w:t>的数学魔术，让他们遇见好玩的数学，有魔力的数学；思维导图，在梳理中帮助学生清晰知识的结构。</w:t>
      </w:r>
    </w:p>
    <w:p>
      <w:pPr>
        <w:pStyle w:val="12"/>
        <w:numPr>
          <w:ilvl w:val="0"/>
          <w:numId w:val="0"/>
        </w:numPr>
        <w:spacing w:line="420" w:lineRule="exact"/>
        <w:ind w:leftChars="0" w:firstLine="420" w:firstLineChars="200"/>
        <w:rPr>
          <w:rFonts w:hint="eastAsia"/>
          <w:lang w:val="en-US" w:eastAsia="zh-CN"/>
        </w:rPr>
      </w:pPr>
      <w:r>
        <w:rPr>
          <w:rFonts w:hint="eastAsia"/>
          <w:color w:val="00B0F0"/>
          <w:lang w:val="en-US" w:eastAsia="zh-CN"/>
        </w:rPr>
        <w:t>五年级</w:t>
      </w:r>
      <w:r>
        <w:rPr>
          <w:rFonts w:hint="eastAsia"/>
          <w:lang w:val="en-US" w:eastAsia="zh-CN"/>
        </w:rPr>
        <w:t>“图形的分割”打破学生惯有的思维定势、建立极限的思想，为后续学习做好铺垫。</w:t>
      </w:r>
    </w:p>
    <w:p>
      <w:pPr>
        <w:pStyle w:val="12"/>
        <w:numPr>
          <w:ilvl w:val="0"/>
          <w:numId w:val="0"/>
        </w:numPr>
        <w:spacing w:line="420" w:lineRule="exact"/>
        <w:ind w:leftChars="0" w:firstLine="420" w:firstLineChars="200"/>
        <w:rPr>
          <w:rFonts w:hint="eastAsia"/>
          <w:lang w:val="en-US" w:eastAsia="zh-CN"/>
        </w:rPr>
      </w:pPr>
      <w:r>
        <w:rPr>
          <w:rFonts w:hint="eastAsia"/>
          <w:color w:val="00B0F0"/>
          <w:lang w:val="en-US" w:eastAsia="zh-CN"/>
        </w:rPr>
        <w:t>六年级</w:t>
      </w:r>
      <w:r>
        <w:rPr>
          <w:rFonts w:hint="eastAsia"/>
          <w:lang w:val="en-US" w:eastAsia="zh-CN"/>
        </w:rPr>
        <w:t>创意拼搭提兴趣、整理知识构体系、主题活动融创意，引导孩子用数学的眼光观察世界，用数学的语言表达世界，用数学的思维思考世界，提升了孩子数学学习的综合能力。</w:t>
      </w:r>
    </w:p>
    <w:p>
      <w:pPr>
        <w:pStyle w:val="12"/>
        <w:numPr>
          <w:ilvl w:val="0"/>
          <w:numId w:val="0"/>
        </w:numPr>
        <w:spacing w:line="420" w:lineRule="exact"/>
        <w:ind w:leftChars="0" w:firstLine="420" w:firstLineChars="200"/>
        <w:rPr>
          <w:rFonts w:hint="default"/>
          <w:lang w:val="en-US" w:eastAsia="zh-CN"/>
        </w:rPr>
      </w:pPr>
    </w:p>
    <w:p>
      <w:pPr>
        <w:pStyle w:val="12"/>
        <w:numPr>
          <w:ilvl w:val="0"/>
          <w:numId w:val="0"/>
        </w:numPr>
        <w:spacing w:line="420" w:lineRule="exact"/>
        <w:rPr>
          <w:rFonts w:hint="eastAsia" w:asciiTheme="majorEastAsia" w:hAnsiTheme="majorEastAsia" w:eastAsiaTheme="majorEastAsia"/>
          <w:b/>
          <w:sz w:val="24"/>
          <w:szCs w:val="24"/>
          <w:lang w:val="en-US" w:eastAsia="zh-CN"/>
        </w:rPr>
      </w:pPr>
    </w:p>
    <w:p>
      <w:pPr>
        <w:pStyle w:val="12"/>
        <w:numPr>
          <w:ilvl w:val="0"/>
          <w:numId w:val="0"/>
        </w:numPr>
        <w:spacing w:line="420" w:lineRule="exact"/>
        <w:rPr>
          <w:rFonts w:hint="default"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lang w:val="en-US" w:eastAsia="zh-CN"/>
        </w:rPr>
        <w:t>2、收获</w:t>
      </w:r>
    </w:p>
    <w:p>
      <w:pPr>
        <w:pStyle w:val="12"/>
        <w:numPr>
          <w:ilvl w:val="0"/>
          <w:numId w:val="0"/>
        </w:numPr>
        <w:spacing w:line="420" w:lineRule="exact"/>
        <w:ind w:leftChars="0" w:firstLine="420" w:firstLineChars="200"/>
        <w:rPr>
          <w:rFonts w:hint="eastAsia"/>
          <w:lang w:val="en-US" w:eastAsia="zh-CN"/>
        </w:rPr>
      </w:pPr>
      <w:r>
        <w:rPr>
          <w:rFonts w:hint="eastAsia"/>
          <w:lang w:val="en-US" w:eastAsia="zh-CN"/>
        </w:rPr>
        <w:t>本学期呢，数学组努力着也收获着：</w:t>
      </w:r>
    </w:p>
    <w:p>
      <w:pPr>
        <w:numPr>
          <w:ilvl w:val="0"/>
          <w:numId w:val="0"/>
        </w:numPr>
        <w:tabs>
          <w:tab w:val="left" w:pos="2127"/>
        </w:tabs>
        <w:spacing w:line="360" w:lineRule="auto"/>
        <w:ind w:leftChars="200"/>
        <w:rPr>
          <w:rFonts w:hint="eastAsia" w:ascii="楷体" w:hAnsi="楷体" w:eastAsia="楷体"/>
          <w:sz w:val="24"/>
          <w:szCs w:val="28"/>
        </w:rPr>
      </w:pPr>
      <w:r>
        <w:rPr>
          <w:rFonts w:hint="eastAsia" w:ascii="楷体" w:hAnsi="楷体" w:eastAsia="楷体"/>
          <w:sz w:val="24"/>
          <w:szCs w:val="28"/>
          <w:lang w:eastAsia="zh-CN"/>
        </w:rPr>
        <w:t>（</w:t>
      </w:r>
      <w:r>
        <w:rPr>
          <w:rFonts w:hint="eastAsia" w:ascii="楷体" w:hAnsi="楷体" w:eastAsia="楷体"/>
          <w:sz w:val="24"/>
          <w:szCs w:val="28"/>
          <w:lang w:val="en-US" w:eastAsia="zh-CN"/>
        </w:rPr>
        <w:t>1）</w:t>
      </w:r>
      <w:r>
        <w:rPr>
          <w:rFonts w:hint="eastAsia" w:ascii="楷体" w:hAnsi="楷体" w:eastAsia="楷体"/>
          <w:sz w:val="24"/>
          <w:szCs w:val="28"/>
        </w:rPr>
        <w:t>教学素养提升。</w:t>
      </w:r>
    </w:p>
    <w:p>
      <w:pPr>
        <w:numPr>
          <w:ilvl w:val="0"/>
          <w:numId w:val="0"/>
        </w:numPr>
        <w:tabs>
          <w:tab w:val="left" w:pos="2127"/>
        </w:tabs>
        <w:spacing w:line="360" w:lineRule="auto"/>
        <w:ind w:leftChars="200" w:firstLine="480" w:firstLineChars="200"/>
        <w:rPr>
          <w:rFonts w:hint="default" w:ascii="楷体" w:hAnsi="楷体" w:eastAsia="楷体"/>
          <w:sz w:val="24"/>
          <w:szCs w:val="28"/>
          <w:lang w:val="en-US" w:eastAsia="zh-CN"/>
        </w:rPr>
      </w:pPr>
      <w:r>
        <w:rPr>
          <w:rFonts w:hint="eastAsia" w:ascii="楷体" w:hAnsi="楷体" w:eastAsia="楷体"/>
          <w:sz w:val="24"/>
          <w:szCs w:val="28"/>
          <w:lang w:val="en-US" w:eastAsia="zh-CN"/>
        </w:rPr>
        <w:t>何玲洁老师 区新秀</w:t>
      </w:r>
    </w:p>
    <w:p>
      <w:pPr>
        <w:pStyle w:val="12"/>
        <w:numPr>
          <w:ilvl w:val="0"/>
          <w:numId w:val="0"/>
        </w:numPr>
        <w:tabs>
          <w:tab w:val="left" w:pos="2127"/>
        </w:tabs>
        <w:spacing w:line="360" w:lineRule="auto"/>
        <w:ind w:firstLine="480" w:firstLineChars="200"/>
        <w:rPr>
          <w:rFonts w:ascii="楷体" w:hAnsi="楷体" w:eastAsia="楷体"/>
          <w:sz w:val="24"/>
          <w:szCs w:val="28"/>
        </w:rPr>
      </w:pPr>
      <w:r>
        <w:rPr>
          <w:rFonts w:hint="eastAsia" w:ascii="楷体" w:hAnsi="楷体" w:eastAsia="楷体"/>
          <w:sz w:val="24"/>
          <w:szCs w:val="28"/>
          <w:lang w:eastAsia="zh-CN"/>
        </w:rPr>
        <w:t>（</w:t>
      </w:r>
      <w:r>
        <w:rPr>
          <w:rFonts w:hint="eastAsia" w:ascii="楷体" w:hAnsi="楷体" w:eastAsia="楷体"/>
          <w:sz w:val="24"/>
          <w:szCs w:val="28"/>
          <w:lang w:val="en-US" w:eastAsia="zh-CN"/>
        </w:rPr>
        <w:t>2）</w:t>
      </w:r>
      <w:r>
        <w:rPr>
          <w:rFonts w:hint="eastAsia" w:ascii="楷体" w:hAnsi="楷体" w:eastAsia="楷体"/>
          <w:sz w:val="24"/>
          <w:szCs w:val="28"/>
        </w:rPr>
        <w:t>教科研素养提升。</w:t>
      </w:r>
    </w:p>
    <w:p>
      <w:pPr>
        <w:tabs>
          <w:tab w:val="left" w:pos="2127"/>
        </w:tabs>
        <w:spacing w:line="360" w:lineRule="auto"/>
        <w:ind w:left="360" w:firstLine="480" w:firstLineChars="200"/>
        <w:rPr>
          <w:rFonts w:hint="default" w:ascii="楷体" w:hAnsi="楷体" w:eastAsia="楷体"/>
          <w:color w:val="FF0000"/>
          <w:sz w:val="24"/>
          <w:szCs w:val="28"/>
          <w:lang w:val="en-US" w:eastAsia="zh-CN"/>
        </w:rPr>
      </w:pPr>
      <w:r>
        <w:rPr>
          <w:rFonts w:hint="eastAsia" w:ascii="楷体" w:hAnsi="楷体" w:eastAsia="楷体"/>
          <w:sz w:val="24"/>
          <w:szCs w:val="28"/>
          <w:lang w:val="en-US" w:eastAsia="zh-CN"/>
        </w:rPr>
        <w:t>多位老师积极撰写并</w:t>
      </w:r>
      <w:r>
        <w:rPr>
          <w:rFonts w:hint="eastAsia" w:ascii="楷体" w:hAnsi="楷体" w:eastAsia="楷体"/>
          <w:b/>
          <w:bCs/>
          <w:color w:val="auto"/>
          <w:sz w:val="24"/>
          <w:szCs w:val="28"/>
          <w:lang w:val="en-US" w:eastAsia="zh-CN"/>
        </w:rPr>
        <w:t>发表</w:t>
      </w:r>
      <w:r>
        <w:rPr>
          <w:rFonts w:hint="eastAsia" w:ascii="楷体" w:hAnsi="楷体" w:eastAsia="楷体"/>
          <w:sz w:val="24"/>
          <w:szCs w:val="28"/>
          <w:lang w:val="en-US" w:eastAsia="zh-CN"/>
        </w:rPr>
        <w:t>论文。</w:t>
      </w:r>
    </w:p>
    <w:p>
      <w:pPr>
        <w:tabs>
          <w:tab w:val="left" w:pos="2127"/>
        </w:tabs>
        <w:spacing w:line="360" w:lineRule="auto"/>
        <w:jc w:val="center"/>
        <w:rPr>
          <w:rFonts w:hint="eastAsia" w:ascii="楷体" w:hAnsi="楷体" w:eastAsia="楷体"/>
          <w:sz w:val="24"/>
          <w:szCs w:val="28"/>
        </w:rPr>
      </w:pPr>
    </w:p>
    <w:p>
      <w:pPr>
        <w:tabs>
          <w:tab w:val="left" w:pos="2127"/>
        </w:tabs>
        <w:ind w:firstLine="480"/>
        <w:rPr>
          <w:rFonts w:hint="eastAsia"/>
          <w:color w:val="00B0F0"/>
          <w:sz w:val="24"/>
          <w:szCs w:val="28"/>
          <w:lang w:val="en-US" w:eastAsia="zh-CN"/>
        </w:rPr>
      </w:pPr>
    </w:p>
    <w:p>
      <w:pPr>
        <w:pStyle w:val="12"/>
        <w:numPr>
          <w:ilvl w:val="0"/>
          <w:numId w:val="0"/>
        </w:numPr>
        <w:tabs>
          <w:tab w:val="left" w:pos="2127"/>
        </w:tabs>
        <w:ind w:leftChars="0"/>
        <w:jc w:val="center"/>
        <w:rPr>
          <w:b/>
          <w:bCs/>
          <w:sz w:val="24"/>
          <w:szCs w:val="28"/>
        </w:rPr>
      </w:pPr>
      <w:r>
        <w:rPr>
          <w:rFonts w:hint="eastAsia"/>
          <w:b/>
          <w:bCs/>
          <w:sz w:val="24"/>
          <w:szCs w:val="28"/>
        </w:rPr>
        <w:t>下一学期（或是下阶段）需要努力的方向</w:t>
      </w:r>
    </w:p>
    <w:p>
      <w:pPr>
        <w:numPr>
          <w:ilvl w:val="0"/>
          <w:numId w:val="0"/>
        </w:numPr>
        <w:tabs>
          <w:tab w:val="left" w:pos="2127"/>
        </w:tabs>
        <w:spacing w:line="360" w:lineRule="auto"/>
        <w:ind w:left="420" w:leftChars="0"/>
        <w:rPr>
          <w:rFonts w:hint="default" w:cstheme="minorBidi"/>
          <w:kern w:val="2"/>
          <w:sz w:val="21"/>
          <w:szCs w:val="22"/>
          <w:lang w:val="en-US" w:eastAsia="zh-CN" w:bidi="ar-SA"/>
        </w:rPr>
      </w:pPr>
      <w:r>
        <w:rPr>
          <w:rFonts w:hint="eastAsia" w:cstheme="minorBidi"/>
          <w:b/>
          <w:bCs/>
          <w:kern w:val="2"/>
          <w:sz w:val="21"/>
          <w:szCs w:val="22"/>
          <w:lang w:val="en-US" w:eastAsia="zh-CN" w:bidi="ar-SA"/>
        </w:rPr>
        <w:t>1、课程</w:t>
      </w:r>
      <w:r>
        <w:rPr>
          <w:rFonts w:hint="eastAsia" w:cstheme="minorBidi"/>
          <w:kern w:val="2"/>
          <w:sz w:val="21"/>
          <w:szCs w:val="22"/>
          <w:lang w:val="en-US" w:eastAsia="zh-CN" w:bidi="ar-SA"/>
        </w:rPr>
        <w:t>：</w:t>
      </w:r>
    </w:p>
    <w:p>
      <w:pPr>
        <w:numPr>
          <w:ilvl w:val="0"/>
          <w:numId w:val="0"/>
        </w:numPr>
        <w:tabs>
          <w:tab w:val="left" w:pos="2127"/>
        </w:tabs>
        <w:spacing w:line="360" w:lineRule="auto"/>
        <w:ind w:left="420" w:leftChars="0"/>
        <w:rPr>
          <w:rFonts w:hint="eastAsia" w:cstheme="minorBidi"/>
          <w:kern w:val="2"/>
          <w:sz w:val="21"/>
          <w:szCs w:val="22"/>
          <w:lang w:val="en-US" w:eastAsia="zh-CN" w:bidi="ar-SA"/>
        </w:rPr>
      </w:pPr>
      <w:r>
        <w:rPr>
          <w:rFonts w:hint="eastAsia" w:cstheme="minorBidi"/>
          <w:kern w:val="2"/>
          <w:sz w:val="21"/>
          <w:szCs w:val="22"/>
          <w:lang w:val="en-US" w:eastAsia="zh-CN" w:bidi="ar-SA"/>
        </w:rPr>
        <w:t>（1）</w:t>
      </w:r>
      <w:r>
        <w:rPr>
          <w:rFonts w:hint="eastAsia" w:asciiTheme="minorHAnsi" w:hAnsiTheme="minorHAnsi" w:eastAsiaTheme="minorEastAsia" w:cstheme="minorBidi"/>
          <w:kern w:val="2"/>
          <w:sz w:val="21"/>
          <w:szCs w:val="22"/>
          <w:lang w:val="en-US" w:eastAsia="zh-CN" w:bidi="ar-SA"/>
        </w:rPr>
        <w:t>优化教研制度，细化教研方案、跟踪实施过程，有效落实日常教研活动</w:t>
      </w:r>
      <w:r>
        <w:rPr>
          <w:rFonts w:hint="eastAsia" w:cstheme="minorBidi"/>
          <w:kern w:val="2"/>
          <w:sz w:val="21"/>
          <w:szCs w:val="22"/>
          <w:lang w:val="en-US" w:eastAsia="zh-CN" w:bidi="ar-SA"/>
        </w:rPr>
        <w:t>。比如我们的研究课、教材解读要有主题 特别是教材解读要和研究课结合 真正达到教研合一。</w:t>
      </w:r>
    </w:p>
    <w:p>
      <w:pPr>
        <w:numPr>
          <w:ilvl w:val="0"/>
          <w:numId w:val="0"/>
        </w:numPr>
        <w:tabs>
          <w:tab w:val="left" w:pos="2127"/>
        </w:tabs>
        <w:spacing w:line="360" w:lineRule="auto"/>
        <w:ind w:left="420" w:leftChars="0"/>
        <w:rPr>
          <w:rFonts w:hint="default" w:cstheme="minorBidi"/>
          <w:kern w:val="2"/>
          <w:sz w:val="21"/>
          <w:szCs w:val="22"/>
          <w:lang w:val="en-US" w:eastAsia="zh-CN" w:bidi="ar-SA"/>
        </w:rPr>
      </w:pPr>
      <w:r>
        <w:rPr>
          <w:rFonts w:hint="eastAsia" w:cstheme="minorBidi"/>
          <w:kern w:val="2"/>
          <w:sz w:val="21"/>
          <w:szCs w:val="22"/>
          <w:lang w:val="en-US" w:eastAsia="zh-CN" w:bidi="ar-SA"/>
        </w:rPr>
        <w:t>（2）数学学科教室。依托课堂教学生成性资源项目的活动，思考并丰富数学组特色教室。争取开设数学阅读区、数学实验体验区、数学器材展览区等，并思考在校园环境文化中融入数学特色。</w:t>
      </w:r>
    </w:p>
    <w:p>
      <w:pPr>
        <w:numPr>
          <w:ilvl w:val="0"/>
          <w:numId w:val="0"/>
        </w:numPr>
        <w:tabs>
          <w:tab w:val="left" w:pos="2127"/>
        </w:tabs>
        <w:spacing w:line="360" w:lineRule="auto"/>
        <w:ind w:firstLine="420" w:firstLineChars="200"/>
        <w:rPr>
          <w:rFonts w:hint="default" w:cstheme="minorBidi"/>
          <w:kern w:val="2"/>
          <w:sz w:val="21"/>
          <w:szCs w:val="22"/>
          <w:lang w:val="en-US" w:eastAsia="zh-CN" w:bidi="ar-SA"/>
        </w:rPr>
      </w:pPr>
      <w:r>
        <w:rPr>
          <w:rFonts w:hint="eastAsia" w:cstheme="minorBidi"/>
          <w:kern w:val="2"/>
          <w:sz w:val="21"/>
          <w:szCs w:val="22"/>
          <w:lang w:val="en-US" w:eastAsia="zh-CN" w:bidi="ar-SA"/>
        </w:rPr>
        <w:t>（3）AI数学，大家已经慢慢从关注结果，回过去关注过程，前期我们各组对下册可实行的研究性学习进行梳理，并思考怎样</w:t>
      </w:r>
      <w:r>
        <w:rPr>
          <w:rFonts w:hint="default" w:cstheme="minorBidi"/>
          <w:kern w:val="2"/>
          <w:sz w:val="21"/>
          <w:szCs w:val="22"/>
          <w:lang w:val="en-US" w:eastAsia="zh-CN" w:bidi="ar-SA"/>
        </w:rPr>
        <w:t>融入“未来教育”课程元素</w:t>
      </w:r>
      <w:r>
        <w:rPr>
          <w:rFonts w:hint="eastAsia" w:cstheme="minorBidi"/>
          <w:kern w:val="2"/>
          <w:sz w:val="21"/>
          <w:szCs w:val="22"/>
          <w:lang w:val="en-US" w:eastAsia="zh-CN" w:bidi="ar-SA"/>
        </w:rPr>
        <w:t>串联整个数学课程，下学期会重启“弘雅数学院”，六个年级轮流，每周一推将数学研究过程和成果进行宣传。（内容开学初会让让各组填写）</w:t>
      </w:r>
    </w:p>
    <w:p>
      <w:pPr>
        <w:numPr>
          <w:ilvl w:val="0"/>
          <w:numId w:val="0"/>
        </w:numPr>
        <w:tabs>
          <w:tab w:val="left" w:pos="2127"/>
        </w:tabs>
        <w:spacing w:line="360" w:lineRule="auto"/>
        <w:ind w:left="420" w:leftChars="0"/>
        <w:rPr>
          <w:rFonts w:hint="eastAsia" w:cstheme="minorBidi"/>
          <w:kern w:val="2"/>
          <w:sz w:val="21"/>
          <w:szCs w:val="22"/>
          <w:lang w:val="en-US" w:eastAsia="zh-CN" w:bidi="ar-SA"/>
        </w:rPr>
      </w:pPr>
      <w:r>
        <w:rPr>
          <w:rFonts w:hint="eastAsia" w:cstheme="minorBidi"/>
          <w:b/>
          <w:bCs/>
          <w:kern w:val="2"/>
          <w:sz w:val="21"/>
          <w:szCs w:val="22"/>
          <w:lang w:val="en-US" w:eastAsia="zh-CN" w:bidi="ar-SA"/>
        </w:rPr>
        <w:t>2、教师发展</w:t>
      </w:r>
      <w:r>
        <w:rPr>
          <w:rFonts w:hint="eastAsia" w:cstheme="minorBidi"/>
          <w:kern w:val="2"/>
          <w:sz w:val="21"/>
          <w:szCs w:val="22"/>
          <w:lang w:val="en-US" w:eastAsia="zh-CN" w:bidi="ar-SA"/>
        </w:rPr>
        <w:t>：</w:t>
      </w:r>
    </w:p>
    <w:p>
      <w:pPr>
        <w:numPr>
          <w:ilvl w:val="0"/>
          <w:numId w:val="0"/>
        </w:numPr>
        <w:tabs>
          <w:tab w:val="left" w:pos="2127"/>
        </w:tabs>
        <w:spacing w:line="360" w:lineRule="auto"/>
        <w:ind w:left="420" w:leftChars="0" w:firstLine="210" w:firstLineChars="100"/>
        <w:rPr>
          <w:rFonts w:hint="default" w:cstheme="minorBidi"/>
          <w:kern w:val="2"/>
          <w:sz w:val="21"/>
          <w:szCs w:val="22"/>
          <w:lang w:val="en-US" w:eastAsia="zh-CN" w:bidi="ar-SA"/>
        </w:rPr>
      </w:pPr>
      <w:r>
        <w:rPr>
          <w:rFonts w:hint="default" w:cstheme="minorBidi"/>
          <w:kern w:val="2"/>
          <w:sz w:val="21"/>
          <w:szCs w:val="22"/>
          <w:lang w:val="en-US" w:eastAsia="zh-CN" w:bidi="ar-SA"/>
        </w:rPr>
        <w:t>完善教师</w:t>
      </w:r>
      <w:r>
        <w:rPr>
          <w:rFonts w:hint="eastAsia" w:cstheme="minorBidi"/>
          <w:kern w:val="2"/>
          <w:sz w:val="21"/>
          <w:szCs w:val="22"/>
          <w:lang w:val="en-US" w:eastAsia="zh-CN" w:bidi="ar-SA"/>
        </w:rPr>
        <w:t>梯队</w:t>
      </w:r>
      <w:r>
        <w:rPr>
          <w:rFonts w:hint="default" w:cstheme="minorBidi"/>
          <w:kern w:val="2"/>
          <w:sz w:val="21"/>
          <w:szCs w:val="22"/>
          <w:lang w:val="en-US" w:eastAsia="zh-CN" w:bidi="ar-SA"/>
        </w:rPr>
        <w:t>，根据不同的发展需求，制定不同的发展规划，定好目标，形成阶段性目标达成。</w:t>
      </w:r>
    </w:p>
    <w:p>
      <w:pPr>
        <w:numPr>
          <w:ilvl w:val="0"/>
          <w:numId w:val="0"/>
        </w:numPr>
        <w:tabs>
          <w:tab w:val="left" w:pos="2127"/>
        </w:tabs>
        <w:spacing w:line="360" w:lineRule="auto"/>
        <w:rPr>
          <w:rFonts w:hint="eastAsia" w:cstheme="minorBidi"/>
          <w:color w:val="FF0000"/>
          <w:kern w:val="2"/>
          <w:sz w:val="21"/>
          <w:szCs w:val="22"/>
          <w:lang w:val="en-US" w:eastAsia="zh-CN" w:bidi="ar-SA"/>
        </w:rPr>
      </w:pPr>
      <w:r>
        <w:rPr>
          <w:rFonts w:hint="eastAsia" w:cstheme="minorBidi"/>
          <w:b/>
          <w:bCs/>
          <w:kern w:val="2"/>
          <w:sz w:val="21"/>
          <w:szCs w:val="22"/>
          <w:lang w:val="en-US" w:eastAsia="zh-CN" w:bidi="ar-SA"/>
        </w:rPr>
        <w:t>3、学生发展</w:t>
      </w:r>
      <w:r>
        <w:rPr>
          <w:rFonts w:hint="eastAsia" w:cstheme="minorBidi"/>
          <w:kern w:val="2"/>
          <w:sz w:val="21"/>
          <w:szCs w:val="22"/>
          <w:lang w:val="en-US" w:eastAsia="zh-CN" w:bidi="ar-SA"/>
        </w:rPr>
        <w:t>：在”双减“背景下，优化作业设计，努力实现轻负高质。完善低年级游园会，学科互通</w:t>
      </w:r>
      <w:r>
        <w:rPr>
          <w:rFonts w:hint="eastAsia" w:cstheme="minorBidi"/>
          <w:color w:val="FF0000"/>
          <w:kern w:val="2"/>
          <w:sz w:val="21"/>
          <w:szCs w:val="22"/>
          <w:lang w:val="en-US" w:eastAsia="zh-CN" w:bidi="ar-SA"/>
        </w:rPr>
        <w:t xml:space="preserve"> </w:t>
      </w:r>
    </w:p>
    <w:p>
      <w:pPr>
        <w:numPr>
          <w:ilvl w:val="0"/>
          <w:numId w:val="0"/>
        </w:numPr>
        <w:tabs>
          <w:tab w:val="left" w:pos="2127"/>
        </w:tabs>
        <w:spacing w:line="360" w:lineRule="auto"/>
        <w:rPr>
          <w:rFonts w:hint="eastAsia" w:cstheme="minorBidi"/>
          <w:color w:val="FF0000"/>
          <w:kern w:val="2"/>
          <w:sz w:val="21"/>
          <w:szCs w:val="22"/>
          <w:lang w:val="en-US" w:eastAsia="zh-CN" w:bidi="ar-SA"/>
        </w:rPr>
      </w:pPr>
    </w:p>
    <w:p>
      <w:pPr>
        <w:numPr>
          <w:ilvl w:val="0"/>
          <w:numId w:val="0"/>
        </w:numPr>
        <w:tabs>
          <w:tab w:val="left" w:pos="2127"/>
        </w:tabs>
        <w:spacing w:line="360" w:lineRule="auto"/>
        <w:rPr>
          <w:rFonts w:hint="eastAsia" w:cstheme="minorBidi"/>
          <w:kern w:val="2"/>
          <w:sz w:val="21"/>
          <w:szCs w:val="22"/>
          <w:lang w:val="en-US" w:eastAsia="zh-CN" w:bidi="ar-SA"/>
        </w:rPr>
      </w:pPr>
      <w:r>
        <w:rPr>
          <w:rFonts w:hint="eastAsia" w:cstheme="minorBidi"/>
          <w:b/>
          <w:bCs/>
          <w:kern w:val="2"/>
          <w:sz w:val="21"/>
          <w:szCs w:val="22"/>
          <w:lang w:val="en-US" w:eastAsia="zh-CN" w:bidi="ar-SA"/>
        </w:rPr>
        <w:t>4、课堂</w:t>
      </w:r>
      <w:r>
        <w:rPr>
          <w:rFonts w:hint="eastAsia" w:cstheme="minorBidi"/>
          <w:kern w:val="2"/>
          <w:sz w:val="21"/>
          <w:szCs w:val="22"/>
          <w:lang w:val="en-US" w:eastAsia="zh-CN" w:bidi="ar-SA"/>
        </w:rPr>
        <w:t>：完善数学</w:t>
      </w:r>
      <w:r>
        <w:rPr>
          <w:rFonts w:hint="default" w:cstheme="minorBidi"/>
          <w:kern w:val="2"/>
          <w:sz w:val="21"/>
          <w:szCs w:val="22"/>
          <w:lang w:val="en-US" w:eastAsia="zh-CN" w:bidi="ar-SA"/>
        </w:rPr>
        <w:t>“弘雅”课堂规程，努力构建</w:t>
      </w:r>
      <w:r>
        <w:rPr>
          <w:rFonts w:hint="eastAsia" w:cstheme="minorBidi"/>
          <w:kern w:val="2"/>
          <w:sz w:val="21"/>
          <w:szCs w:val="22"/>
          <w:lang w:val="en-US" w:eastAsia="zh-CN" w:bidi="ar-SA"/>
        </w:rPr>
        <w:t>数学</w:t>
      </w:r>
      <w:r>
        <w:rPr>
          <w:rFonts w:hint="default" w:cstheme="minorBidi"/>
          <w:kern w:val="2"/>
          <w:sz w:val="21"/>
          <w:szCs w:val="22"/>
          <w:lang w:val="en-US" w:eastAsia="zh-CN" w:bidi="ar-SA"/>
        </w:rPr>
        <w:t>弘雅课堂范式</w:t>
      </w:r>
      <w:r>
        <w:rPr>
          <w:rFonts w:hint="eastAsia" w:cstheme="minorBidi"/>
          <w:kern w:val="2"/>
          <w:sz w:val="21"/>
          <w:szCs w:val="22"/>
          <w:lang w:val="en-US" w:eastAsia="zh-CN" w:bidi="ar-SA"/>
        </w:rPr>
        <w:t>，借助各级各类平台梳理精品课型及精品课例。</w:t>
      </w:r>
    </w:p>
    <w:p>
      <w:pPr>
        <w:tabs>
          <w:tab w:val="left" w:pos="2127"/>
        </w:tabs>
        <w:rPr>
          <w:rFonts w:hint="eastAsia"/>
          <w:sz w:val="24"/>
          <w:szCs w:val="28"/>
          <w:lang w:val="en-US" w:eastAsia="zh-CN"/>
        </w:rPr>
      </w:pPr>
    </w:p>
    <w:p>
      <w:pPr>
        <w:tabs>
          <w:tab w:val="left" w:pos="2127"/>
        </w:tabs>
        <w:rPr>
          <w:rFonts w:hint="eastAsia"/>
          <w:sz w:val="24"/>
          <w:szCs w:val="28"/>
          <w:lang w:val="en-US" w:eastAsia="zh-CN"/>
        </w:rPr>
      </w:pPr>
    </w:p>
    <w:p>
      <w:pPr>
        <w:tabs>
          <w:tab w:val="left" w:pos="2127"/>
        </w:tabs>
        <w:rPr>
          <w:rFonts w:hint="eastAsia"/>
          <w:sz w:val="24"/>
          <w:szCs w:val="28"/>
          <w:lang w:val="en-US" w:eastAsia="zh-CN"/>
        </w:rPr>
      </w:pPr>
    </w:p>
    <w:p>
      <w:pPr>
        <w:tabs>
          <w:tab w:val="left" w:pos="2127"/>
        </w:tabs>
        <w:rPr>
          <w:rFonts w:hint="eastAsia"/>
          <w:sz w:val="24"/>
          <w:szCs w:val="28"/>
          <w:lang w:val="en-US" w:eastAsia="zh-CN"/>
        </w:rPr>
      </w:pPr>
    </w:p>
    <w:p>
      <w:pPr>
        <w:tabs>
          <w:tab w:val="left" w:pos="2127"/>
        </w:tabs>
        <w:rPr>
          <w:rFonts w:hint="eastAsia"/>
          <w:sz w:val="24"/>
          <w:szCs w:val="28"/>
          <w:lang w:val="en-US" w:eastAsia="zh-CN"/>
        </w:rPr>
      </w:pPr>
    </w:p>
    <w:p>
      <w:pPr>
        <w:tabs>
          <w:tab w:val="left" w:pos="2127"/>
        </w:tabs>
        <w:rPr>
          <w:rFonts w:hint="eastAsia"/>
          <w:sz w:val="24"/>
          <w:szCs w:val="28"/>
          <w:lang w:val="en-US" w:eastAsia="zh-CN"/>
        </w:rPr>
      </w:pPr>
    </w:p>
    <w:p>
      <w:pPr>
        <w:tabs>
          <w:tab w:val="left" w:pos="2127"/>
        </w:tabs>
        <w:rPr>
          <w:rFonts w:hint="eastAsia"/>
          <w:sz w:val="24"/>
          <w:szCs w:val="28"/>
          <w:lang w:val="en-US" w:eastAsia="zh-CN"/>
        </w:rPr>
      </w:pPr>
    </w:p>
    <w:p>
      <w:pPr>
        <w:tabs>
          <w:tab w:val="left" w:pos="2127"/>
        </w:tabs>
        <w:rPr>
          <w:rFonts w:hint="eastAsia"/>
          <w:sz w:val="24"/>
          <w:szCs w:val="28"/>
          <w:lang w:val="en-US" w:eastAsia="zh-CN"/>
        </w:rPr>
      </w:pPr>
    </w:p>
    <w:p>
      <w:pPr>
        <w:tabs>
          <w:tab w:val="left" w:pos="2127"/>
        </w:tabs>
        <w:rPr>
          <w:rFonts w:hint="eastAsia"/>
          <w:sz w:val="24"/>
          <w:szCs w:val="28"/>
          <w:lang w:val="en-US" w:eastAsia="zh-CN"/>
        </w:rPr>
      </w:pPr>
    </w:p>
    <w:p>
      <w:pPr>
        <w:tabs>
          <w:tab w:val="left" w:pos="2127"/>
        </w:tabs>
        <w:rPr>
          <w:rFonts w:hint="eastAsia"/>
          <w:sz w:val="24"/>
          <w:szCs w:val="28"/>
          <w:lang w:val="en-US" w:eastAsia="zh-CN"/>
        </w:rPr>
      </w:pPr>
    </w:p>
    <w:p>
      <w:pPr>
        <w:tabs>
          <w:tab w:val="left" w:pos="2127"/>
        </w:tabs>
        <w:rPr>
          <w:rFonts w:hint="eastAsia"/>
          <w:sz w:val="24"/>
          <w:szCs w:val="28"/>
          <w:lang w:val="en-US" w:eastAsia="zh-CN"/>
        </w:rPr>
      </w:pPr>
    </w:p>
    <w:p>
      <w:pPr>
        <w:tabs>
          <w:tab w:val="left" w:pos="2127"/>
        </w:tabs>
        <w:rPr>
          <w:rFonts w:hint="eastAsia"/>
          <w:sz w:val="24"/>
          <w:szCs w:val="28"/>
          <w:lang w:val="en-US" w:eastAsia="zh-CN"/>
        </w:rPr>
      </w:pPr>
    </w:p>
    <w:p>
      <w:pPr>
        <w:tabs>
          <w:tab w:val="left" w:pos="2127"/>
        </w:tabs>
        <w:rPr>
          <w:rFonts w:hint="eastAsia"/>
          <w:sz w:val="24"/>
          <w:szCs w:val="28"/>
          <w:lang w:val="en-US" w:eastAsia="zh-CN"/>
        </w:rPr>
      </w:pPr>
      <w:r>
        <w:rPr>
          <w:rFonts w:hint="eastAsia"/>
          <w:sz w:val="24"/>
          <w:szCs w:val="28"/>
          <w:lang w:val="en-US" w:eastAsia="zh-CN"/>
        </w:rPr>
        <w:t>附件1</w:t>
      </w:r>
    </w:p>
    <w:p>
      <w:pPr>
        <w:tabs>
          <w:tab w:val="left" w:pos="2127"/>
        </w:tabs>
        <w:rPr>
          <w:rFonts w:hint="default"/>
          <w:sz w:val="24"/>
          <w:szCs w:val="28"/>
          <w:lang w:val="en-US" w:eastAsia="zh-CN"/>
        </w:rPr>
      </w:pPr>
      <w:r>
        <w:rPr>
          <w:rFonts w:hint="eastAsia"/>
          <w:sz w:val="24"/>
          <w:szCs w:val="28"/>
          <w:lang w:val="en-US" w:eastAsia="zh-CN"/>
        </w:rPr>
        <w:t>数学组人员分布情况：</w:t>
      </w:r>
    </w:p>
    <w:tbl>
      <w:tblPr>
        <w:tblStyle w:val="8"/>
        <w:tblpPr w:leftFromText="180" w:rightFromText="180" w:vertAnchor="text" w:horzAnchor="page" w:tblpX="2000" w:tblpY="163"/>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804"/>
        <w:gridCol w:w="246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jc w:val="both"/>
              <w:rPr>
                <w:rFonts w:hint="eastAsia" w:ascii="楷体" w:hAnsi="楷体" w:eastAsia="楷体"/>
                <w:szCs w:val="24"/>
                <w:lang w:val="en-US" w:eastAsia="zh-CN"/>
              </w:rPr>
            </w:pPr>
            <w:r>
              <w:rPr>
                <w:rFonts w:hint="eastAsia" w:ascii="楷体" w:hAnsi="楷体" w:eastAsia="楷体"/>
                <w:szCs w:val="24"/>
                <w:lang w:val="en-US" w:eastAsia="zh-CN"/>
              </w:rPr>
              <w:t>梯队分布</w:t>
            </w: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第一梯队</w:t>
            </w:r>
          </w:p>
        </w:tc>
        <w:tc>
          <w:tcPr>
            <w:tcW w:w="246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第二梯队</w:t>
            </w:r>
          </w:p>
        </w:tc>
        <w:tc>
          <w:tcPr>
            <w:tcW w:w="1930" w:type="dxa"/>
          </w:tcPr>
          <w:p>
            <w:pPr>
              <w:jc w:val="both"/>
              <w:rPr>
                <w:rFonts w:hint="eastAsia" w:ascii="楷体" w:hAnsi="楷体" w:eastAsia="楷体"/>
                <w:szCs w:val="24"/>
                <w:lang w:val="en-US" w:eastAsia="zh-CN"/>
              </w:rPr>
            </w:pPr>
            <w:r>
              <w:rPr>
                <w:rFonts w:hint="eastAsia" w:ascii="楷体" w:hAnsi="楷体" w:eastAsia="楷体"/>
                <w:szCs w:val="24"/>
                <w:lang w:val="en-US" w:eastAsia="zh-CN"/>
              </w:rPr>
              <w:t>第三梯队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jc w:val="both"/>
              <w:rPr>
                <w:rFonts w:hint="eastAsia" w:ascii="楷体" w:hAnsi="楷体" w:eastAsia="楷体"/>
                <w:szCs w:val="24"/>
                <w:lang w:val="en-US" w:eastAsia="zh-CN"/>
              </w:rPr>
            </w:pPr>
            <w:r>
              <w:rPr>
                <w:rFonts w:hint="eastAsia" w:ascii="楷体" w:hAnsi="楷体" w:eastAsia="楷体"/>
                <w:szCs w:val="24"/>
                <w:lang w:val="en-US" w:eastAsia="zh-CN"/>
              </w:rPr>
              <w:t xml:space="preserve"> 人数（百分比）</w:t>
            </w: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12人</w:t>
            </w:r>
            <w:r>
              <w:rPr>
                <w:rFonts w:hint="eastAsia" w:ascii="宋体" w:hAnsi="宋体" w:eastAsia="宋体" w:cs="Times New Roman"/>
                <w:kern w:val="0"/>
                <w:sz w:val="20"/>
                <w:szCs w:val="24"/>
              </w:rPr>
              <w:t>（4</w:t>
            </w:r>
            <w:r>
              <w:rPr>
                <w:rFonts w:hint="eastAsia" w:ascii="宋体" w:hAnsi="宋体" w:cs="Times New Roman"/>
                <w:kern w:val="0"/>
                <w:sz w:val="20"/>
                <w:szCs w:val="24"/>
                <w:lang w:val="en-US" w:eastAsia="zh-CN"/>
              </w:rPr>
              <w:t>6</w:t>
            </w:r>
            <w:r>
              <w:rPr>
                <w:rFonts w:hint="eastAsia" w:ascii="宋体" w:hAnsi="宋体" w:eastAsia="宋体" w:cs="Times New Roman"/>
                <w:kern w:val="0"/>
                <w:sz w:val="20"/>
                <w:szCs w:val="24"/>
              </w:rPr>
              <w:t>%）</w:t>
            </w:r>
          </w:p>
        </w:tc>
        <w:tc>
          <w:tcPr>
            <w:tcW w:w="246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9人</w:t>
            </w:r>
            <w:r>
              <w:rPr>
                <w:rFonts w:hint="eastAsia" w:ascii="宋体" w:hAnsi="宋体" w:eastAsia="宋体" w:cs="Times New Roman"/>
                <w:kern w:val="0"/>
                <w:sz w:val="20"/>
                <w:szCs w:val="24"/>
              </w:rPr>
              <w:t>（</w:t>
            </w:r>
            <w:r>
              <w:rPr>
                <w:rFonts w:hint="eastAsia" w:ascii="宋体" w:hAnsi="宋体" w:cs="Times New Roman"/>
                <w:kern w:val="0"/>
                <w:sz w:val="20"/>
                <w:szCs w:val="24"/>
                <w:lang w:val="en-US" w:eastAsia="zh-CN"/>
              </w:rPr>
              <w:t>35</w:t>
            </w:r>
            <w:r>
              <w:rPr>
                <w:rFonts w:hint="eastAsia" w:ascii="宋体" w:hAnsi="宋体" w:eastAsia="宋体" w:cs="Times New Roman"/>
                <w:kern w:val="0"/>
                <w:sz w:val="20"/>
                <w:szCs w:val="24"/>
              </w:rPr>
              <w:t>%）</w:t>
            </w:r>
          </w:p>
        </w:tc>
        <w:tc>
          <w:tcPr>
            <w:tcW w:w="1930" w:type="dxa"/>
          </w:tcPr>
          <w:p>
            <w:pPr>
              <w:jc w:val="both"/>
              <w:rPr>
                <w:rFonts w:hint="eastAsia" w:ascii="楷体" w:hAnsi="楷体" w:eastAsia="楷体"/>
                <w:szCs w:val="24"/>
                <w:lang w:val="en-US" w:eastAsia="zh-CN"/>
              </w:rPr>
            </w:pPr>
            <w:r>
              <w:rPr>
                <w:rFonts w:hint="eastAsia" w:ascii="楷体" w:hAnsi="楷体" w:eastAsia="楷体"/>
                <w:szCs w:val="24"/>
                <w:lang w:val="en-US" w:eastAsia="zh-CN"/>
              </w:rPr>
              <w:t>5人</w:t>
            </w:r>
            <w:r>
              <w:rPr>
                <w:rFonts w:hint="eastAsia" w:ascii="宋体" w:hAnsi="宋体" w:eastAsia="宋体" w:cs="Times New Roman"/>
                <w:kern w:val="0"/>
                <w:sz w:val="20"/>
                <w:szCs w:val="24"/>
              </w:rPr>
              <w:t>（</w:t>
            </w:r>
            <w:r>
              <w:rPr>
                <w:rFonts w:hint="eastAsia" w:ascii="宋体" w:hAnsi="宋体" w:cs="Times New Roman"/>
                <w:kern w:val="0"/>
                <w:sz w:val="20"/>
                <w:szCs w:val="24"/>
                <w:lang w:val="en-US" w:eastAsia="zh-CN"/>
              </w:rPr>
              <w:t>19.3</w:t>
            </w:r>
            <w:r>
              <w:rPr>
                <w:rFonts w:hint="eastAsia" w:ascii="宋体" w:hAnsi="宋体" w:eastAsia="宋体" w:cs="Times New Roman"/>
                <w:kern w:val="0"/>
                <w:sz w:val="2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jc w:val="both"/>
              <w:rPr>
                <w:rFonts w:hint="eastAsia" w:ascii="楷体" w:hAnsi="楷体" w:eastAsia="楷体"/>
                <w:szCs w:val="24"/>
                <w:lang w:val="en-US" w:eastAsia="zh-CN"/>
              </w:rPr>
            </w:pP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荆亚琴</w:t>
            </w:r>
            <w:r>
              <w:rPr>
                <w:rFonts w:hint="eastAsia" w:ascii="Times New Roman" w:hAnsi="Times New Roman" w:eastAsia="宋体" w:cs="Times New Roman"/>
                <w:b/>
                <w:bCs/>
                <w:color w:val="FF0000"/>
                <w:kern w:val="0"/>
                <w:sz w:val="22"/>
                <w:szCs w:val="20"/>
              </w:rPr>
              <w:t>（市学带）</w:t>
            </w:r>
          </w:p>
        </w:tc>
        <w:tc>
          <w:tcPr>
            <w:tcW w:w="246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杨建芬</w:t>
            </w:r>
          </w:p>
        </w:tc>
        <w:tc>
          <w:tcPr>
            <w:tcW w:w="1930" w:type="dxa"/>
          </w:tcPr>
          <w:p>
            <w:pPr>
              <w:jc w:val="both"/>
              <w:rPr>
                <w:rFonts w:hint="default" w:ascii="楷体" w:hAnsi="楷体" w:eastAsia="楷体"/>
                <w:szCs w:val="24"/>
                <w:lang w:val="en-US" w:eastAsia="zh-CN"/>
              </w:rPr>
            </w:pPr>
            <w:r>
              <w:rPr>
                <w:rFonts w:hint="eastAsia" w:ascii="楷体" w:hAnsi="楷体" w:eastAsia="楷体"/>
                <w:szCs w:val="24"/>
                <w:lang w:val="en-US" w:eastAsia="zh-CN"/>
              </w:rPr>
              <w:t>钱成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杨伟</w:t>
            </w:r>
            <w:r>
              <w:rPr>
                <w:rFonts w:hint="eastAsia" w:ascii="Times New Roman" w:hAnsi="Times New Roman" w:eastAsia="宋体" w:cs="Times New Roman"/>
                <w:b/>
                <w:bCs/>
                <w:color w:val="FF0000"/>
                <w:kern w:val="0"/>
                <w:sz w:val="22"/>
                <w:szCs w:val="20"/>
                <w:lang w:val="en-US" w:eastAsia="zh-CN"/>
              </w:rPr>
              <w:t>（市能手）</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叶朝阳</w:t>
            </w:r>
          </w:p>
        </w:tc>
        <w:tc>
          <w:tcPr>
            <w:tcW w:w="1930" w:type="dxa"/>
          </w:tcPr>
          <w:p>
            <w:pPr>
              <w:jc w:val="both"/>
              <w:rPr>
                <w:rFonts w:hint="default" w:ascii="楷体" w:hAnsi="楷体" w:eastAsia="楷体"/>
                <w:szCs w:val="24"/>
                <w:lang w:val="en-US" w:eastAsia="zh-CN"/>
              </w:rPr>
            </w:pPr>
            <w:r>
              <w:rPr>
                <w:rFonts w:hint="eastAsia" w:ascii="楷体" w:hAnsi="楷体" w:eastAsia="楷体"/>
                <w:szCs w:val="24"/>
                <w:lang w:val="en-US" w:eastAsia="zh-CN"/>
              </w:rPr>
              <w:t>奚丹芸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耿云</w:t>
            </w:r>
            <w:r>
              <w:rPr>
                <w:rFonts w:hint="eastAsia" w:ascii="Times New Roman" w:hAnsi="Times New Roman" w:eastAsia="宋体" w:cs="Times New Roman"/>
                <w:b/>
                <w:bCs/>
                <w:color w:val="FF0000"/>
                <w:kern w:val="0"/>
                <w:sz w:val="22"/>
                <w:szCs w:val="20"/>
                <w:lang w:val="en-US" w:eastAsia="zh-CN"/>
              </w:rPr>
              <w:t>（区骨干）</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周丹</w:t>
            </w:r>
          </w:p>
        </w:tc>
        <w:tc>
          <w:tcPr>
            <w:tcW w:w="1930" w:type="dxa"/>
          </w:tcPr>
          <w:p>
            <w:pPr>
              <w:jc w:val="both"/>
              <w:rPr>
                <w:rFonts w:hint="default" w:ascii="楷体" w:hAnsi="楷体" w:eastAsia="楷体"/>
                <w:szCs w:val="24"/>
                <w:lang w:val="en-US" w:eastAsia="zh-CN"/>
              </w:rPr>
            </w:pPr>
            <w:r>
              <w:rPr>
                <w:rFonts w:hint="eastAsia" w:ascii="楷体" w:hAnsi="楷体" w:eastAsia="楷体"/>
                <w:szCs w:val="24"/>
                <w:lang w:val="en-US" w:eastAsia="zh-CN"/>
              </w:rPr>
              <w:t>左燕磊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蔡芬</w:t>
            </w:r>
            <w:r>
              <w:rPr>
                <w:rFonts w:hint="eastAsia" w:ascii="Times New Roman" w:hAnsi="Times New Roman" w:eastAsia="宋体" w:cs="Times New Roman"/>
                <w:b/>
                <w:bCs/>
                <w:color w:val="FF0000"/>
                <w:kern w:val="0"/>
                <w:sz w:val="22"/>
                <w:szCs w:val="20"/>
                <w:lang w:val="en-US" w:eastAsia="zh-CN"/>
              </w:rPr>
              <w:t>（区骨干）</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蒋宁</w:t>
            </w:r>
          </w:p>
        </w:tc>
        <w:tc>
          <w:tcPr>
            <w:tcW w:w="1930" w:type="dxa"/>
          </w:tcPr>
          <w:p>
            <w:pPr>
              <w:jc w:val="both"/>
              <w:rPr>
                <w:rFonts w:hint="default" w:ascii="楷体" w:hAnsi="楷体" w:eastAsia="楷体"/>
                <w:szCs w:val="24"/>
                <w:lang w:val="en-US" w:eastAsia="zh-CN"/>
              </w:rPr>
            </w:pPr>
            <w:r>
              <w:rPr>
                <w:rFonts w:hint="eastAsia" w:ascii="楷体" w:hAnsi="楷体" w:eastAsia="楷体"/>
                <w:szCs w:val="24"/>
                <w:lang w:val="en-US" w:eastAsia="zh-CN"/>
              </w:rPr>
              <w:t>孙豪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许秋明</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朱莹</w:t>
            </w:r>
          </w:p>
        </w:tc>
        <w:tc>
          <w:tcPr>
            <w:tcW w:w="1930" w:type="dxa"/>
          </w:tcPr>
          <w:p>
            <w:pPr>
              <w:jc w:val="both"/>
              <w:rPr>
                <w:rFonts w:hint="default" w:ascii="楷体" w:hAnsi="楷体" w:eastAsia="楷体"/>
                <w:szCs w:val="24"/>
                <w:lang w:val="en-US" w:eastAsia="zh-CN"/>
              </w:rPr>
            </w:pPr>
            <w:r>
              <w:rPr>
                <w:rFonts w:hint="eastAsia" w:ascii="楷体" w:hAnsi="楷体" w:eastAsia="楷体"/>
                <w:szCs w:val="24"/>
                <w:lang w:val="en-US" w:eastAsia="zh-CN"/>
              </w:rPr>
              <w:t>孙昊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姜丽娟</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季琳</w:t>
            </w:r>
          </w:p>
        </w:tc>
        <w:tc>
          <w:tcPr>
            <w:tcW w:w="1930" w:type="dxa"/>
            <w:vAlign w:val="top"/>
          </w:tcPr>
          <w:p>
            <w:pPr>
              <w:jc w:val="both"/>
              <w:rPr>
                <w:rFonts w:hint="eastAsia" w:ascii="楷体" w:hAnsi="楷体" w:eastAsia="楷体"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tcPr>
          <w:p>
            <w:pPr>
              <w:jc w:val="both"/>
              <w:rPr>
                <w:rFonts w:hint="default" w:ascii="楷体" w:hAnsi="楷体" w:eastAsia="楷体"/>
                <w:szCs w:val="24"/>
                <w:lang w:val="en-US" w:eastAsia="zh-CN"/>
              </w:rPr>
            </w:pPr>
            <w:r>
              <w:rPr>
                <w:rFonts w:hint="eastAsia" w:ascii="楷体" w:hAnsi="楷体" w:eastAsia="楷体"/>
                <w:szCs w:val="24"/>
                <w:lang w:val="en-US" w:eastAsia="zh-CN"/>
              </w:rPr>
              <w:t>顾鹏飞</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唐宇</w:t>
            </w:r>
          </w:p>
        </w:tc>
        <w:tc>
          <w:tcPr>
            <w:tcW w:w="1930" w:type="dxa"/>
            <w:vAlign w:val="top"/>
          </w:tcPr>
          <w:p>
            <w:pPr>
              <w:jc w:val="both"/>
              <w:rPr>
                <w:rFonts w:hint="eastAsia" w:ascii="楷体" w:hAnsi="楷体" w:eastAsia="楷体"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徐艳丽</w:t>
            </w:r>
          </w:p>
        </w:tc>
        <w:tc>
          <w:tcPr>
            <w:tcW w:w="246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顾昕</w:t>
            </w:r>
          </w:p>
        </w:tc>
        <w:tc>
          <w:tcPr>
            <w:tcW w:w="1930" w:type="dxa"/>
            <w:vAlign w:val="top"/>
          </w:tcPr>
          <w:p>
            <w:pPr>
              <w:jc w:val="both"/>
              <w:rPr>
                <w:rFonts w:hint="default" w:ascii="楷体" w:hAnsi="楷体" w:eastAsia="楷体"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朱玥</w:t>
            </w:r>
            <w:r>
              <w:rPr>
                <w:rFonts w:hint="eastAsia" w:ascii="Times New Roman" w:hAnsi="Times New Roman" w:eastAsia="宋体" w:cs="Times New Roman"/>
                <w:b/>
                <w:bCs/>
                <w:color w:val="FF0000"/>
                <w:kern w:val="0"/>
                <w:sz w:val="22"/>
                <w:szCs w:val="20"/>
                <w:lang w:val="en-US" w:eastAsia="zh-CN"/>
              </w:rPr>
              <w:t>（区新秀）</w:t>
            </w:r>
          </w:p>
        </w:tc>
        <w:tc>
          <w:tcPr>
            <w:tcW w:w="2464" w:type="dxa"/>
            <w:vAlign w:val="top"/>
          </w:tcPr>
          <w:p>
            <w:pPr>
              <w:jc w:val="both"/>
              <w:rPr>
                <w:rFonts w:hint="default" w:ascii="楷体" w:hAnsi="楷体" w:eastAsia="楷体"/>
                <w:szCs w:val="24"/>
                <w:lang w:val="en-US" w:eastAsia="zh-CN"/>
              </w:rPr>
            </w:pPr>
            <w:r>
              <w:rPr>
                <w:rFonts w:hint="eastAsia" w:ascii="楷体" w:hAnsi="楷体" w:eastAsia="楷体"/>
                <w:szCs w:val="24"/>
                <w:lang w:val="en-US" w:eastAsia="zh-CN"/>
              </w:rPr>
              <w:t>费玥</w:t>
            </w:r>
          </w:p>
        </w:tc>
        <w:tc>
          <w:tcPr>
            <w:tcW w:w="1930" w:type="dxa"/>
          </w:tcPr>
          <w:p>
            <w:pPr>
              <w:jc w:val="both"/>
              <w:rPr>
                <w:rFonts w:hint="eastAsia" w:ascii="楷体" w:hAnsi="楷体" w:eastAsia="楷体"/>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vAlign w:val="top"/>
          </w:tcPr>
          <w:p>
            <w:pPr>
              <w:jc w:val="both"/>
              <w:rPr>
                <w:rFonts w:hint="eastAsia" w:ascii="楷体" w:hAnsi="楷体" w:eastAsia="楷体"/>
                <w:szCs w:val="24"/>
                <w:lang w:val="en-US" w:eastAsia="zh-CN"/>
              </w:rPr>
            </w:pPr>
            <w:r>
              <w:rPr>
                <w:rFonts w:hint="eastAsia" w:ascii="楷体" w:hAnsi="楷体" w:eastAsia="楷体"/>
                <w:szCs w:val="24"/>
                <w:lang w:val="en-US" w:eastAsia="zh-CN"/>
              </w:rPr>
              <w:t>何玲洁</w:t>
            </w:r>
            <w:r>
              <w:rPr>
                <w:rFonts w:hint="eastAsia" w:ascii="Times New Roman" w:hAnsi="Times New Roman" w:eastAsia="宋体" w:cs="Times New Roman"/>
                <w:b/>
                <w:bCs/>
                <w:color w:val="FF0000"/>
                <w:kern w:val="0"/>
                <w:sz w:val="22"/>
                <w:szCs w:val="20"/>
                <w:lang w:val="en-US" w:eastAsia="zh-CN"/>
              </w:rPr>
              <w:t>（区新秀）</w:t>
            </w:r>
          </w:p>
        </w:tc>
        <w:tc>
          <w:tcPr>
            <w:tcW w:w="2464" w:type="dxa"/>
            <w:vAlign w:val="top"/>
          </w:tcPr>
          <w:p>
            <w:pPr>
              <w:jc w:val="both"/>
              <w:rPr>
                <w:rFonts w:hint="default" w:ascii="楷体" w:hAnsi="楷体" w:eastAsia="楷体"/>
                <w:szCs w:val="24"/>
                <w:lang w:val="en-US" w:eastAsia="zh-CN"/>
              </w:rPr>
            </w:pPr>
          </w:p>
        </w:tc>
        <w:tc>
          <w:tcPr>
            <w:tcW w:w="1930" w:type="dxa"/>
          </w:tcPr>
          <w:p>
            <w:pPr>
              <w:jc w:val="both"/>
              <w:rPr>
                <w:rFonts w:hint="eastAsia" w:ascii="楷体" w:hAnsi="楷体" w:eastAsia="楷体"/>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章叶</w:t>
            </w:r>
          </w:p>
        </w:tc>
        <w:tc>
          <w:tcPr>
            <w:tcW w:w="2464" w:type="dxa"/>
          </w:tcPr>
          <w:p>
            <w:pPr>
              <w:jc w:val="both"/>
              <w:rPr>
                <w:rFonts w:hint="default" w:ascii="楷体" w:hAnsi="楷体" w:eastAsia="楷体"/>
                <w:szCs w:val="24"/>
                <w:lang w:val="en-US" w:eastAsia="zh-CN"/>
              </w:rPr>
            </w:pPr>
          </w:p>
        </w:tc>
        <w:tc>
          <w:tcPr>
            <w:tcW w:w="1930" w:type="dxa"/>
          </w:tcPr>
          <w:p>
            <w:pPr>
              <w:jc w:val="both"/>
              <w:rPr>
                <w:rFonts w:hint="eastAsia" w:ascii="楷体" w:hAnsi="楷体" w:eastAsia="楷体"/>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jc w:val="both"/>
              <w:rPr>
                <w:rFonts w:hint="eastAsia" w:ascii="楷体" w:hAnsi="楷体" w:eastAsia="楷体"/>
                <w:szCs w:val="24"/>
                <w:lang w:val="en-US" w:eastAsia="zh-CN"/>
              </w:rPr>
            </w:pPr>
          </w:p>
        </w:tc>
        <w:tc>
          <w:tcPr>
            <w:tcW w:w="2804" w:type="dxa"/>
          </w:tcPr>
          <w:p>
            <w:pPr>
              <w:jc w:val="both"/>
              <w:rPr>
                <w:rFonts w:hint="eastAsia" w:ascii="楷体" w:hAnsi="楷体" w:eastAsia="楷体"/>
                <w:szCs w:val="24"/>
                <w:lang w:val="en-US" w:eastAsia="zh-CN"/>
              </w:rPr>
            </w:pPr>
            <w:r>
              <w:rPr>
                <w:rFonts w:hint="eastAsia" w:ascii="楷体" w:hAnsi="楷体" w:eastAsia="楷体"/>
                <w:szCs w:val="24"/>
                <w:lang w:val="en-US" w:eastAsia="zh-CN"/>
              </w:rPr>
              <w:t>林浩</w:t>
            </w:r>
          </w:p>
        </w:tc>
        <w:tc>
          <w:tcPr>
            <w:tcW w:w="2464" w:type="dxa"/>
          </w:tcPr>
          <w:p>
            <w:pPr>
              <w:jc w:val="both"/>
              <w:rPr>
                <w:rFonts w:hint="eastAsia" w:ascii="楷体" w:hAnsi="楷体" w:eastAsia="楷体"/>
                <w:szCs w:val="24"/>
                <w:lang w:val="en-US" w:eastAsia="zh-CN"/>
              </w:rPr>
            </w:pPr>
          </w:p>
        </w:tc>
        <w:tc>
          <w:tcPr>
            <w:tcW w:w="1930" w:type="dxa"/>
          </w:tcPr>
          <w:p>
            <w:pPr>
              <w:jc w:val="both"/>
              <w:rPr>
                <w:rFonts w:hint="eastAsia" w:ascii="楷体" w:hAnsi="楷体" w:eastAsia="楷体"/>
                <w:szCs w:val="24"/>
                <w:lang w:val="en-US" w:eastAsia="zh-CN"/>
              </w:rPr>
            </w:pPr>
          </w:p>
        </w:tc>
      </w:tr>
    </w:tbl>
    <w:p>
      <w:pPr>
        <w:numPr>
          <w:ilvl w:val="0"/>
          <w:numId w:val="0"/>
        </w:numPr>
        <w:tabs>
          <w:tab w:val="left" w:pos="2127"/>
        </w:tabs>
        <w:rPr>
          <w:rFonts w:hint="eastAsia"/>
          <w:sz w:val="24"/>
          <w:szCs w:val="28"/>
          <w:lang w:val="en-US" w:eastAsia="zh-CN"/>
        </w:rPr>
      </w:pPr>
      <w:r>
        <w:rPr>
          <w:rFonts w:hint="eastAsia"/>
          <w:sz w:val="24"/>
          <w:szCs w:val="28"/>
          <w:lang w:val="en-US" w:eastAsia="zh-CN"/>
        </w:rPr>
        <w:t>2.各年级研究小主题</w:t>
      </w:r>
    </w:p>
    <w:tbl>
      <w:tblPr>
        <w:tblStyle w:val="8"/>
        <w:tblpPr w:leftFromText="180" w:rightFromText="180" w:vertAnchor="text" w:horzAnchor="page" w:tblpX="1762" w:tblpY="4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7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研究专题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一年级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常规养成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二年级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szCs w:val="21"/>
                <w:lang w:val="en-US" w:eastAsia="zh-CN"/>
              </w:rPr>
              <w:t>数学语言表达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三年级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四年级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生成性资源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五年级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复习课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六年级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作业设计</w:t>
            </w:r>
          </w:p>
        </w:tc>
      </w:tr>
    </w:tbl>
    <w:p>
      <w:pPr>
        <w:pStyle w:val="12"/>
        <w:numPr>
          <w:ilvl w:val="0"/>
          <w:numId w:val="0"/>
        </w:numPr>
        <w:spacing w:line="420" w:lineRule="exact"/>
        <w:ind w:leftChars="0" w:firstLine="420" w:firstLineChars="200"/>
        <w:rPr>
          <w:rFonts w:hint="default"/>
          <w:szCs w:val="21"/>
          <w:lang w:val="en-US" w:eastAsia="zh-CN"/>
        </w:rPr>
      </w:pPr>
    </w:p>
    <w:p>
      <w:pPr>
        <w:numPr>
          <w:ilvl w:val="0"/>
          <w:numId w:val="0"/>
        </w:numPr>
        <w:tabs>
          <w:tab w:val="left" w:pos="2127"/>
        </w:tabs>
        <w:rPr>
          <w:rFonts w:hint="eastAsia"/>
          <w:sz w:val="24"/>
          <w:szCs w:val="28"/>
          <w:lang w:val="en-US" w:eastAsia="zh-CN"/>
        </w:rPr>
      </w:pPr>
      <w:r>
        <w:rPr>
          <w:rFonts w:hint="eastAsia"/>
          <w:sz w:val="24"/>
          <w:szCs w:val="28"/>
          <w:lang w:val="en-US" w:eastAsia="zh-CN"/>
        </w:rPr>
        <w:t>3.各年级数学活动开展情况</w:t>
      </w:r>
    </w:p>
    <w:tbl>
      <w:tblPr>
        <w:tblStyle w:val="8"/>
        <w:tblpPr w:leftFromText="180" w:rightFromText="180" w:vertAnchor="text" w:horzAnchor="page" w:tblpX="1714" w:tblpY="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7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设计的活动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一年级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szCs w:val="21"/>
                <w:lang w:val="en-US" w:eastAsia="zh-CN"/>
              </w:rPr>
              <w:t>数字画、数字连线画、拼拼搭搭、捆小棒比赛、数字卡片、扑克牌游戏“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二年级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szCs w:val="21"/>
                <w:lang w:val="en-US" w:eastAsia="zh-CN"/>
              </w:rPr>
              <w:t>百变七巧板、寻找身体尺，记忆对对碰、口诀战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三年级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szCs w:val="21"/>
                <w:lang w:val="en-US" w:eastAsia="zh-CN"/>
              </w:rPr>
              <w:t>质量知多少、周长的奥秘、</w:t>
            </w:r>
            <w:r>
              <w:rPr>
                <w:rFonts w:hint="eastAsia"/>
                <w:lang w:eastAsia="zh-Hans"/>
              </w:rPr>
              <w:t>美丽的轴对称</w:t>
            </w:r>
            <w:r>
              <w:rPr>
                <w:rFonts w:hint="eastAsia"/>
                <w:lang w:eastAsia="zh-CN"/>
              </w:rPr>
              <w:t>、</w:t>
            </w:r>
            <w:r>
              <w:rPr>
                <w:rFonts w:hint="eastAsia"/>
                <w:lang w:eastAsia="zh-Hans"/>
              </w:rPr>
              <w:t>多彩的分数条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四年级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可能性、玩转24点、数学魔术、思维导图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五年级</w:t>
            </w:r>
          </w:p>
        </w:tc>
        <w:tc>
          <w:tcPr>
            <w:tcW w:w="6851" w:type="dxa"/>
          </w:tcPr>
          <w:p>
            <w:pPr>
              <w:pStyle w:val="12"/>
              <w:numPr>
                <w:ilvl w:val="0"/>
                <w:numId w:val="0"/>
              </w:numPr>
              <w:spacing w:line="420" w:lineRule="exact"/>
              <w:jc w:val="center"/>
              <w:rPr>
                <w:rFonts w:hint="default"/>
                <w:vertAlign w:val="baseline"/>
                <w:lang w:val="en-US" w:eastAsia="zh-CN"/>
              </w:rPr>
            </w:pPr>
            <w:r>
              <w:rPr>
                <w:rFonts w:hint="eastAsia"/>
                <w:vertAlign w:val="baseline"/>
                <w:lang w:val="en-US" w:eastAsia="zh-CN"/>
              </w:rPr>
              <w:t>数独、数学家的故事、图形的分割、好题我来讲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default"/>
                <w:vertAlign w:val="baseline"/>
                <w:lang w:val="en-US" w:eastAsia="zh-CN"/>
              </w:rPr>
            </w:pPr>
            <w:r>
              <w:rPr>
                <w:rFonts w:hint="eastAsia"/>
                <w:vertAlign w:val="baseline"/>
                <w:lang w:val="en-US" w:eastAsia="zh-CN"/>
              </w:rPr>
              <w:t>六年级</w:t>
            </w:r>
          </w:p>
        </w:tc>
        <w:tc>
          <w:tcPr>
            <w:tcW w:w="6851" w:type="dxa"/>
          </w:tcPr>
          <w:p>
            <w:pPr>
              <w:pStyle w:val="12"/>
              <w:numPr>
                <w:ilvl w:val="0"/>
                <w:numId w:val="0"/>
              </w:numPr>
              <w:spacing w:line="420" w:lineRule="exact"/>
              <w:jc w:val="center"/>
              <w:rPr>
                <w:rFonts w:hint="default"/>
                <w:vertAlign w:val="baseline"/>
                <w:lang w:val="en-US" w:eastAsia="zh-CN"/>
              </w:rPr>
            </w:pPr>
            <w:r>
              <w:rPr>
                <w:rFonts w:hint="default"/>
                <w:vertAlign w:val="baseline"/>
                <w:lang w:val="en-US" w:eastAsia="zh-CN"/>
              </w:rPr>
              <w:t>创意拼搭</w:t>
            </w:r>
            <w:r>
              <w:rPr>
                <w:rFonts w:hint="eastAsia"/>
                <w:vertAlign w:val="baseline"/>
                <w:lang w:val="en-US" w:eastAsia="zh-CN"/>
              </w:rPr>
              <w:t>、</w:t>
            </w:r>
            <w:r>
              <w:rPr>
                <w:rFonts w:hint="eastAsia"/>
                <w:lang w:val="en-US" w:eastAsia="zh-CN"/>
              </w:rPr>
              <w:t>整理知识、树叶中的比、互联网的普及</w:t>
            </w:r>
          </w:p>
        </w:tc>
      </w:tr>
    </w:tbl>
    <w:p>
      <w:pPr>
        <w:numPr>
          <w:ilvl w:val="0"/>
          <w:numId w:val="0"/>
        </w:numPr>
        <w:tabs>
          <w:tab w:val="left" w:pos="2127"/>
        </w:tabs>
        <w:rPr>
          <w:rFonts w:hint="eastAsia"/>
          <w:sz w:val="24"/>
          <w:szCs w:val="28"/>
          <w:lang w:val="en-US" w:eastAsia="zh-CN"/>
        </w:rPr>
      </w:pPr>
      <w:r>
        <w:rPr>
          <w:rFonts w:hint="eastAsia"/>
          <w:sz w:val="24"/>
          <w:szCs w:val="28"/>
          <w:lang w:val="en-US" w:eastAsia="zh-CN"/>
        </w:rPr>
        <w:t>4.论文发表情况</w:t>
      </w:r>
    </w:p>
    <w:tbl>
      <w:tblPr>
        <w:tblStyle w:val="7"/>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29"/>
        <w:gridCol w:w="4501"/>
        <w:gridCol w:w="1200"/>
        <w:gridCol w:w="169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Align w:val="center"/>
          </w:tcPr>
          <w:p>
            <w:pPr>
              <w:spacing w:line="460" w:lineRule="exact"/>
              <w:jc w:val="center"/>
              <w:rPr>
                <w:rFonts w:ascii="黑体" w:hAnsi="宋体" w:eastAsia="黑体" w:cstheme="minorBidi"/>
                <w:b/>
                <w:bCs/>
                <w:sz w:val="24"/>
                <w:szCs w:val="22"/>
              </w:rPr>
            </w:pPr>
            <w:r>
              <w:rPr>
                <w:rFonts w:hint="eastAsia" w:ascii="黑体" w:hAnsi="宋体" w:eastAsia="黑体" w:cstheme="minorBidi"/>
                <w:b/>
                <w:bCs/>
                <w:sz w:val="24"/>
                <w:szCs w:val="22"/>
              </w:rPr>
              <w:t>序号</w:t>
            </w:r>
          </w:p>
        </w:tc>
        <w:tc>
          <w:tcPr>
            <w:tcW w:w="929" w:type="dxa"/>
            <w:vAlign w:val="center"/>
          </w:tcPr>
          <w:p>
            <w:pPr>
              <w:spacing w:line="460" w:lineRule="exact"/>
              <w:ind w:left="-2" w:leftChars="-1" w:firstLine="2" w:firstLineChars="1"/>
              <w:jc w:val="center"/>
              <w:rPr>
                <w:rFonts w:ascii="黑体" w:hAnsi="宋体" w:eastAsia="黑体" w:cstheme="minorBidi"/>
                <w:b/>
                <w:bCs/>
                <w:sz w:val="24"/>
                <w:szCs w:val="22"/>
              </w:rPr>
            </w:pPr>
            <w:r>
              <w:rPr>
                <w:rFonts w:hint="eastAsia" w:ascii="黑体" w:hAnsi="宋体" w:eastAsia="黑体" w:cstheme="minorBidi"/>
                <w:b/>
                <w:bCs/>
                <w:sz w:val="24"/>
                <w:szCs w:val="22"/>
              </w:rPr>
              <w:t>作者</w:t>
            </w:r>
          </w:p>
        </w:tc>
        <w:tc>
          <w:tcPr>
            <w:tcW w:w="4501" w:type="dxa"/>
            <w:vAlign w:val="center"/>
          </w:tcPr>
          <w:p>
            <w:pPr>
              <w:spacing w:line="460" w:lineRule="exact"/>
              <w:jc w:val="center"/>
              <w:rPr>
                <w:rFonts w:ascii="黑体" w:hAnsi="宋体" w:eastAsia="黑体" w:cstheme="minorBidi"/>
                <w:b/>
                <w:bCs/>
                <w:sz w:val="24"/>
                <w:szCs w:val="22"/>
              </w:rPr>
            </w:pPr>
            <w:r>
              <w:rPr>
                <w:rFonts w:hint="eastAsia" w:ascii="黑体" w:hAnsi="宋体" w:eastAsia="黑体" w:cstheme="minorBidi"/>
                <w:b/>
                <w:bCs/>
                <w:sz w:val="24"/>
                <w:szCs w:val="22"/>
              </w:rPr>
              <w:t>论文题目</w:t>
            </w:r>
          </w:p>
        </w:tc>
        <w:tc>
          <w:tcPr>
            <w:tcW w:w="1200" w:type="dxa"/>
            <w:vAlign w:val="center"/>
          </w:tcPr>
          <w:p>
            <w:pPr>
              <w:spacing w:line="460" w:lineRule="exact"/>
              <w:jc w:val="center"/>
              <w:rPr>
                <w:rFonts w:ascii="黑体" w:hAnsi="宋体" w:eastAsia="黑体" w:cstheme="minorBidi"/>
                <w:b/>
                <w:bCs/>
                <w:kern w:val="0"/>
                <w:sz w:val="24"/>
                <w:szCs w:val="22"/>
              </w:rPr>
            </w:pPr>
            <w:r>
              <w:rPr>
                <w:rFonts w:hint="eastAsia" w:ascii="黑体" w:hAnsi="宋体" w:eastAsia="黑体" w:cstheme="minorBidi"/>
                <w:b/>
                <w:bCs/>
                <w:kern w:val="0"/>
                <w:sz w:val="22"/>
                <w:szCs w:val="21"/>
              </w:rPr>
              <w:t>发表时间</w:t>
            </w:r>
          </w:p>
        </w:tc>
        <w:tc>
          <w:tcPr>
            <w:tcW w:w="1690" w:type="dxa"/>
            <w:vAlign w:val="center"/>
          </w:tcPr>
          <w:p>
            <w:pPr>
              <w:spacing w:line="460" w:lineRule="exact"/>
              <w:jc w:val="center"/>
              <w:rPr>
                <w:rFonts w:ascii="黑体" w:hAnsi="宋体" w:eastAsia="黑体" w:cstheme="minorBidi"/>
                <w:b/>
                <w:bCs/>
                <w:kern w:val="0"/>
                <w:sz w:val="24"/>
                <w:szCs w:val="22"/>
              </w:rPr>
            </w:pPr>
            <w:r>
              <w:rPr>
                <w:rFonts w:hint="eastAsia" w:ascii="黑体" w:hAnsi="宋体" w:eastAsia="黑体" w:cstheme="minorBidi"/>
                <w:b/>
                <w:bCs/>
                <w:kern w:val="0"/>
                <w:sz w:val="24"/>
                <w:szCs w:val="22"/>
              </w:rPr>
              <w:t>刊物名称</w:t>
            </w:r>
          </w:p>
        </w:tc>
        <w:tc>
          <w:tcPr>
            <w:tcW w:w="1059" w:type="dxa"/>
            <w:vAlign w:val="center"/>
          </w:tcPr>
          <w:p>
            <w:pPr>
              <w:spacing w:line="460" w:lineRule="exact"/>
              <w:jc w:val="center"/>
              <w:rPr>
                <w:rFonts w:ascii="黑体" w:hAnsi="宋体" w:eastAsia="黑体" w:cstheme="minorBidi"/>
                <w:b/>
                <w:bCs/>
                <w:sz w:val="24"/>
                <w:szCs w:val="22"/>
              </w:rPr>
            </w:pPr>
            <w:r>
              <w:rPr>
                <w:rFonts w:hint="eastAsia" w:ascii="黑体" w:hAnsi="宋体" w:eastAsia="黑体" w:cstheme="minorBidi"/>
                <w:b/>
                <w:bCs/>
                <w:sz w:val="24"/>
                <w:szCs w:val="22"/>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Align w:val="center"/>
          </w:tcPr>
          <w:p>
            <w:pPr>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929" w:type="dxa"/>
            <w:vAlign w:val="center"/>
          </w:tcPr>
          <w:p>
            <w:pPr>
              <w:widowControl/>
              <w:spacing w:line="240" w:lineRule="auto"/>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荆亚琴</w:t>
            </w:r>
          </w:p>
        </w:tc>
        <w:tc>
          <w:tcPr>
            <w:tcW w:w="4501" w:type="dxa"/>
            <w:vAlign w:val="center"/>
          </w:tcPr>
          <w:p>
            <w:pPr>
              <w:widowControl/>
              <w:spacing w:line="240" w:lineRule="auto"/>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经历抽象过程 促进思维活跃——《认识线段》教学设计与说明（一）</w:t>
            </w:r>
          </w:p>
          <w:p>
            <w:pPr>
              <w:widowControl/>
              <w:spacing w:line="240" w:lineRule="auto"/>
              <w:jc w:val="center"/>
              <w:textAlignment w:val="center"/>
              <w:rPr>
                <w:rFonts w:hint="eastAsia" w:ascii="宋体" w:hAnsi="宋体" w:eastAsia="宋体" w:cs="宋体"/>
                <w:kern w:val="2"/>
                <w:sz w:val="22"/>
                <w:szCs w:val="22"/>
                <w:lang w:val="en-US" w:eastAsia="zh-CN" w:bidi="ar-SA"/>
              </w:rPr>
            </w:pPr>
          </w:p>
        </w:tc>
        <w:tc>
          <w:tcPr>
            <w:tcW w:w="1200" w:type="dxa"/>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color w:val="000000"/>
                <w:kern w:val="0"/>
                <w:sz w:val="22"/>
                <w:szCs w:val="22"/>
                <w:lang w:val="en-US" w:eastAsia="zh-CN" w:bidi="ar"/>
              </w:rPr>
              <w:t>2021.9</w:t>
            </w:r>
          </w:p>
        </w:tc>
        <w:tc>
          <w:tcPr>
            <w:tcW w:w="1690" w:type="dxa"/>
            <w:vAlign w:val="center"/>
          </w:tcPr>
          <w:p>
            <w:pPr>
              <w:widowControl/>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color w:val="000000"/>
                <w:kern w:val="0"/>
                <w:sz w:val="22"/>
                <w:szCs w:val="22"/>
                <w:lang w:val="en-US" w:eastAsia="zh-CN" w:bidi="ar"/>
              </w:rPr>
              <w:t>小学教学设计</w:t>
            </w:r>
          </w:p>
        </w:tc>
        <w:tc>
          <w:tcPr>
            <w:tcW w:w="1059" w:type="dxa"/>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color w:val="000000"/>
                <w:kern w:val="0"/>
                <w:sz w:val="22"/>
                <w:szCs w:val="22"/>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20" w:type="dxa"/>
            <w:vAlign w:val="center"/>
          </w:tcPr>
          <w:p>
            <w:pPr>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2</w:t>
            </w:r>
          </w:p>
        </w:tc>
        <w:tc>
          <w:tcPr>
            <w:tcW w:w="929" w:type="dxa"/>
            <w:vAlign w:val="top"/>
          </w:tcPr>
          <w:p>
            <w:pPr>
              <w:pStyle w:val="12"/>
              <w:numPr>
                <w:ilvl w:val="0"/>
                <w:numId w:val="0"/>
              </w:numPr>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color w:val="000000" w:themeColor="text1"/>
                <w:szCs w:val="21"/>
                <w:vertAlign w:val="baseline"/>
                <w:lang w:val="en-US" w:eastAsia="zh-CN"/>
                <w14:textFill>
                  <w14:solidFill>
                    <w14:schemeClr w14:val="tx1"/>
                  </w14:solidFill>
                </w14:textFill>
              </w:rPr>
              <w:t>朱玥</w:t>
            </w:r>
          </w:p>
        </w:tc>
        <w:tc>
          <w:tcPr>
            <w:tcW w:w="4501" w:type="dxa"/>
            <w:vAlign w:val="top"/>
          </w:tcPr>
          <w:p>
            <w:pPr>
              <w:pStyle w:val="12"/>
              <w:numPr>
                <w:ilvl w:val="0"/>
                <w:numId w:val="0"/>
              </w:numPr>
              <w:spacing w:line="240" w:lineRule="auto"/>
              <w:ind w:left="0" w:leftChars="0" w:firstLine="0" w:firstLineChars="0"/>
              <w:jc w:val="center"/>
              <w:rPr>
                <w:rFonts w:hint="eastAsia" w:ascii="宋体" w:hAnsi="宋体" w:eastAsia="宋体" w:cs="宋体"/>
                <w:color w:val="000000"/>
                <w:kern w:val="0"/>
                <w:sz w:val="22"/>
                <w:szCs w:val="22"/>
                <w:lang w:eastAsia="zh-CN" w:bidi="ar"/>
              </w:rPr>
            </w:pPr>
            <w:r>
              <w:rPr>
                <w:rFonts w:hint="eastAsia"/>
                <w:szCs w:val="21"/>
                <w:lang w:val="en-US" w:eastAsia="zh-CN"/>
              </w:rPr>
              <w:t>单位“1”的故事</w:t>
            </w:r>
          </w:p>
        </w:tc>
        <w:tc>
          <w:tcPr>
            <w:tcW w:w="3949" w:type="dxa"/>
            <w:gridSpan w:val="3"/>
            <w:vMerge w:val="restart"/>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0" w:type="dxa"/>
            <w:vAlign w:val="center"/>
          </w:tcPr>
          <w:p>
            <w:pPr>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3</w:t>
            </w:r>
          </w:p>
        </w:tc>
        <w:tc>
          <w:tcPr>
            <w:tcW w:w="929" w:type="dxa"/>
            <w:vAlign w:val="top"/>
          </w:tcPr>
          <w:p>
            <w:pPr>
              <w:pStyle w:val="12"/>
              <w:numPr>
                <w:ilvl w:val="0"/>
                <w:numId w:val="0"/>
              </w:numPr>
              <w:spacing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color w:val="000000" w:themeColor="text1"/>
                <w:szCs w:val="21"/>
                <w:vertAlign w:val="baseline"/>
                <w:lang w:val="en-US" w:eastAsia="zh-CN"/>
                <w14:textFill>
                  <w14:solidFill>
                    <w14:schemeClr w14:val="tx1"/>
                  </w14:solidFill>
                </w14:textFill>
              </w:rPr>
              <w:t>章叶</w:t>
            </w:r>
          </w:p>
        </w:tc>
        <w:tc>
          <w:tcPr>
            <w:tcW w:w="4501" w:type="dxa"/>
            <w:vAlign w:val="top"/>
          </w:tcPr>
          <w:sdt>
            <w:sdtPr>
              <w:rPr>
                <w:rFonts w:hint="eastAsia" w:asciiTheme="majorHAnsi" w:hAnsiTheme="majorHAnsi" w:eastAsiaTheme="majorEastAsia" w:cstheme="majorBidi"/>
                <w:b/>
                <w:sz w:val="32"/>
                <w:szCs w:val="80"/>
                <w:lang w:val="en-US" w:eastAsia="zh-CN"/>
              </w:rPr>
              <w:alias w:val="标题"/>
              <w:tag w:val="标题"/>
              <w:id w:val="15524250"/>
              <w:placeholder>
                <w:docPart w:val="{d43e97cd-5c20-4baa-8793-e72f678d8890}"/>
              </w:placeholder>
              <w15:dataBinding w:prefixMappings="xmlns:ns0='http://schemas.openxmlformats.org/package/2006/metadata/core-properties' xmlns:ns1='http://purl.org/dc/elements/1.1/'" w:xpath="/ns0:coreProperties[1]/ns1:title[1]" w:storeItemID="{6C3C8BC8-F283-45AE-878A-BAB7291924A1}"/>
              <w:text/>
            </w:sdtPr>
            <w:sdtEndPr>
              <w:rPr>
                <w:rFonts w:hint="eastAsia" w:asciiTheme="majorHAnsi" w:hAnsiTheme="majorHAnsi" w:eastAsiaTheme="majorEastAsia" w:cstheme="majorBidi"/>
                <w:b/>
                <w:sz w:val="32"/>
                <w:szCs w:val="21"/>
                <w:lang w:val="en-US" w:eastAsia="zh-CN"/>
              </w:rPr>
            </w:sdtEndPr>
            <w:sdtContent>
              <w:p>
                <w:pPr>
                  <w:widowControl/>
                  <w:spacing w:line="240" w:lineRule="auto"/>
                  <w:jc w:val="center"/>
                  <w:textAlignment w:val="center"/>
                  <w:rPr>
                    <w:rFonts w:hint="eastAsia" w:asciiTheme="majorHAnsi" w:hAnsiTheme="majorHAnsi" w:eastAsiaTheme="majorEastAsia" w:cstheme="majorBidi"/>
                    <w:b/>
                    <w:sz w:val="32"/>
                    <w:szCs w:val="21"/>
                    <w:lang w:val="en-US" w:eastAsia="zh-CN"/>
                  </w:rPr>
                </w:pPr>
                <w:r>
                  <w:rPr>
                    <w:rFonts w:hint="eastAsia" w:cstheme="minorBidi"/>
                    <w:kern w:val="2"/>
                    <w:sz w:val="21"/>
                    <w:szCs w:val="21"/>
                    <w:lang w:val="en-US" w:eastAsia="zh-CN" w:bidi="ar-SA"/>
                  </w:rPr>
                  <w:t>生成性资源助</w:t>
                </w:r>
                <w:r>
                  <w:rPr>
                    <w:rFonts w:hint="eastAsia"/>
                    <w:szCs w:val="21"/>
                    <w:lang w:val="en-US" w:eastAsia="zh-CN"/>
                  </w:rPr>
                  <w:t>推教学，促学生学习最优体验</w:t>
                </w:r>
              </w:p>
            </w:sdtContent>
          </w:sdt>
        </w:tc>
        <w:tc>
          <w:tcPr>
            <w:tcW w:w="3949" w:type="dxa"/>
            <w:gridSpan w:val="3"/>
            <w:vMerge w:val="continue"/>
            <w:vAlign w:val="center"/>
          </w:tcPr>
          <w:p>
            <w:pPr>
              <w:widowControl/>
              <w:jc w:val="center"/>
              <w:textAlignment w:val="center"/>
              <w:rPr>
                <w:rFonts w:hint="eastAsia" w:ascii="宋体" w:hAnsi="宋体" w:eastAsia="宋体" w:cs="宋体"/>
                <w:color w:val="000000"/>
                <w:kern w:val="0"/>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Align w:val="center"/>
          </w:tcPr>
          <w:p>
            <w:pPr>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4</w:t>
            </w:r>
          </w:p>
        </w:tc>
        <w:tc>
          <w:tcPr>
            <w:tcW w:w="929" w:type="dxa"/>
            <w:vAlign w:val="top"/>
          </w:tcPr>
          <w:p>
            <w:pPr>
              <w:pStyle w:val="12"/>
              <w:numPr>
                <w:ilvl w:val="0"/>
                <w:numId w:val="0"/>
              </w:numPr>
              <w:spacing w:line="240" w:lineRule="auto"/>
              <w:ind w:left="0" w:leftChars="0" w:firstLine="0" w:firstLineChars="0"/>
              <w:jc w:val="center"/>
              <w:rPr>
                <w:rFonts w:hint="eastAsia" w:ascii="宋体" w:hAnsi="宋体" w:eastAsia="宋体" w:cs="宋体"/>
                <w:sz w:val="22"/>
                <w:szCs w:val="22"/>
                <w:lang w:val="en-US" w:eastAsia="zh-CN"/>
              </w:rPr>
            </w:pPr>
            <w:r>
              <w:rPr>
                <w:rFonts w:hint="eastAsia"/>
                <w:color w:val="000000" w:themeColor="text1"/>
                <w:szCs w:val="21"/>
                <w:vertAlign w:val="baseline"/>
                <w:lang w:val="en-US" w:eastAsia="zh-CN"/>
                <w14:textFill>
                  <w14:solidFill>
                    <w14:schemeClr w14:val="tx1"/>
                  </w14:solidFill>
                </w14:textFill>
              </w:rPr>
              <w:t>蒋宁</w:t>
            </w:r>
          </w:p>
        </w:tc>
        <w:tc>
          <w:tcPr>
            <w:tcW w:w="4501" w:type="dxa"/>
            <w:vAlign w:val="top"/>
          </w:tcPr>
          <w:p>
            <w:pPr>
              <w:pStyle w:val="12"/>
              <w:numPr>
                <w:ilvl w:val="0"/>
                <w:numId w:val="0"/>
              </w:numPr>
              <w:spacing w:line="240" w:lineRule="auto"/>
              <w:ind w:left="0" w:leftChars="0" w:firstLine="0" w:firstLineChars="0"/>
              <w:jc w:val="left"/>
              <w:rPr>
                <w:rFonts w:hint="eastAsia" w:ascii="宋体" w:hAnsi="宋体" w:eastAsia="宋体" w:cs="宋体"/>
                <w:kern w:val="2"/>
                <w:sz w:val="22"/>
                <w:szCs w:val="22"/>
                <w:lang w:val="en-US" w:eastAsia="zh-CN" w:bidi="ar-SA"/>
              </w:rPr>
            </w:pPr>
            <w:r>
              <w:rPr>
                <w:rFonts w:hint="eastAsia"/>
                <w:szCs w:val="21"/>
                <w:lang w:val="en-US" w:eastAsia="zh-Hans"/>
              </w:rPr>
              <w:t>透析内涵</w:t>
            </w:r>
            <w:r>
              <w:rPr>
                <w:rFonts w:hint="default"/>
                <w:szCs w:val="21"/>
                <w:lang w:val="en-US" w:eastAsia="zh-Hans"/>
              </w:rPr>
              <w:t xml:space="preserve">  </w:t>
            </w:r>
            <w:r>
              <w:rPr>
                <w:rFonts w:hint="eastAsia"/>
                <w:szCs w:val="21"/>
                <w:lang w:val="en-US" w:eastAsia="zh-Hans"/>
              </w:rPr>
              <w:t>理解本质</w:t>
            </w:r>
            <w:r>
              <w:rPr>
                <w:rFonts w:hint="default"/>
                <w:szCs w:val="21"/>
                <w:lang w:val="en-US" w:eastAsia="zh-CN"/>
              </w:rPr>
              <w:t>——</w:t>
            </w:r>
            <w:r>
              <w:rPr>
                <w:rFonts w:hint="eastAsia"/>
                <w:szCs w:val="21"/>
                <w:lang w:val="en-US" w:eastAsia="zh-Hans"/>
              </w:rPr>
              <w:t>“</w:t>
            </w:r>
            <w:r>
              <w:rPr>
                <w:rFonts w:hint="eastAsia"/>
                <w:szCs w:val="21"/>
                <w:lang w:val="en-US" w:eastAsia="zh-CN"/>
              </w:rPr>
              <w:t>长</w:t>
            </w:r>
            <w:r>
              <w:rPr>
                <w:rFonts w:hint="default"/>
                <w:szCs w:val="21"/>
                <w:lang w:val="en-US" w:eastAsia="zh-CN"/>
              </w:rPr>
              <w:t>、</w:t>
            </w:r>
            <w:r>
              <w:rPr>
                <w:rFonts w:hint="eastAsia"/>
                <w:szCs w:val="21"/>
                <w:lang w:val="en-US" w:eastAsia="zh-CN"/>
              </w:rPr>
              <w:t>正方形周长的计算</w:t>
            </w:r>
            <w:r>
              <w:rPr>
                <w:rFonts w:hint="eastAsia"/>
                <w:szCs w:val="21"/>
                <w:lang w:val="en-US" w:eastAsia="zh-Hans"/>
              </w:rPr>
              <w:t>”教学设计与思考</w:t>
            </w:r>
          </w:p>
        </w:tc>
        <w:tc>
          <w:tcPr>
            <w:tcW w:w="3949" w:type="dxa"/>
            <w:gridSpan w:val="3"/>
            <w:vMerge w:val="continue"/>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Align w:val="center"/>
          </w:tcPr>
          <w:p>
            <w:pPr>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w:t>
            </w:r>
          </w:p>
        </w:tc>
        <w:tc>
          <w:tcPr>
            <w:tcW w:w="929" w:type="dxa"/>
            <w:vAlign w:val="top"/>
          </w:tcPr>
          <w:p>
            <w:pPr>
              <w:pStyle w:val="12"/>
              <w:numPr>
                <w:ilvl w:val="0"/>
                <w:numId w:val="0"/>
              </w:numPr>
              <w:spacing w:line="240" w:lineRule="auto"/>
              <w:ind w:left="0" w:leftChars="0" w:firstLine="0" w:firstLineChars="0"/>
              <w:jc w:val="center"/>
              <w:rPr>
                <w:rFonts w:hint="default" w:ascii="宋体" w:hAnsi="宋体" w:eastAsia="宋体" w:cs="宋体"/>
                <w:sz w:val="22"/>
                <w:szCs w:val="22"/>
                <w:lang w:val="en-US" w:eastAsia="zh-CN"/>
              </w:rPr>
            </w:pPr>
            <w:r>
              <w:rPr>
                <w:rFonts w:hint="eastAsia"/>
                <w:color w:val="000000" w:themeColor="text1"/>
                <w:szCs w:val="21"/>
                <w:vertAlign w:val="baseline"/>
                <w:lang w:val="en-US" w:eastAsia="zh-CN"/>
                <w14:textFill>
                  <w14:solidFill>
                    <w14:schemeClr w14:val="tx1"/>
                  </w14:solidFill>
                </w14:textFill>
              </w:rPr>
              <w:t>何玲洁</w:t>
            </w:r>
          </w:p>
        </w:tc>
        <w:tc>
          <w:tcPr>
            <w:tcW w:w="4501" w:type="dxa"/>
            <w:vAlign w:val="top"/>
          </w:tcPr>
          <w:sdt>
            <w:sdtPr>
              <w:rPr>
                <w:rFonts w:hint="eastAsia" w:asciiTheme="majorHAnsi" w:hAnsiTheme="majorHAnsi" w:eastAsiaTheme="majorEastAsia" w:cstheme="majorBidi"/>
                <w:b/>
                <w:sz w:val="32"/>
                <w:szCs w:val="80"/>
                <w:lang w:val="en-US" w:eastAsia="zh-CN"/>
              </w:rPr>
              <w:alias w:val="标题"/>
              <w:tag w:val="标题"/>
              <w:id w:val="15524250"/>
              <w:placeholder>
                <w:docPart w:val="{2108181f-95e8-414f-8a5b-64bb8cbc871e}"/>
              </w:placeholder>
              <w15:dataBinding w:prefixMappings="xmlns:ns0='http://schemas.openxmlformats.org/package/2006/metadata/core-properties' xmlns:ns1='http://purl.org/dc/elements/1.1/'" w:xpath="/ns0:coreProperties[1]/ns1:title[1]" w:storeItemID="{6C3C8BC8-F283-45AE-878A-BAB7291924A1}"/>
              <w:text/>
            </w:sdtPr>
            <w:sdtEndPr>
              <w:rPr>
                <w:rFonts w:hint="eastAsia" w:asciiTheme="majorHAnsi" w:hAnsiTheme="majorHAnsi" w:eastAsiaTheme="majorEastAsia" w:cstheme="majorBidi"/>
                <w:b/>
                <w:sz w:val="32"/>
                <w:szCs w:val="21"/>
                <w:lang w:val="en-US" w:eastAsia="zh-CN"/>
              </w:rPr>
            </w:sdtEndPr>
            <w:sdtContent>
              <w:p>
                <w:pPr>
                  <w:widowControl/>
                  <w:spacing w:line="240" w:lineRule="auto"/>
                  <w:jc w:val="center"/>
                  <w:textAlignment w:val="center"/>
                  <w:rPr>
                    <w:rFonts w:hint="eastAsia" w:asciiTheme="majorHAnsi" w:hAnsiTheme="majorHAnsi" w:eastAsiaTheme="majorEastAsia" w:cstheme="majorBidi"/>
                    <w:b/>
                    <w:sz w:val="32"/>
                    <w:szCs w:val="21"/>
                    <w:lang w:val="en-US" w:eastAsia="zh-CN"/>
                  </w:rPr>
                </w:pPr>
                <w:r>
                  <w:rPr>
                    <w:rFonts w:hint="eastAsia"/>
                    <w:szCs w:val="21"/>
                    <w:lang w:val="en-US" w:eastAsia="zh-CN"/>
                  </w:rPr>
                  <w:t>读中悟 悟中解——学好数学，从数学阅读开始</w:t>
                </w:r>
              </w:p>
            </w:sdtContent>
          </w:sdt>
        </w:tc>
        <w:tc>
          <w:tcPr>
            <w:tcW w:w="3949" w:type="dxa"/>
            <w:gridSpan w:val="3"/>
            <w:vMerge w:val="continue"/>
            <w:vAlign w:val="center"/>
          </w:tcPr>
          <w:p>
            <w:pPr>
              <w:widowControl/>
              <w:jc w:val="center"/>
              <w:textAlignment w:val="center"/>
              <w:rPr>
                <w:rFonts w:hint="eastAsia"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20" w:type="dxa"/>
            <w:vAlign w:val="center"/>
          </w:tcPr>
          <w:p>
            <w:pPr>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6</w:t>
            </w:r>
          </w:p>
        </w:tc>
        <w:tc>
          <w:tcPr>
            <w:tcW w:w="929" w:type="dxa"/>
            <w:vAlign w:val="top"/>
          </w:tcPr>
          <w:p>
            <w:pPr>
              <w:pStyle w:val="12"/>
              <w:numPr>
                <w:ilvl w:val="0"/>
                <w:numId w:val="0"/>
              </w:numPr>
              <w:spacing w:line="240" w:lineRule="auto"/>
              <w:ind w:left="0" w:leftChars="0" w:firstLine="0" w:firstLineChars="0"/>
              <w:jc w:val="center"/>
              <w:rPr>
                <w:rFonts w:hint="eastAsia" w:ascii="宋体" w:hAnsi="宋体" w:eastAsia="宋体" w:cs="宋体"/>
                <w:sz w:val="22"/>
                <w:szCs w:val="22"/>
                <w:lang w:val="en-US" w:eastAsia="zh-CN"/>
              </w:rPr>
            </w:pPr>
            <w:r>
              <w:rPr>
                <w:rFonts w:hint="eastAsia"/>
                <w:color w:val="000000" w:themeColor="text1"/>
                <w:szCs w:val="21"/>
                <w:vertAlign w:val="baseline"/>
                <w:lang w:val="en-US" w:eastAsia="zh-CN"/>
                <w14:textFill>
                  <w14:solidFill>
                    <w14:schemeClr w14:val="tx1"/>
                  </w14:solidFill>
                </w14:textFill>
              </w:rPr>
              <w:t>耿云</w:t>
            </w:r>
          </w:p>
        </w:tc>
        <w:tc>
          <w:tcPr>
            <w:tcW w:w="4501" w:type="dxa"/>
            <w:vAlign w:val="top"/>
          </w:tcPr>
          <w:sdt>
            <w:sdtPr>
              <w:rPr>
                <w:rStyle w:val="13"/>
                <w:sz w:val="44"/>
              </w:rPr>
              <w:alias w:val="论文标题"/>
              <w:tag w:val="键入论文标题"/>
              <w:id w:val="2669906"/>
              <w:placeholder>
                <w:docPart w:val="{39bc96d1-57d1-452a-a349-2c70a0ade437}"/>
              </w:placeholder>
            </w:sdtPr>
            <w:sdtEndPr>
              <w:rPr>
                <w:rStyle w:val="13"/>
                <w:rFonts w:hint="eastAsia"/>
                <w:sz w:val="44"/>
                <w:szCs w:val="21"/>
                <w:lang w:val="en-US" w:eastAsia="zh-CN"/>
              </w:rPr>
            </w:sdtEndPr>
            <w:sdtContent>
              <w:p>
                <w:pPr>
                  <w:widowControl/>
                  <w:spacing w:line="240" w:lineRule="auto"/>
                  <w:jc w:val="center"/>
                  <w:textAlignment w:val="center"/>
                  <w:rPr>
                    <w:rStyle w:val="13"/>
                    <w:rFonts w:hint="eastAsia"/>
                    <w:sz w:val="44"/>
                    <w:szCs w:val="21"/>
                    <w:lang w:val="en-US" w:eastAsia="zh-CN"/>
                  </w:rPr>
                </w:pPr>
                <w:r>
                  <w:rPr>
                    <w:rFonts w:hint="eastAsia"/>
                    <w:szCs w:val="21"/>
                    <w:lang w:val="en-US" w:eastAsia="zh-CN"/>
                  </w:rPr>
                  <w:t>教材解读：紧扣“思维”，让数学学习真正发生</w:t>
                </w:r>
              </w:p>
            </w:sdtContent>
          </w:sdt>
        </w:tc>
        <w:tc>
          <w:tcPr>
            <w:tcW w:w="3949" w:type="dxa"/>
            <w:gridSpan w:val="3"/>
            <w:vMerge w:val="continue"/>
            <w:vAlign w:val="center"/>
          </w:tcPr>
          <w:p>
            <w:pPr>
              <w:widowControl/>
              <w:jc w:val="center"/>
              <w:textAlignment w:val="center"/>
              <w:rPr>
                <w:rFonts w:hint="eastAsia" w:ascii="宋体" w:hAnsi="宋体" w:eastAsia="宋体" w:cs="宋体"/>
                <w:kern w:val="2"/>
                <w:sz w:val="22"/>
                <w:szCs w:val="22"/>
                <w:lang w:val="en-US" w:eastAsia="zh-CN" w:bidi="ar-SA"/>
              </w:rPr>
            </w:pPr>
          </w:p>
        </w:tc>
      </w:tr>
    </w:tbl>
    <w:p>
      <w:pPr>
        <w:numPr>
          <w:ilvl w:val="0"/>
          <w:numId w:val="0"/>
        </w:numPr>
        <w:tabs>
          <w:tab w:val="left" w:pos="2127"/>
        </w:tabs>
        <w:rPr>
          <w:rFonts w:hint="eastAsia"/>
          <w:sz w:val="24"/>
          <w:szCs w:val="28"/>
          <w:lang w:val="en-US" w:eastAsia="zh-CN"/>
        </w:rPr>
      </w:pPr>
      <w:r>
        <w:rPr>
          <w:rFonts w:hint="eastAsia"/>
          <w:sz w:val="24"/>
          <w:szCs w:val="28"/>
          <w:lang w:val="en-US" w:eastAsia="zh-CN"/>
        </w:rPr>
        <w:t>5.课堂情况</w:t>
      </w:r>
    </w:p>
    <w:tbl>
      <w:tblPr>
        <w:tblStyle w:val="8"/>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2"/>
        <w:gridCol w:w="1379"/>
        <w:gridCol w:w="229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912" w:type="dxa"/>
            <w:vAlign w:val="center"/>
          </w:tcPr>
          <w:p>
            <w:pPr>
              <w:tabs>
                <w:tab w:val="left" w:pos="2127"/>
              </w:tabs>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课题名称</w:t>
            </w:r>
          </w:p>
        </w:tc>
        <w:tc>
          <w:tcPr>
            <w:tcW w:w="1379" w:type="dxa"/>
            <w:vAlign w:val="center"/>
          </w:tcPr>
          <w:p>
            <w:pPr>
              <w:tabs>
                <w:tab w:val="left" w:pos="2127"/>
              </w:tabs>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主持|参与</w:t>
            </w:r>
          </w:p>
        </w:tc>
        <w:tc>
          <w:tcPr>
            <w:tcW w:w="2291" w:type="dxa"/>
            <w:vAlign w:val="center"/>
          </w:tcPr>
          <w:p>
            <w:pPr>
              <w:tabs>
                <w:tab w:val="left" w:pos="2127"/>
              </w:tabs>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立项部门</w:t>
            </w:r>
          </w:p>
        </w:tc>
        <w:tc>
          <w:tcPr>
            <w:tcW w:w="1499" w:type="dxa"/>
            <w:vAlign w:val="center"/>
          </w:tcPr>
          <w:p>
            <w:pPr>
              <w:tabs>
                <w:tab w:val="left" w:pos="2127"/>
              </w:tabs>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2" w:type="dxa"/>
            <w:vAlign w:val="center"/>
          </w:tcPr>
          <w:p>
            <w:pPr>
              <w:tabs>
                <w:tab w:val="left" w:pos="2127"/>
              </w:tabs>
              <w:jc w:val="left"/>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《小学数学课堂生成性学习资源开发与利用的实践研究》</w:t>
            </w:r>
          </w:p>
        </w:tc>
        <w:tc>
          <w:tcPr>
            <w:tcW w:w="1379" w:type="dxa"/>
            <w:vAlign w:val="center"/>
          </w:tcPr>
          <w:p>
            <w:pPr>
              <w:tabs>
                <w:tab w:val="left" w:pos="2127"/>
              </w:tabs>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荆亚琴主持</w:t>
            </w:r>
          </w:p>
        </w:tc>
        <w:tc>
          <w:tcPr>
            <w:tcW w:w="2291" w:type="dxa"/>
            <w:vAlign w:val="center"/>
          </w:tcPr>
          <w:p>
            <w:pPr>
              <w:tabs>
                <w:tab w:val="left" w:pos="2127"/>
              </w:tabs>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新北区</w:t>
            </w:r>
          </w:p>
        </w:tc>
        <w:tc>
          <w:tcPr>
            <w:tcW w:w="1499" w:type="dxa"/>
            <w:vAlign w:val="center"/>
          </w:tcPr>
          <w:p>
            <w:pPr>
              <w:tabs>
                <w:tab w:val="left" w:pos="2127"/>
              </w:tabs>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中期评估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2" w:type="dxa"/>
            <w:vAlign w:val="center"/>
          </w:tcPr>
          <w:p>
            <w:pPr>
              <w:tabs>
                <w:tab w:val="left" w:pos="2127"/>
              </w:tabs>
              <w:jc w:val="left"/>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《整理与复习结构性研究</w:t>
            </w:r>
          </w:p>
        </w:tc>
        <w:tc>
          <w:tcPr>
            <w:tcW w:w="1379" w:type="dxa"/>
            <w:vAlign w:val="center"/>
          </w:tcPr>
          <w:p>
            <w:pPr>
              <w:tabs>
                <w:tab w:val="left" w:pos="2127"/>
              </w:tabs>
              <w:jc w:val="center"/>
              <w:rPr>
                <w:rFonts w:hint="default" w:cstheme="minorBidi"/>
                <w:kern w:val="2"/>
                <w:sz w:val="21"/>
                <w:szCs w:val="21"/>
                <w:lang w:val="en-US" w:eastAsia="zh-CN" w:bidi="ar-SA"/>
              </w:rPr>
            </w:pPr>
            <w:r>
              <w:rPr>
                <w:rFonts w:hint="eastAsia" w:cstheme="minorBidi"/>
                <w:kern w:val="2"/>
                <w:sz w:val="21"/>
                <w:szCs w:val="21"/>
                <w:lang w:val="en-US" w:eastAsia="zh-CN" w:bidi="ar-SA"/>
              </w:rPr>
              <w:t>章叶参与</w:t>
            </w:r>
          </w:p>
        </w:tc>
        <w:tc>
          <w:tcPr>
            <w:tcW w:w="2291" w:type="dxa"/>
            <w:vAlign w:val="center"/>
          </w:tcPr>
          <w:p>
            <w:pPr>
              <w:tabs>
                <w:tab w:val="left" w:pos="2127"/>
              </w:tabs>
              <w:jc w:val="center"/>
              <w:rPr>
                <w:rFonts w:hint="default" w:cstheme="minorBidi"/>
                <w:kern w:val="2"/>
                <w:sz w:val="21"/>
                <w:szCs w:val="21"/>
                <w:lang w:val="en-US" w:eastAsia="zh-CN" w:bidi="ar-SA"/>
              </w:rPr>
            </w:pPr>
            <w:r>
              <w:rPr>
                <w:rFonts w:hint="eastAsia" w:cstheme="minorBidi"/>
                <w:kern w:val="2"/>
                <w:sz w:val="21"/>
                <w:szCs w:val="21"/>
                <w:lang w:val="en-US" w:eastAsia="zh-CN" w:bidi="ar-SA"/>
              </w:rPr>
              <w:t>区级</w:t>
            </w:r>
          </w:p>
        </w:tc>
        <w:tc>
          <w:tcPr>
            <w:tcW w:w="1499" w:type="dxa"/>
            <w:vAlign w:val="center"/>
          </w:tcPr>
          <w:p>
            <w:pPr>
              <w:tabs>
                <w:tab w:val="left" w:pos="2127"/>
              </w:tabs>
              <w:jc w:val="center"/>
              <w:rPr>
                <w:rFonts w:hint="default" w:cstheme="minorBidi"/>
                <w:kern w:val="2"/>
                <w:sz w:val="21"/>
                <w:szCs w:val="21"/>
                <w:lang w:val="en-US" w:eastAsia="zh-CN" w:bidi="ar-SA"/>
              </w:rPr>
            </w:pPr>
            <w:r>
              <w:rPr>
                <w:rFonts w:hint="eastAsia" w:cstheme="minorBidi"/>
                <w:kern w:val="2"/>
                <w:sz w:val="21"/>
                <w:szCs w:val="21"/>
                <w:lang w:val="en-US" w:eastAsia="zh-CN" w:bidi="ar-SA"/>
              </w:rPr>
              <w:t>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2" w:type="dxa"/>
            <w:vAlign w:val="center"/>
          </w:tcPr>
          <w:p>
            <w:pPr>
              <w:tabs>
                <w:tab w:val="left" w:pos="2127"/>
              </w:tabs>
              <w:jc w:val="left"/>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《小学数学复习课结构教学研究》</w:t>
            </w:r>
          </w:p>
        </w:tc>
        <w:tc>
          <w:tcPr>
            <w:tcW w:w="1379" w:type="dxa"/>
            <w:vAlign w:val="center"/>
          </w:tcPr>
          <w:p>
            <w:pPr>
              <w:tabs>
                <w:tab w:val="left" w:pos="2127"/>
              </w:tabs>
              <w:jc w:val="center"/>
              <w:rPr>
                <w:rFonts w:hint="default" w:cstheme="minorBidi"/>
                <w:kern w:val="2"/>
                <w:sz w:val="21"/>
                <w:szCs w:val="21"/>
                <w:lang w:val="en-US" w:eastAsia="zh-CN" w:bidi="ar-SA"/>
              </w:rPr>
            </w:pPr>
            <w:r>
              <w:rPr>
                <w:rFonts w:hint="eastAsia" w:cstheme="minorBidi"/>
                <w:kern w:val="2"/>
                <w:sz w:val="21"/>
                <w:szCs w:val="21"/>
                <w:lang w:val="en-US" w:eastAsia="zh-CN" w:bidi="ar-SA"/>
              </w:rPr>
              <w:t>耿云参加</w:t>
            </w:r>
          </w:p>
        </w:tc>
        <w:tc>
          <w:tcPr>
            <w:tcW w:w="2291" w:type="dxa"/>
            <w:vAlign w:val="center"/>
          </w:tcPr>
          <w:p>
            <w:pPr>
              <w:tabs>
                <w:tab w:val="left" w:pos="2127"/>
              </w:tabs>
              <w:jc w:val="center"/>
              <w:rPr>
                <w:rFonts w:hint="eastAsia" w:cstheme="minorBidi"/>
                <w:kern w:val="2"/>
                <w:sz w:val="21"/>
                <w:szCs w:val="21"/>
                <w:lang w:val="en-US" w:eastAsia="zh-CN" w:bidi="ar-SA"/>
              </w:rPr>
            </w:pPr>
            <w:r>
              <w:rPr>
                <w:rFonts w:hint="eastAsia" w:cstheme="minorBidi"/>
                <w:kern w:val="2"/>
                <w:sz w:val="21"/>
                <w:szCs w:val="21"/>
                <w:lang w:val="en-US" w:eastAsia="zh-CN" w:bidi="ar-SA"/>
              </w:rPr>
              <w:t>区级</w:t>
            </w:r>
          </w:p>
        </w:tc>
        <w:tc>
          <w:tcPr>
            <w:tcW w:w="1499" w:type="dxa"/>
            <w:vAlign w:val="center"/>
          </w:tcPr>
          <w:p>
            <w:pPr>
              <w:tabs>
                <w:tab w:val="left" w:pos="2127"/>
              </w:tabs>
              <w:jc w:val="center"/>
              <w:rPr>
                <w:rFonts w:hint="eastAsia" w:cstheme="minorBidi"/>
                <w:kern w:val="2"/>
                <w:sz w:val="21"/>
                <w:szCs w:val="21"/>
                <w:lang w:val="en-US" w:eastAsia="zh-CN" w:bidi="ar-SA"/>
              </w:rPr>
            </w:pPr>
            <w:r>
              <w:rPr>
                <w:rFonts w:hint="eastAsia" w:cstheme="minorBidi"/>
                <w:kern w:val="2"/>
                <w:sz w:val="21"/>
                <w:szCs w:val="21"/>
                <w:lang w:val="en-US" w:eastAsia="zh-CN" w:bidi="ar-SA"/>
              </w:rPr>
              <w:t>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2" w:type="dxa"/>
            <w:vAlign w:val="center"/>
          </w:tcPr>
          <w:p>
            <w:pPr>
              <w:tabs>
                <w:tab w:val="left" w:pos="2127"/>
              </w:tabs>
              <w:jc w:val="left"/>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《小学数学知识整理与复习结构性教学研究》</w:t>
            </w:r>
          </w:p>
        </w:tc>
        <w:tc>
          <w:tcPr>
            <w:tcW w:w="1379" w:type="dxa"/>
            <w:vAlign w:val="center"/>
          </w:tcPr>
          <w:p>
            <w:pPr>
              <w:tabs>
                <w:tab w:val="left" w:pos="2127"/>
              </w:tabs>
              <w:jc w:val="center"/>
              <w:rPr>
                <w:rFonts w:hint="default" w:cstheme="minorBidi"/>
                <w:kern w:val="2"/>
                <w:sz w:val="21"/>
                <w:szCs w:val="21"/>
                <w:lang w:val="en-US" w:eastAsia="zh-CN" w:bidi="ar-SA"/>
              </w:rPr>
            </w:pPr>
            <w:r>
              <w:rPr>
                <w:rFonts w:hint="eastAsia" w:cstheme="minorBidi"/>
                <w:kern w:val="2"/>
                <w:sz w:val="21"/>
                <w:szCs w:val="21"/>
                <w:lang w:val="en-US" w:eastAsia="zh-CN" w:bidi="ar-SA"/>
              </w:rPr>
              <w:t>朱玥参加</w:t>
            </w:r>
          </w:p>
        </w:tc>
        <w:tc>
          <w:tcPr>
            <w:tcW w:w="2291" w:type="dxa"/>
            <w:vAlign w:val="center"/>
          </w:tcPr>
          <w:p>
            <w:pPr>
              <w:tabs>
                <w:tab w:val="left" w:pos="2127"/>
              </w:tabs>
              <w:jc w:val="center"/>
              <w:rPr>
                <w:rFonts w:hint="eastAsia" w:cstheme="minorBidi"/>
                <w:kern w:val="2"/>
                <w:sz w:val="21"/>
                <w:szCs w:val="21"/>
                <w:lang w:val="en-US" w:eastAsia="zh-CN" w:bidi="ar-SA"/>
              </w:rPr>
            </w:pPr>
            <w:r>
              <w:rPr>
                <w:rFonts w:hint="eastAsia" w:cstheme="minorBidi"/>
                <w:kern w:val="2"/>
                <w:sz w:val="21"/>
                <w:szCs w:val="21"/>
                <w:lang w:val="en-US" w:eastAsia="zh-CN" w:bidi="ar-SA"/>
              </w:rPr>
              <w:t>区级</w:t>
            </w:r>
          </w:p>
        </w:tc>
        <w:tc>
          <w:tcPr>
            <w:tcW w:w="1499" w:type="dxa"/>
            <w:vAlign w:val="center"/>
          </w:tcPr>
          <w:p>
            <w:pPr>
              <w:tabs>
                <w:tab w:val="left" w:pos="2127"/>
              </w:tabs>
              <w:jc w:val="center"/>
              <w:rPr>
                <w:rFonts w:hint="eastAsia" w:cstheme="minorBidi"/>
                <w:kern w:val="2"/>
                <w:sz w:val="21"/>
                <w:szCs w:val="21"/>
                <w:lang w:val="en-US" w:eastAsia="zh-CN" w:bidi="ar-SA"/>
              </w:rPr>
            </w:pPr>
            <w:r>
              <w:rPr>
                <w:rFonts w:hint="eastAsia" w:cstheme="minorBidi"/>
                <w:kern w:val="2"/>
                <w:sz w:val="21"/>
                <w:szCs w:val="21"/>
                <w:lang w:val="en-US" w:eastAsia="zh-CN" w:bidi="ar-SA"/>
              </w:rPr>
              <w:t>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2" w:type="dxa"/>
            <w:vAlign w:val="center"/>
          </w:tcPr>
          <w:p>
            <w:pPr>
              <w:tabs>
                <w:tab w:val="left" w:pos="2127"/>
              </w:tabs>
              <w:jc w:val="left"/>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《小学数学教师板书设计能力提升的策略与研究》</w:t>
            </w:r>
          </w:p>
        </w:tc>
        <w:tc>
          <w:tcPr>
            <w:tcW w:w="1379" w:type="dxa"/>
            <w:vAlign w:val="center"/>
          </w:tcPr>
          <w:p>
            <w:pPr>
              <w:tabs>
                <w:tab w:val="left" w:pos="2127"/>
              </w:tabs>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何玲洁主持</w:t>
            </w:r>
          </w:p>
        </w:tc>
        <w:tc>
          <w:tcPr>
            <w:tcW w:w="2291" w:type="dxa"/>
            <w:vAlign w:val="center"/>
          </w:tcPr>
          <w:p>
            <w:pPr>
              <w:tabs>
                <w:tab w:val="left" w:pos="2127"/>
              </w:tabs>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校级</w:t>
            </w:r>
          </w:p>
        </w:tc>
        <w:tc>
          <w:tcPr>
            <w:tcW w:w="1499" w:type="dxa"/>
            <w:vAlign w:val="center"/>
          </w:tcPr>
          <w:p>
            <w:pPr>
              <w:tabs>
                <w:tab w:val="left" w:pos="2127"/>
              </w:tabs>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结题</w:t>
            </w:r>
          </w:p>
        </w:tc>
      </w:tr>
    </w:tbl>
    <w:p>
      <w:pPr>
        <w:numPr>
          <w:ilvl w:val="0"/>
          <w:numId w:val="1"/>
        </w:numPr>
        <w:tabs>
          <w:tab w:val="left" w:pos="2127"/>
        </w:tabs>
        <w:rPr>
          <w:rFonts w:hint="eastAsia"/>
          <w:sz w:val="24"/>
          <w:szCs w:val="28"/>
          <w:lang w:val="en-US" w:eastAsia="zh-CN"/>
        </w:rPr>
      </w:pPr>
      <w:r>
        <w:rPr>
          <w:rFonts w:hint="eastAsia"/>
          <w:sz w:val="24"/>
          <w:szCs w:val="28"/>
          <w:lang w:val="en-US" w:eastAsia="zh-CN"/>
        </w:rPr>
        <w:t>数学组团队建设</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2456"/>
        <w:gridCol w:w="1870"/>
        <w:gridCol w:w="2150"/>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restart"/>
            <w:vAlign w:val="center"/>
          </w:tcPr>
          <w:p>
            <w:pPr>
              <w:snapToGrid w:val="0"/>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团队名称</w:t>
            </w:r>
          </w:p>
        </w:tc>
        <w:tc>
          <w:tcPr>
            <w:tcW w:w="2456" w:type="dxa"/>
            <w:vMerge w:val="restart"/>
            <w:vAlign w:val="center"/>
          </w:tcPr>
          <w:p>
            <w:pPr>
              <w:snapToGrid w:val="0"/>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成员标准</w:t>
            </w:r>
          </w:p>
        </w:tc>
        <w:tc>
          <w:tcPr>
            <w:tcW w:w="5041" w:type="dxa"/>
            <w:gridSpan w:val="3"/>
            <w:vAlign w:val="center"/>
          </w:tcPr>
          <w:p>
            <w:pPr>
              <w:snapToGrid w:val="0"/>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napToGrid w:val="0"/>
              <w:spacing w:line="360" w:lineRule="exact"/>
              <w:jc w:val="center"/>
              <w:rPr>
                <w:rFonts w:ascii="宋体" w:hAnsi="宋体" w:eastAsia="宋体" w:cs="Times New Roman"/>
                <w:b/>
                <w:bCs/>
                <w:sz w:val="22"/>
                <w:szCs w:val="22"/>
              </w:rPr>
            </w:pPr>
          </w:p>
        </w:tc>
        <w:tc>
          <w:tcPr>
            <w:tcW w:w="2456" w:type="dxa"/>
            <w:vMerge w:val="continue"/>
            <w:vAlign w:val="center"/>
          </w:tcPr>
          <w:p>
            <w:pPr>
              <w:snapToGrid w:val="0"/>
              <w:spacing w:line="360" w:lineRule="exact"/>
              <w:jc w:val="center"/>
              <w:rPr>
                <w:rFonts w:ascii="宋体" w:hAnsi="宋体" w:eastAsia="宋体" w:cs="Times New Roman"/>
                <w:b/>
                <w:bCs/>
                <w:sz w:val="22"/>
                <w:szCs w:val="22"/>
              </w:rPr>
            </w:pPr>
          </w:p>
        </w:tc>
        <w:tc>
          <w:tcPr>
            <w:tcW w:w="1870" w:type="dxa"/>
            <w:vAlign w:val="center"/>
          </w:tcPr>
          <w:p>
            <w:pPr>
              <w:snapToGrid w:val="0"/>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课堂教学</w:t>
            </w:r>
          </w:p>
        </w:tc>
        <w:tc>
          <w:tcPr>
            <w:tcW w:w="2150" w:type="dxa"/>
            <w:vAlign w:val="center"/>
          </w:tcPr>
          <w:p>
            <w:pPr>
              <w:snapToGrid w:val="0"/>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科研工作</w:t>
            </w:r>
          </w:p>
        </w:tc>
        <w:tc>
          <w:tcPr>
            <w:tcW w:w="1021" w:type="dxa"/>
            <w:vAlign w:val="center"/>
          </w:tcPr>
          <w:p>
            <w:pPr>
              <w:snapToGrid w:val="0"/>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弘雅</w:t>
            </w:r>
          </w:p>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学术</w:t>
            </w:r>
          </w:p>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委员会</w:t>
            </w:r>
          </w:p>
        </w:tc>
        <w:tc>
          <w:tcPr>
            <w:tcW w:w="2456" w:type="dxa"/>
          </w:tcPr>
          <w:p>
            <w:pPr>
              <w:numPr>
                <w:ilvl w:val="0"/>
                <w:numId w:val="0"/>
              </w:numPr>
              <w:tabs>
                <w:tab w:val="left" w:pos="2127"/>
              </w:tabs>
              <w:spacing w:line="360" w:lineRule="auto"/>
              <w:jc w:val="both"/>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荆亚琴、蔡芬、杨伟、杨建芬、许秋明、耿云、</w:t>
            </w:r>
          </w:p>
          <w:p>
            <w:pPr>
              <w:numPr>
                <w:ilvl w:val="0"/>
                <w:numId w:val="0"/>
              </w:numPr>
              <w:tabs>
                <w:tab w:val="left" w:pos="2127"/>
              </w:tabs>
              <w:spacing w:line="360" w:lineRule="auto"/>
              <w:jc w:val="left"/>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FF0000"/>
                <w:kern w:val="2"/>
                <w:sz w:val="20"/>
                <w:szCs w:val="21"/>
                <w:vertAlign w:val="baseline"/>
                <w:lang w:val="en-US" w:eastAsia="zh-CN" w:bidi="ar-SA"/>
              </w:rPr>
              <w:t>副高级职称或市级骨干教师或某领域有成就教师</w:t>
            </w:r>
          </w:p>
        </w:tc>
        <w:tc>
          <w:tcPr>
            <w:tcW w:w="1870"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每学期指导青年教师进行课堂教学研讨课一节以上</w:t>
            </w:r>
          </w:p>
        </w:tc>
        <w:tc>
          <w:tcPr>
            <w:tcW w:w="2150"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校级及以上名师工作室领衔人或成为市区级课题、项目领衔人、核心组成员</w:t>
            </w:r>
          </w:p>
        </w:tc>
        <w:tc>
          <w:tcPr>
            <w:tcW w:w="1021"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有相关讲座或论文发表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弘雅</w:t>
            </w:r>
          </w:p>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骨干团</w:t>
            </w:r>
          </w:p>
        </w:tc>
        <w:tc>
          <w:tcPr>
            <w:tcW w:w="2456" w:type="dxa"/>
          </w:tcPr>
          <w:p>
            <w:pPr>
              <w:numPr>
                <w:ilvl w:val="0"/>
                <w:numId w:val="0"/>
              </w:numPr>
              <w:tabs>
                <w:tab w:val="left" w:pos="2127"/>
              </w:tabs>
              <w:spacing w:line="360" w:lineRule="auto"/>
              <w:jc w:val="both"/>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徐艳丽、顾鹏飞、林浩、何玲洁、朱玥、章叶、叶朝阳、姜丽娟</w:t>
            </w:r>
          </w:p>
          <w:p>
            <w:pPr>
              <w:numPr>
                <w:ilvl w:val="0"/>
                <w:numId w:val="0"/>
              </w:numPr>
              <w:tabs>
                <w:tab w:val="left" w:pos="2127"/>
              </w:tabs>
              <w:spacing w:line="360" w:lineRule="auto"/>
              <w:jc w:val="both"/>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FF0000"/>
                <w:kern w:val="2"/>
                <w:sz w:val="20"/>
                <w:szCs w:val="21"/>
                <w:vertAlign w:val="baseline"/>
                <w:lang w:val="en-US" w:eastAsia="zh-CN" w:bidi="ar-SA"/>
              </w:rPr>
              <w:t>已有五级梯队称号或相关称号教师</w:t>
            </w:r>
          </w:p>
        </w:tc>
        <w:tc>
          <w:tcPr>
            <w:tcW w:w="1870"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每年进行校级及以上公开研讨课一节以上</w:t>
            </w:r>
          </w:p>
        </w:tc>
        <w:tc>
          <w:tcPr>
            <w:tcW w:w="2150"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各级工作室、课题组、项目组核心成员</w:t>
            </w:r>
          </w:p>
        </w:tc>
        <w:tc>
          <w:tcPr>
            <w:tcW w:w="1021" w:type="dxa"/>
            <w:vMerge w:val="restart"/>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每学期至少发表一篇论文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弘雅</w:t>
            </w:r>
          </w:p>
          <w:p>
            <w:pPr>
              <w:snapToGrid w:val="0"/>
              <w:spacing w:line="360" w:lineRule="exact"/>
              <w:jc w:val="left"/>
              <w:rPr>
                <w:rFonts w:ascii="宋体" w:hAnsi="宋体" w:eastAsia="宋体" w:cs="Times New Roman"/>
                <w:b/>
                <w:bCs/>
                <w:sz w:val="22"/>
                <w:szCs w:val="22"/>
              </w:rPr>
            </w:pPr>
            <w:r>
              <w:rPr>
                <w:rFonts w:hint="eastAsia" w:ascii="宋体" w:hAnsi="宋体" w:eastAsia="宋体" w:cs="Times New Roman"/>
                <w:b/>
                <w:bCs/>
                <w:sz w:val="22"/>
                <w:szCs w:val="22"/>
              </w:rPr>
              <w:t>青年团</w:t>
            </w:r>
          </w:p>
        </w:tc>
        <w:tc>
          <w:tcPr>
            <w:tcW w:w="2456" w:type="dxa"/>
          </w:tcPr>
          <w:p>
            <w:pPr>
              <w:numPr>
                <w:ilvl w:val="0"/>
                <w:numId w:val="0"/>
              </w:numPr>
              <w:tabs>
                <w:tab w:val="left" w:pos="2127"/>
              </w:tabs>
              <w:spacing w:line="360" w:lineRule="auto"/>
              <w:jc w:val="both"/>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奚丹芸、顾昕、费玥、唐宇、季琳、左燕磊、钱成、蒋宁、朱莹、孙昊、孙豪、周丹、</w:t>
            </w:r>
          </w:p>
          <w:p>
            <w:pPr>
              <w:numPr>
                <w:ilvl w:val="0"/>
                <w:numId w:val="0"/>
              </w:numPr>
              <w:tabs>
                <w:tab w:val="left" w:pos="2127"/>
              </w:tabs>
              <w:spacing w:line="360" w:lineRule="auto"/>
              <w:jc w:val="both"/>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FF0000"/>
                <w:kern w:val="2"/>
                <w:sz w:val="20"/>
                <w:szCs w:val="21"/>
                <w:vertAlign w:val="baseline"/>
                <w:lang w:val="en-US" w:eastAsia="zh-CN" w:bidi="ar-SA"/>
              </w:rPr>
              <w:t>尚未取得各级称号的青年教师</w:t>
            </w:r>
          </w:p>
        </w:tc>
        <w:tc>
          <w:tcPr>
            <w:tcW w:w="1870"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每学期进行教研组研讨课一节以上</w:t>
            </w:r>
          </w:p>
        </w:tc>
        <w:tc>
          <w:tcPr>
            <w:tcW w:w="2150" w:type="dxa"/>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各级工作室、课题组、项目组核心成员</w:t>
            </w:r>
          </w:p>
        </w:tc>
        <w:tc>
          <w:tcPr>
            <w:tcW w:w="1021" w:type="dxa"/>
            <w:vMerge w:val="continue"/>
          </w:tcPr>
          <w:p>
            <w:pPr>
              <w:snapToGrid w:val="0"/>
              <w:spacing w:line="360" w:lineRule="exact"/>
              <w:jc w:val="left"/>
              <w:rPr>
                <w:rFonts w:ascii="宋体" w:hAnsi="宋体" w:eastAsia="宋体" w:cs="Times New Roman"/>
                <w:b/>
                <w:bCs/>
                <w:sz w:val="24"/>
                <w:szCs w:val="24"/>
              </w:rPr>
            </w:pPr>
          </w:p>
        </w:tc>
      </w:tr>
    </w:tbl>
    <w:p>
      <w:pPr>
        <w:numPr>
          <w:ilvl w:val="0"/>
          <w:numId w:val="0"/>
        </w:numPr>
        <w:tabs>
          <w:tab w:val="left" w:pos="2127"/>
        </w:tabs>
        <w:rPr>
          <w:rFonts w:hint="eastAsia"/>
          <w:sz w:val="24"/>
          <w:szCs w:val="28"/>
          <w:lang w:val="en-US" w:eastAsia="zh-CN"/>
        </w:rPr>
      </w:pPr>
      <w:r>
        <w:rPr>
          <w:rFonts w:hint="eastAsia"/>
          <w:sz w:val="24"/>
          <w:szCs w:val="28"/>
          <w:lang w:val="en-US" w:eastAsia="zh-CN"/>
        </w:rPr>
        <w:t>6.数学组梯队规划</w:t>
      </w:r>
    </w:p>
    <w:p>
      <w:pPr>
        <w:numPr>
          <w:ilvl w:val="0"/>
          <w:numId w:val="0"/>
        </w:numPr>
        <w:tabs>
          <w:tab w:val="left" w:pos="2127"/>
        </w:tabs>
        <w:spacing w:line="360" w:lineRule="auto"/>
        <w:ind w:left="420" w:leftChars="0" w:firstLine="210" w:firstLineChars="100"/>
        <w:rPr>
          <w:rFonts w:hint="default" w:cstheme="minorBidi"/>
          <w:b/>
          <w:bCs/>
          <w:color w:val="000000" w:themeColor="text1"/>
          <w:kern w:val="2"/>
          <w:sz w:val="21"/>
          <w:szCs w:val="22"/>
          <w:lang w:val="en-US" w:eastAsia="zh-CN" w:bidi="ar-SA"/>
          <w14:textFill>
            <w14:solidFill>
              <w14:schemeClr w14:val="tx1"/>
            </w14:solidFill>
          </w14:textFill>
        </w:rPr>
      </w:pPr>
      <w:r>
        <w:rPr>
          <w:rFonts w:hint="eastAsia" w:cstheme="minorBidi"/>
          <w:b/>
          <w:bCs/>
          <w:color w:val="000000" w:themeColor="text1"/>
          <w:kern w:val="2"/>
          <w:sz w:val="21"/>
          <w:szCs w:val="22"/>
          <w:lang w:val="en-US" w:eastAsia="zh-CN" w:bidi="ar-SA"/>
          <w14:textFill>
            <w14:solidFill>
              <w14:schemeClr w14:val="tx1"/>
            </w14:solidFill>
          </w14:textFill>
        </w:rPr>
        <w:t>三年梯队规划：</w:t>
      </w:r>
    </w:p>
    <w:tbl>
      <w:tblPr>
        <w:tblStyle w:val="8"/>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40"/>
        <w:gridCol w:w="1220"/>
        <w:gridCol w:w="1250"/>
        <w:gridCol w:w="1230"/>
        <w:gridCol w:w="1210"/>
        <w:gridCol w:w="128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p>
        </w:tc>
        <w:tc>
          <w:tcPr>
            <w:tcW w:w="2460" w:type="dxa"/>
            <w:gridSpan w:val="2"/>
          </w:tcPr>
          <w:p>
            <w:pPr>
              <w:numPr>
                <w:ilvl w:val="0"/>
                <w:numId w:val="0"/>
              </w:numPr>
              <w:tabs>
                <w:tab w:val="left" w:pos="2127"/>
              </w:tabs>
              <w:spacing w:line="360" w:lineRule="auto"/>
              <w:jc w:val="center"/>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何玲洁</w:t>
            </w:r>
          </w:p>
        </w:tc>
        <w:tc>
          <w:tcPr>
            <w:tcW w:w="2480" w:type="dxa"/>
            <w:gridSpan w:val="2"/>
          </w:tcPr>
          <w:p>
            <w:pPr>
              <w:numPr>
                <w:ilvl w:val="0"/>
                <w:numId w:val="0"/>
              </w:numPr>
              <w:tabs>
                <w:tab w:val="left" w:pos="2127"/>
              </w:tabs>
              <w:spacing w:line="360" w:lineRule="auto"/>
              <w:jc w:val="center"/>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朱玥</w:t>
            </w:r>
          </w:p>
        </w:tc>
        <w:tc>
          <w:tcPr>
            <w:tcW w:w="2490" w:type="dxa"/>
            <w:gridSpan w:val="2"/>
          </w:tcPr>
          <w:p>
            <w:pPr>
              <w:numPr>
                <w:ilvl w:val="0"/>
                <w:numId w:val="0"/>
              </w:numPr>
              <w:tabs>
                <w:tab w:val="left" w:pos="2127"/>
              </w:tabs>
              <w:spacing w:line="360" w:lineRule="auto"/>
              <w:jc w:val="center"/>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章叶</w:t>
            </w:r>
          </w:p>
        </w:tc>
        <w:tc>
          <w:tcPr>
            <w:tcW w:w="1250" w:type="dxa"/>
          </w:tcPr>
          <w:p>
            <w:pPr>
              <w:numPr>
                <w:ilvl w:val="0"/>
                <w:numId w:val="0"/>
              </w:numPr>
              <w:tabs>
                <w:tab w:val="left" w:pos="2127"/>
              </w:tabs>
              <w:spacing w:line="360" w:lineRule="auto"/>
              <w:jc w:val="both"/>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林浩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时间节点</w:t>
            </w:r>
          </w:p>
        </w:tc>
        <w:tc>
          <w:tcPr>
            <w:tcW w:w="1240" w:type="dxa"/>
            <w:shd w:val="clear" w:color="auto" w:fill="C5E0B3" w:themeFill="accent6" w:themeFillTint="66"/>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第二年</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2022-2023</w:t>
            </w:r>
          </w:p>
        </w:tc>
        <w:tc>
          <w:tcPr>
            <w:tcW w:w="122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第三年</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2023-2024</w:t>
            </w:r>
          </w:p>
        </w:tc>
        <w:tc>
          <w:tcPr>
            <w:tcW w:w="1250" w:type="dxa"/>
            <w:shd w:val="clear" w:color="auto" w:fill="C5E0B3" w:themeFill="accent6" w:themeFillTint="66"/>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第二年</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2022-2023</w:t>
            </w:r>
          </w:p>
        </w:tc>
        <w:tc>
          <w:tcPr>
            <w:tcW w:w="123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第三年</w:t>
            </w:r>
          </w:p>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2023-2024</w:t>
            </w:r>
          </w:p>
        </w:tc>
        <w:tc>
          <w:tcPr>
            <w:tcW w:w="1210" w:type="dxa"/>
            <w:shd w:val="clear" w:color="auto" w:fill="C5E0B3" w:themeFill="accent6" w:themeFillTint="66"/>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第二年</w:t>
            </w:r>
          </w:p>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2022-2023</w:t>
            </w:r>
          </w:p>
        </w:tc>
        <w:tc>
          <w:tcPr>
            <w:tcW w:w="128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第三年</w:t>
            </w:r>
          </w:p>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2023-2024</w:t>
            </w:r>
          </w:p>
        </w:tc>
        <w:tc>
          <w:tcPr>
            <w:tcW w:w="125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第三年</w:t>
            </w:r>
          </w:p>
          <w:p>
            <w:pPr>
              <w:numPr>
                <w:ilvl w:val="0"/>
                <w:numId w:val="0"/>
              </w:numPr>
              <w:tabs>
                <w:tab w:val="left" w:pos="2127"/>
              </w:tabs>
              <w:spacing w:line="360" w:lineRule="auto"/>
              <w:ind w:left="0" w:leftChars="0" w:firstLine="0" w:firstLineChars="0"/>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numPr>
                <w:ilvl w:val="0"/>
                <w:numId w:val="0"/>
              </w:numPr>
              <w:tabs>
                <w:tab w:val="left" w:pos="2127"/>
              </w:tabs>
              <w:spacing w:line="360" w:lineRule="auto"/>
              <w:jc w:val="center"/>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梯队目标</w:t>
            </w:r>
          </w:p>
        </w:tc>
        <w:tc>
          <w:tcPr>
            <w:tcW w:w="1240" w:type="dxa"/>
            <w:shd w:val="clear" w:color="auto" w:fill="C5E0B3" w:themeFill="accent6" w:themeFillTint="66"/>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区骨干</w:t>
            </w:r>
          </w:p>
        </w:tc>
        <w:tc>
          <w:tcPr>
            <w:tcW w:w="1220" w:type="dxa"/>
            <w:shd w:val="clear" w:color="auto" w:fill="BDD6EE" w:themeFill="accent5" w:themeFillTint="66"/>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市、区能手</w:t>
            </w:r>
          </w:p>
        </w:tc>
        <w:tc>
          <w:tcPr>
            <w:tcW w:w="1250" w:type="dxa"/>
            <w:shd w:val="clear" w:color="auto" w:fill="C5E0B3" w:themeFill="accent6" w:themeFillTint="66"/>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区骨干</w:t>
            </w:r>
          </w:p>
        </w:tc>
        <w:tc>
          <w:tcPr>
            <w:tcW w:w="1230" w:type="dxa"/>
            <w:shd w:val="clear" w:color="auto" w:fill="BDD6EE" w:themeFill="accent5" w:themeFillTint="66"/>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市、区能手</w:t>
            </w:r>
          </w:p>
        </w:tc>
        <w:tc>
          <w:tcPr>
            <w:tcW w:w="1210" w:type="dxa"/>
            <w:shd w:val="clear" w:color="auto" w:fill="C5E0B3" w:themeFill="accent6" w:themeFillTint="66"/>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区骨干</w:t>
            </w:r>
          </w:p>
        </w:tc>
        <w:tc>
          <w:tcPr>
            <w:tcW w:w="1280" w:type="dxa"/>
            <w:shd w:val="clear" w:color="auto" w:fill="BDD6EE" w:themeFill="accent5" w:themeFillTint="66"/>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市、区能手</w:t>
            </w:r>
          </w:p>
        </w:tc>
        <w:tc>
          <w:tcPr>
            <w:tcW w:w="1250" w:type="dxa"/>
            <w:shd w:val="clear" w:color="auto" w:fill="BDD6EE" w:themeFill="accent5" w:themeFillTint="66"/>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numPr>
                <w:ilvl w:val="0"/>
                <w:numId w:val="0"/>
              </w:numPr>
              <w:tabs>
                <w:tab w:val="left" w:pos="2127"/>
              </w:tabs>
              <w:spacing w:line="360" w:lineRule="auto"/>
              <w:jc w:val="center"/>
              <w:rPr>
                <w:rFonts w:hint="eastAsia"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已达</w:t>
            </w:r>
          </w:p>
          <w:p>
            <w:pPr>
              <w:numPr>
                <w:ilvl w:val="0"/>
                <w:numId w:val="0"/>
              </w:numPr>
              <w:tabs>
                <w:tab w:val="left" w:pos="2127"/>
              </w:tabs>
              <w:spacing w:line="360" w:lineRule="auto"/>
              <w:jc w:val="center"/>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标 项目</w:t>
            </w:r>
          </w:p>
        </w:tc>
        <w:tc>
          <w:tcPr>
            <w:tcW w:w="1240" w:type="dxa"/>
            <w:shd w:val="clear" w:color="auto" w:fill="C5E0B3" w:themeFill="accent6"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区评优课、</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区课、课题、论文</w:t>
            </w:r>
          </w:p>
        </w:tc>
        <w:tc>
          <w:tcPr>
            <w:tcW w:w="122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区评优课、</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区课、课题、论文</w:t>
            </w:r>
          </w:p>
        </w:tc>
        <w:tc>
          <w:tcPr>
            <w:tcW w:w="1250" w:type="dxa"/>
            <w:shd w:val="clear" w:color="auto" w:fill="C5E0B3" w:themeFill="accent6"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区基本功、</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区课、课题、论文</w:t>
            </w:r>
          </w:p>
        </w:tc>
        <w:tc>
          <w:tcPr>
            <w:tcW w:w="123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区基本功、</w:t>
            </w:r>
          </w:p>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区课、课题、论文</w:t>
            </w:r>
          </w:p>
        </w:tc>
        <w:tc>
          <w:tcPr>
            <w:tcW w:w="1210" w:type="dxa"/>
            <w:shd w:val="clear" w:color="auto" w:fill="C5E0B3" w:themeFill="accent6"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区评优课、</w:t>
            </w:r>
          </w:p>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区课、论文</w:t>
            </w:r>
          </w:p>
        </w:tc>
        <w:tc>
          <w:tcPr>
            <w:tcW w:w="128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区评优课、</w:t>
            </w:r>
          </w:p>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区课、论文</w:t>
            </w:r>
          </w:p>
        </w:tc>
        <w:tc>
          <w:tcPr>
            <w:tcW w:w="1250" w:type="dxa"/>
            <w:shd w:val="clear" w:color="auto" w:fill="BDD6EE" w:themeFill="accent5" w:themeFillTint="66"/>
            <w:vAlign w:val="center"/>
          </w:tcPr>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区评优课、</w:t>
            </w:r>
          </w:p>
          <w:p>
            <w:pPr>
              <w:numPr>
                <w:ilvl w:val="0"/>
                <w:numId w:val="0"/>
              </w:numPr>
              <w:tabs>
                <w:tab w:val="left" w:pos="2127"/>
              </w:tabs>
              <w:spacing w:line="360" w:lineRule="auto"/>
              <w:jc w:val="center"/>
              <w:rPr>
                <w:rFonts w:hint="eastAsia"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基本功、</w:t>
            </w:r>
          </w:p>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numPr>
                <w:ilvl w:val="0"/>
                <w:numId w:val="0"/>
              </w:numPr>
              <w:tabs>
                <w:tab w:val="left" w:pos="2127"/>
              </w:tabs>
              <w:spacing w:line="360" w:lineRule="auto"/>
              <w:jc w:val="center"/>
              <w:rPr>
                <w:rFonts w:hint="default" w:cstheme="minorBidi"/>
                <w:b/>
                <w:bCs/>
                <w:color w:val="000000" w:themeColor="text1"/>
                <w:kern w:val="2"/>
                <w:sz w:val="21"/>
                <w:szCs w:val="22"/>
                <w:vertAlign w:val="baseline"/>
                <w:lang w:val="en-US" w:eastAsia="zh-CN" w:bidi="ar-SA"/>
                <w14:textFill>
                  <w14:solidFill>
                    <w14:schemeClr w14:val="tx1"/>
                  </w14:solidFill>
                </w14:textFill>
              </w:rPr>
            </w:pPr>
            <w:r>
              <w:rPr>
                <w:rFonts w:hint="eastAsia" w:cstheme="minorBidi"/>
                <w:b/>
                <w:bCs/>
                <w:color w:val="000000" w:themeColor="text1"/>
                <w:kern w:val="2"/>
                <w:sz w:val="21"/>
                <w:szCs w:val="22"/>
                <w:vertAlign w:val="baseline"/>
                <w:lang w:val="en-US" w:eastAsia="zh-CN" w:bidi="ar-SA"/>
                <w14:textFill>
                  <w14:solidFill>
                    <w14:schemeClr w14:val="tx1"/>
                  </w14:solidFill>
                </w14:textFill>
              </w:rPr>
              <w:t>需准备节目</w:t>
            </w:r>
          </w:p>
        </w:tc>
        <w:tc>
          <w:tcPr>
            <w:tcW w:w="1240" w:type="dxa"/>
            <w:shd w:val="clear" w:color="auto" w:fill="FEF2CC" w:themeFill="accent4" w:themeFillTint="32"/>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班主任</w:t>
            </w:r>
          </w:p>
        </w:tc>
        <w:tc>
          <w:tcPr>
            <w:tcW w:w="1220" w:type="dxa"/>
            <w:shd w:val="clear" w:color="auto" w:fill="FEF2CC" w:themeFill="accent4" w:themeFillTint="32"/>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班主任</w:t>
            </w:r>
          </w:p>
        </w:tc>
        <w:tc>
          <w:tcPr>
            <w:tcW w:w="1250" w:type="dxa"/>
            <w:shd w:val="clear" w:color="auto" w:fill="FEF2CC" w:themeFill="accent4" w:themeFillTint="32"/>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评优课</w:t>
            </w:r>
          </w:p>
        </w:tc>
        <w:tc>
          <w:tcPr>
            <w:tcW w:w="1230" w:type="dxa"/>
            <w:shd w:val="clear" w:color="auto" w:fill="FEF2CC" w:themeFill="accent4" w:themeFillTint="32"/>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评优课</w:t>
            </w:r>
          </w:p>
        </w:tc>
        <w:tc>
          <w:tcPr>
            <w:tcW w:w="1210" w:type="dxa"/>
            <w:shd w:val="clear" w:color="auto" w:fill="FEF2CC" w:themeFill="accent4" w:themeFillTint="32"/>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课题</w:t>
            </w:r>
          </w:p>
        </w:tc>
        <w:tc>
          <w:tcPr>
            <w:tcW w:w="1280" w:type="dxa"/>
            <w:shd w:val="clear" w:color="auto" w:fill="FEF2CC" w:themeFill="accent4" w:themeFillTint="32"/>
            <w:vAlign w:val="center"/>
          </w:tcPr>
          <w:p>
            <w:pPr>
              <w:numPr>
                <w:ilvl w:val="0"/>
                <w:numId w:val="0"/>
              </w:numPr>
              <w:tabs>
                <w:tab w:val="left" w:pos="2127"/>
              </w:tabs>
              <w:spacing w:line="360" w:lineRule="auto"/>
              <w:ind w:left="0" w:leftChars="0" w:firstLine="0" w:firstLineChars="0"/>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课题</w:t>
            </w:r>
          </w:p>
        </w:tc>
        <w:tc>
          <w:tcPr>
            <w:tcW w:w="1250" w:type="dxa"/>
            <w:shd w:val="clear" w:color="auto" w:fill="FEF2CC" w:themeFill="accent4" w:themeFillTint="32"/>
            <w:vAlign w:val="center"/>
          </w:tcPr>
          <w:p>
            <w:pPr>
              <w:numPr>
                <w:ilvl w:val="0"/>
                <w:numId w:val="0"/>
              </w:numPr>
              <w:tabs>
                <w:tab w:val="left" w:pos="2127"/>
              </w:tabs>
              <w:spacing w:line="360" w:lineRule="auto"/>
              <w:jc w:val="center"/>
              <w:rPr>
                <w:rFonts w:hint="default" w:cstheme="minorBidi"/>
                <w:color w:val="000000" w:themeColor="text1"/>
                <w:kern w:val="2"/>
                <w:sz w:val="21"/>
                <w:szCs w:val="22"/>
                <w:vertAlign w:val="baseline"/>
                <w:lang w:val="en-US" w:eastAsia="zh-CN" w:bidi="ar-SA"/>
                <w14:textFill>
                  <w14:solidFill>
                    <w14:schemeClr w14:val="tx1"/>
                  </w14:solidFill>
                </w14:textFill>
              </w:rPr>
            </w:pPr>
            <w:r>
              <w:rPr>
                <w:rFonts w:hint="eastAsia" w:cstheme="minorBidi"/>
                <w:color w:val="000000" w:themeColor="text1"/>
                <w:kern w:val="2"/>
                <w:sz w:val="21"/>
                <w:szCs w:val="22"/>
                <w:vertAlign w:val="baseline"/>
                <w:lang w:val="en-US" w:eastAsia="zh-CN" w:bidi="ar-SA"/>
                <w14:textFill>
                  <w14:solidFill>
                    <w14:schemeClr w14:val="tx1"/>
                  </w14:solidFill>
                </w14:textFill>
              </w:rPr>
              <w:t>班主任、论文、课题</w:t>
            </w:r>
          </w:p>
        </w:tc>
      </w:tr>
    </w:tbl>
    <w:p>
      <w:pPr>
        <w:numPr>
          <w:numId w:val="0"/>
        </w:numPr>
        <w:tabs>
          <w:tab w:val="left" w:pos="2127"/>
        </w:tabs>
        <w:rPr>
          <w:rFonts w:hint="default"/>
          <w:sz w:val="24"/>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95BB4"/>
    <w:multiLevelType w:val="singleLevel"/>
    <w:tmpl w:val="F6A95BB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C9"/>
    <w:rsid w:val="000036F2"/>
    <w:rsid w:val="0013106B"/>
    <w:rsid w:val="0034107F"/>
    <w:rsid w:val="0043300D"/>
    <w:rsid w:val="005214C9"/>
    <w:rsid w:val="00543948"/>
    <w:rsid w:val="006D21FF"/>
    <w:rsid w:val="007546B9"/>
    <w:rsid w:val="0076610B"/>
    <w:rsid w:val="007B2D03"/>
    <w:rsid w:val="00A81B59"/>
    <w:rsid w:val="00A90B05"/>
    <w:rsid w:val="00B06E36"/>
    <w:rsid w:val="00B86C4F"/>
    <w:rsid w:val="00C767C5"/>
    <w:rsid w:val="00C831D3"/>
    <w:rsid w:val="00CC4A2B"/>
    <w:rsid w:val="00CD3C07"/>
    <w:rsid w:val="00D55E54"/>
    <w:rsid w:val="00D90992"/>
    <w:rsid w:val="00FB2E7C"/>
    <w:rsid w:val="193E29AB"/>
    <w:rsid w:val="1BFF7CF3"/>
    <w:rsid w:val="1C324A78"/>
    <w:rsid w:val="1F4E48C8"/>
    <w:rsid w:val="29AD6985"/>
    <w:rsid w:val="2BAC4BE5"/>
    <w:rsid w:val="302B29DF"/>
    <w:rsid w:val="304614C0"/>
    <w:rsid w:val="409228E8"/>
    <w:rsid w:val="43C7003C"/>
    <w:rsid w:val="44D30641"/>
    <w:rsid w:val="5C916F56"/>
    <w:rsid w:val="61107EEA"/>
    <w:rsid w:val="631178B5"/>
    <w:rsid w:val="76BC6502"/>
    <w:rsid w:val="773C2C0D"/>
    <w:rsid w:val="7E69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2 字符"/>
    <w:basedOn w:val="9"/>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43e97cd-5c20-4baa-8793-e72f678d8890}"/>
        <w:style w:val=""/>
        <w:category>
          <w:name w:val="常规"/>
          <w:gallery w:val="placeholder"/>
        </w:category>
        <w:types>
          <w:type w:val="bbPlcHdr"/>
        </w:types>
        <w:behaviors>
          <w:behavior w:val="content"/>
        </w:behaviors>
        <w:description w:val=""/>
        <w:guid w:val="{d43e97cd-5c20-4baa-8793-e72f678d8890}"/>
      </w:docPartPr>
      <w:docPartBody>
        <w:p>
          <w:pPr>
            <w:pStyle w:val="4"/>
          </w:pPr>
          <w:r>
            <w:rPr>
              <w:rFonts w:asciiTheme="majorHAnsi" w:hAnsiTheme="majorHAnsi" w:eastAsiaTheme="majorEastAsia" w:cstheme="majorBidi"/>
              <w:sz w:val="56"/>
              <w:szCs w:val="80"/>
              <w:lang w:val="zh-CN"/>
            </w:rPr>
            <w:t>[</w:t>
          </w:r>
          <w:r>
            <w:rPr>
              <w:rFonts w:asciiTheme="majorHAnsi" w:hAnsiTheme="majorHAnsi" w:eastAsiaTheme="majorEastAsia" w:cstheme="majorBidi"/>
              <w:sz w:val="40"/>
              <w:szCs w:val="32"/>
              <w:lang w:val="zh-CN"/>
            </w:rPr>
            <w:t>键入</w:t>
          </w:r>
          <w:r>
            <w:rPr>
              <w:rFonts w:hint="eastAsia" w:asciiTheme="majorHAnsi" w:hAnsiTheme="majorHAnsi" w:eastAsiaTheme="majorEastAsia" w:cstheme="majorBidi"/>
              <w:sz w:val="40"/>
              <w:szCs w:val="32"/>
              <w:lang w:val="zh-CN"/>
            </w:rPr>
            <w:t>论文</w:t>
          </w:r>
          <w:r>
            <w:rPr>
              <w:rFonts w:asciiTheme="majorHAnsi" w:hAnsiTheme="majorHAnsi" w:eastAsiaTheme="majorEastAsia" w:cstheme="majorBidi"/>
              <w:sz w:val="40"/>
              <w:szCs w:val="32"/>
              <w:lang w:val="zh-CN"/>
            </w:rPr>
            <w:t>标题</w:t>
          </w:r>
          <w:r>
            <w:rPr>
              <w:rFonts w:asciiTheme="majorHAnsi" w:hAnsiTheme="majorHAnsi" w:eastAsiaTheme="majorEastAsia" w:cstheme="majorBidi"/>
              <w:sz w:val="56"/>
              <w:szCs w:val="80"/>
              <w:lang w:val="zh-CN"/>
            </w:rPr>
            <w:t>]</w:t>
          </w:r>
        </w:p>
      </w:docPartBody>
    </w:docPart>
    <w:docPart>
      <w:docPartPr>
        <w:name w:val="{2108181f-95e8-414f-8a5b-64bb8cbc871e}"/>
        <w:style w:val=""/>
        <w:category>
          <w:name w:val="常规"/>
          <w:gallery w:val="placeholder"/>
        </w:category>
        <w:types>
          <w:type w:val="bbPlcHdr"/>
        </w:types>
        <w:behaviors>
          <w:behavior w:val="content"/>
        </w:behaviors>
        <w:description w:val=""/>
        <w:guid w:val="{2108181f-95e8-414f-8a5b-64bb8cbc871e}"/>
      </w:docPartPr>
      <w:docPartBody>
        <w:p>
          <w:pPr>
            <w:pStyle w:val="4"/>
          </w:pPr>
          <w:r>
            <w:rPr>
              <w:rFonts w:asciiTheme="majorHAnsi" w:hAnsiTheme="majorHAnsi" w:eastAsiaTheme="majorEastAsia" w:cstheme="majorBidi"/>
              <w:sz w:val="56"/>
              <w:szCs w:val="80"/>
              <w:lang w:val="zh-CN"/>
            </w:rPr>
            <w:t>[</w:t>
          </w:r>
          <w:r>
            <w:rPr>
              <w:rFonts w:asciiTheme="majorHAnsi" w:hAnsiTheme="majorHAnsi" w:eastAsiaTheme="majorEastAsia" w:cstheme="majorBidi"/>
              <w:sz w:val="40"/>
              <w:szCs w:val="32"/>
              <w:lang w:val="zh-CN"/>
            </w:rPr>
            <w:t>键入</w:t>
          </w:r>
          <w:r>
            <w:rPr>
              <w:rFonts w:hint="eastAsia" w:asciiTheme="majorHAnsi" w:hAnsiTheme="majorHAnsi" w:eastAsiaTheme="majorEastAsia" w:cstheme="majorBidi"/>
              <w:sz w:val="40"/>
              <w:szCs w:val="32"/>
              <w:lang w:val="zh-CN"/>
            </w:rPr>
            <w:t>论文</w:t>
          </w:r>
          <w:r>
            <w:rPr>
              <w:rFonts w:asciiTheme="majorHAnsi" w:hAnsiTheme="majorHAnsi" w:eastAsiaTheme="majorEastAsia" w:cstheme="majorBidi"/>
              <w:sz w:val="40"/>
              <w:szCs w:val="32"/>
              <w:lang w:val="zh-CN"/>
            </w:rPr>
            <w:t>标题</w:t>
          </w:r>
          <w:r>
            <w:rPr>
              <w:rFonts w:asciiTheme="majorHAnsi" w:hAnsiTheme="majorHAnsi" w:eastAsiaTheme="majorEastAsia" w:cstheme="majorBidi"/>
              <w:sz w:val="56"/>
              <w:szCs w:val="80"/>
              <w:lang w:val="zh-CN"/>
            </w:rPr>
            <w:t>]</w:t>
          </w:r>
        </w:p>
      </w:docPartBody>
    </w:docPart>
    <w:docPart>
      <w:docPartPr>
        <w:name w:val="{39bc96d1-57d1-452a-a349-2c70a0ade437}"/>
        <w:style w:val=""/>
        <w:category>
          <w:name w:val="常规"/>
          <w:gallery w:val="placeholder"/>
        </w:category>
        <w:types>
          <w:type w:val="bbPlcHdr"/>
        </w:types>
        <w:behaviors>
          <w:behavior w:val="content"/>
        </w:behaviors>
        <w:description w:val=""/>
        <w:guid w:val="{39bc96d1-57d1-452a-a349-2c70a0ade437}"/>
      </w:docPartPr>
      <w:docPartBody>
        <w:p>
          <w:pPr>
            <w:pStyle w:val="5"/>
          </w:pPr>
          <w:r>
            <w:rPr>
              <w:rStyle w:val="6"/>
              <w:rFonts w:hint="eastAsia"/>
              <w:sz w:val="44"/>
            </w:rPr>
            <w:t>[</w:t>
          </w:r>
          <w:r>
            <w:rPr>
              <w:rStyle w:val="6"/>
              <w:rFonts w:hint="eastAsia"/>
            </w:rPr>
            <w:t>键入论文标题]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2"/>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
    <w:name w:val="Default Paragraph Font"/>
    <w:semiHidden/>
    <w:unhideWhenUsed/>
    <w:qFormat/>
    <w:uiPriority w:val="1"/>
  </w:style>
  <w:style w:type="paragraph" w:customStyle="1" w:styleId="4">
    <w:name w:val="CEEE6379274B42C5ADB8B215BAD9F65314"/>
    <w:qFormat/>
    <w:uiPriority w:val="0"/>
    <w:rPr>
      <w:rFonts w:asciiTheme="minorHAnsi" w:hAnsiTheme="minorHAnsi" w:eastAsiaTheme="minorEastAsia" w:cstheme="minorBidi"/>
      <w:kern w:val="0"/>
      <w:sz w:val="22"/>
      <w:szCs w:val="22"/>
      <w:lang w:val="en-US" w:eastAsia="zh-CN" w:bidi="ar-SA"/>
    </w:rPr>
  </w:style>
  <w:style w:type="paragraph" w:customStyle="1" w:styleId="5">
    <w:name w:val="3C36021E9D2E4642A3FEF0B60C3DB5814"/>
    <w:qFormat/>
    <w:uiPriority w:val="0"/>
    <w:rPr>
      <w:rFonts w:asciiTheme="minorHAnsi" w:hAnsiTheme="minorHAnsi" w:eastAsiaTheme="minorEastAsia" w:cstheme="minorBidi"/>
      <w:kern w:val="0"/>
      <w:sz w:val="22"/>
      <w:szCs w:val="22"/>
      <w:lang w:val="en-US" w:eastAsia="zh-CN" w:bidi="ar-SA"/>
    </w:rPr>
  </w:style>
  <w:style w:type="character" w:customStyle="1" w:styleId="6">
    <w:name w:val="标题 2 字符"/>
    <w:basedOn w:val="3"/>
    <w:link w:val="2"/>
    <w:qFormat/>
    <w:uiPriority w:val="9"/>
    <w:rPr>
      <w:rFonts w:asciiTheme="majorHAnsi" w:hAnsiTheme="majorHAnsi" w:eastAsiaTheme="majorEastAsia" w:cstheme="majorBidi"/>
      <w:b/>
      <w:bCs/>
      <w:sz w:val="32"/>
      <w:szCs w:val="32"/>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534</Words>
  <Characters>3046</Characters>
  <Lines>25</Lines>
  <Paragraphs>7</Paragraphs>
  <TotalTime>2</TotalTime>
  <ScaleCrop>false</ScaleCrop>
  <LinksUpToDate>false</LinksUpToDate>
  <CharactersWithSpaces>3573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2019-12-02T09:41:00Z</dcterms:created>
  <dc:creator>荆 亚琴</dc:creator>
  <cp:lastModifiedBy>Cristal</cp:lastModifiedBy>
  <dcterms:modified xsi:type="dcterms:W3CDTF">2022-01-22T12:48:32Z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887D8F314CEA4D7790F014A192222C31</vt:lpwstr>
  </property>
</Properties>
</file>