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header9.xml" ContentType="application/vnd.openxmlformats-officedocument.wordprocessingml.header+xml"/>
  <Override PartName="/word/footer11.xml" ContentType="application/vnd.openxmlformats-officedocument.wordprocessingml.footer+xml"/>
  <Override PartName="/word/header10.xml" ContentType="application/vnd.openxmlformats-officedocument.wordprocessingml.header+xml"/>
  <Override PartName="/word/footer12.xml" ContentType="application/vnd.openxmlformats-officedocument.wordprocessingml.footer+xml"/>
  <Override PartName="/word/header11.xml" ContentType="application/vnd.openxmlformats-officedocument.wordprocessingml.header+xml"/>
  <Override PartName="/word/footer13.xml" ContentType="application/vnd.openxmlformats-officedocument.wordprocessingml.footer+xml"/>
  <Override PartName="/word/header12.xml" ContentType="application/vnd.openxmlformats-officedocument.wordprocessingml.header+xml"/>
  <Override PartName="/word/footer14.xml" ContentType="application/vnd.openxmlformats-officedocument.wordprocessingml.footer+xml"/>
  <Override PartName="/word/header13.xml" ContentType="application/vnd.openxmlformats-officedocument.wordprocessingml.header+xml"/>
  <Override PartName="/word/footer15.xml" ContentType="application/vnd.openxmlformats-officedocument.wordprocessingml.footer+xml"/>
  <Override PartName="/word/header14.xml" ContentType="application/vnd.openxmlformats-officedocument.wordprocessingml.header+xml"/>
  <Override PartName="/word/footer16.xml" ContentType="application/vnd.openxmlformats-officedocument.wordprocessingml.footer+xml"/>
  <Override PartName="/word/header15.xml" ContentType="application/vnd.openxmlformats-officedocument.wordprocessingml.header+xml"/>
  <Override PartName="/word/footer17.xml" ContentType="application/vnd.openxmlformats-officedocument.wordprocessingml.footer+xml"/>
  <Override PartName="/word/header16.xml" ContentType="application/vnd.openxmlformats-officedocument.wordprocessingml.header+xml"/>
  <Override PartName="/word/footer18.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5"/>
        <w:rPr>
          <w:rFonts w:ascii="Times New Roman"/>
          <w:sz w:val="12"/>
        </w:rPr>
      </w:pPr>
    </w:p>
    <w:p>
      <w:pPr>
        <w:pStyle w:val="BodyText"/>
        <w:tabs>
          <w:tab w:pos="2159" w:val="left" w:leader="none"/>
          <w:tab w:pos="5279" w:val="left" w:leader="none"/>
          <w:tab w:pos="6839" w:val="left" w:leader="none"/>
          <w:tab w:pos="8039" w:val="left" w:leader="none"/>
        </w:tabs>
        <w:spacing w:before="74"/>
        <w:ind w:right="525"/>
        <w:jc w:val="center"/>
      </w:pPr>
      <w:r>
        <w:rPr/>
        <w:t>分类号：</w:t>
      </w:r>
      <w:r>
        <w:rPr>
          <w:u w:val="single"/>
        </w:rPr>
        <w:t>G632.3</w:t>
        <w:tab/>
      </w:r>
      <w:r>
        <w:rPr/>
        <w:tab/>
        <w:t>单位代码：</w:t>
      </w:r>
      <w:r>
        <w:rPr>
          <w:u w:val="single"/>
        </w:rPr>
        <w:t> </w:t>
        <w:tab/>
        <w:t>10346</w:t>
        <w:tab/>
      </w:r>
    </w:p>
    <w:p>
      <w:pPr>
        <w:pStyle w:val="BodyText"/>
        <w:spacing w:before="8"/>
        <w:rPr>
          <w:sz w:val="29"/>
        </w:rPr>
      </w:pPr>
    </w:p>
    <w:p>
      <w:pPr>
        <w:pStyle w:val="BodyText"/>
        <w:tabs>
          <w:tab w:pos="479" w:val="left" w:leader="none"/>
          <w:tab w:pos="2579" w:val="left" w:leader="none"/>
          <w:tab w:pos="5279" w:val="left" w:leader="none"/>
          <w:tab w:pos="5999" w:val="left" w:leader="none"/>
          <w:tab w:pos="8039" w:val="left" w:leader="none"/>
        </w:tabs>
        <w:spacing w:before="74"/>
        <w:ind w:right="525"/>
        <w:jc w:val="center"/>
      </w:pPr>
      <w:r>
        <w:rPr/>
        <w:t>密</w:t>
        <w:tab/>
        <w:t>级：</w:t>
      </w:r>
      <w:r>
        <w:rPr>
          <w:u w:val="single"/>
        </w:rPr>
        <w:t> </w:t>
        <w:tab/>
      </w:r>
      <w:r>
        <w:rPr/>
        <w:tab/>
        <w:t>学</w:t>
        <w:tab/>
        <w:t>号：</w:t>
      </w:r>
      <w:r>
        <w:rPr>
          <w:u w:val="single"/>
        </w:rPr>
        <w:t> 2014110043</w:t>
        <w:tab/>
      </w:r>
    </w:p>
    <w:p>
      <w:pPr>
        <w:pStyle w:val="BodyText"/>
        <w:rPr>
          <w:sz w:val="20"/>
        </w:rPr>
      </w:pPr>
    </w:p>
    <w:p>
      <w:pPr>
        <w:pStyle w:val="BodyText"/>
        <w:rPr>
          <w:sz w:val="20"/>
        </w:rPr>
      </w:pPr>
    </w:p>
    <w:p>
      <w:pPr>
        <w:pStyle w:val="BodyText"/>
        <w:spacing w:before="12"/>
        <w:rPr>
          <w:sz w:val="11"/>
        </w:rPr>
      </w:pPr>
      <w:r>
        <w:rPr/>
        <w:drawing>
          <wp:anchor distT="0" distB="0" distL="0" distR="0" allowOverlap="1" layoutInCell="1" locked="0" behindDoc="0" simplePos="0" relativeHeight="0">
            <wp:simplePos x="0" y="0"/>
            <wp:positionH relativeFrom="page">
              <wp:posOffset>2218944</wp:posOffset>
            </wp:positionH>
            <wp:positionV relativeFrom="paragraph">
              <wp:posOffset>121887</wp:posOffset>
            </wp:positionV>
            <wp:extent cx="3659373" cy="792099"/>
            <wp:effectExtent l="0" t="0" r="0" b="0"/>
            <wp:wrapTopAndBottom/>
            <wp:docPr id="1" name="image1.jpeg"/>
            <wp:cNvGraphicFramePr>
              <a:graphicFrameLocks noChangeAspect="1"/>
            </wp:cNvGraphicFramePr>
            <a:graphic>
              <a:graphicData uri="http://schemas.openxmlformats.org/drawingml/2006/picture">
                <pic:pic>
                  <pic:nvPicPr>
                    <pic:cNvPr id="2" name="image1.jpeg"/>
                    <pic:cNvPicPr/>
                  </pic:nvPicPr>
                  <pic:blipFill>
                    <a:blip r:embed="rId5" cstate="print"/>
                    <a:stretch>
                      <a:fillRect/>
                    </a:stretch>
                  </pic:blipFill>
                  <pic:spPr>
                    <a:xfrm>
                      <a:off x="0" y="0"/>
                      <a:ext cx="3659373" cy="792099"/>
                    </a:xfrm>
                    <a:prstGeom prst="rect">
                      <a:avLst/>
                    </a:prstGeom>
                  </pic:spPr>
                </pic:pic>
              </a:graphicData>
            </a:graphic>
          </wp:anchor>
        </w:drawing>
      </w:r>
    </w:p>
    <w:p>
      <w:pPr>
        <w:pStyle w:val="BodyText"/>
        <w:spacing w:before="11"/>
        <w:rPr>
          <w:sz w:val="19"/>
        </w:rPr>
      </w:pPr>
    </w:p>
    <w:p>
      <w:pPr>
        <w:spacing w:before="32"/>
        <w:ind w:left="0" w:right="255" w:firstLine="0"/>
        <w:jc w:val="center"/>
        <w:rPr>
          <w:b/>
          <w:sz w:val="48"/>
        </w:rPr>
      </w:pPr>
      <w:r>
        <w:rPr/>
        <w:pict>
          <v:shapetype id="_x0000_t202" o:spt="202" coordsize="21600,21600" path="m,l,21600r21600,l21600,xe">
            <v:stroke joinstyle="miter"/>
            <v:path gradientshapeok="t" o:connecttype="rect"/>
          </v:shapetype>
          <v:shape style="position:absolute;margin-left:195.600006pt;margin-top:-41.824005pt;width:204pt;height:24pt;mso-position-horizontal-relative:page;mso-position-vertical-relative:paragraph;z-index:-257903616" type="#_x0000_t202" filled="false" stroked="false">
            <v:textbox inset="0,0,0,0">
              <w:txbxContent>
                <w:p>
                  <w:pPr>
                    <w:spacing w:line="480" w:lineRule="exact" w:before="0"/>
                    <w:ind w:left="0" w:right="0" w:firstLine="0"/>
                    <w:jc w:val="left"/>
                    <w:rPr>
                      <w:sz w:val="48"/>
                    </w:rPr>
                  </w:pPr>
                  <w:r>
                    <w:rPr>
                      <w:sz w:val="48"/>
                    </w:rPr>
                    <w:t>博士/硕士学位论文</w:t>
                  </w:r>
                </w:p>
              </w:txbxContent>
            </v:textbox>
            <w10:wrap type="none"/>
          </v:shape>
        </w:pict>
      </w:r>
      <w:r>
        <w:rPr>
          <w:b/>
          <w:sz w:val="48"/>
        </w:rPr>
        <w:t>硕士学位论文</w:t>
      </w:r>
    </w:p>
    <w:p>
      <w:pPr>
        <w:pStyle w:val="Heading1"/>
        <w:spacing w:before="127"/>
        <w:ind w:right="261"/>
        <w:jc w:val="center"/>
        <w:rPr>
          <w:rFonts w:ascii="宋体" w:eastAsia="宋体" w:hint="eastAsia"/>
        </w:rPr>
      </w:pPr>
      <w:r>
        <w:rPr>
          <w:rFonts w:ascii="宋体" w:eastAsia="宋体" w:hint="eastAsia"/>
        </w:rPr>
        <w:t>（学术学位）</w:t>
      </w:r>
    </w:p>
    <w:p>
      <w:pPr>
        <w:spacing w:before="238"/>
        <w:ind w:left="0" w:right="559" w:firstLine="0"/>
        <w:jc w:val="center"/>
        <w:rPr>
          <w:rFonts w:ascii="Microsoft JhengHei" w:eastAsia="Microsoft JhengHei" w:hint="eastAsia"/>
          <w:b/>
          <w:sz w:val="36"/>
        </w:rPr>
      </w:pPr>
      <w:r>
        <w:rPr>
          <w:b/>
          <w:sz w:val="32"/>
        </w:rPr>
        <w:t>中文论文题目 ：</w:t>
      </w:r>
      <w:r>
        <w:rPr>
          <w:b/>
          <w:sz w:val="32"/>
          <w:u w:val="thick"/>
        </w:rPr>
        <w:t> </w:t>
      </w:r>
      <w:r>
        <w:rPr>
          <w:rFonts w:ascii="Microsoft JhengHei" w:eastAsia="Microsoft JhengHei" w:hint="eastAsia"/>
          <w:b/>
          <w:sz w:val="36"/>
          <w:u w:val="thick"/>
        </w:rPr>
        <w:t>基于核心素养观的普通高中</w:t>
      </w:r>
    </w:p>
    <w:p>
      <w:pPr>
        <w:pStyle w:val="BodyText"/>
        <w:spacing w:before="1"/>
        <w:rPr>
          <w:rFonts w:ascii="Microsoft JhengHei"/>
          <w:b/>
          <w:sz w:val="10"/>
        </w:rPr>
      </w:pPr>
    </w:p>
    <w:p>
      <w:pPr>
        <w:spacing w:line="593" w:lineRule="exact" w:before="0"/>
        <w:ind w:left="4298" w:right="0" w:firstLine="0"/>
        <w:jc w:val="left"/>
        <w:rPr>
          <w:rFonts w:ascii="Microsoft JhengHei" w:eastAsia="Microsoft JhengHei" w:hint="eastAsia"/>
          <w:b/>
          <w:sz w:val="36"/>
        </w:rPr>
      </w:pPr>
      <w:r>
        <w:rPr>
          <w:rFonts w:ascii="Microsoft JhengHei" w:eastAsia="Microsoft JhengHei" w:hint="eastAsia"/>
          <w:b/>
          <w:sz w:val="36"/>
          <w:u w:val="single"/>
        </w:rPr>
        <w:t>生涯规划教育实施研究</w:t>
      </w:r>
    </w:p>
    <w:p>
      <w:pPr>
        <w:pStyle w:val="BodyText"/>
        <w:spacing w:before="16"/>
        <w:rPr>
          <w:rFonts w:ascii="Microsoft JhengHei"/>
          <w:b/>
          <w:sz w:val="10"/>
        </w:rPr>
      </w:pPr>
    </w:p>
    <w:p>
      <w:pPr>
        <w:spacing w:before="65"/>
        <w:ind w:left="0" w:right="494" w:firstLine="0"/>
        <w:jc w:val="center"/>
        <w:rPr>
          <w:rFonts w:ascii="Times New Roman" w:eastAsia="Times New Roman"/>
          <w:b/>
          <w:sz w:val="32"/>
        </w:rPr>
      </w:pPr>
      <w:r>
        <w:rPr>
          <w:b/>
          <w:sz w:val="32"/>
        </w:rPr>
        <w:t>英文论文题目： </w:t>
      </w:r>
      <w:r>
        <w:rPr>
          <w:rFonts w:ascii="Times New Roman" w:eastAsia="Times New Roman"/>
          <w:b/>
          <w:sz w:val="32"/>
          <w:u w:val="thick"/>
        </w:rPr>
        <w:t>A Research on Implementation of</w:t>
      </w:r>
    </w:p>
    <w:p>
      <w:pPr>
        <w:tabs>
          <w:tab w:pos="8934" w:val="left" w:leader="none"/>
        </w:tabs>
        <w:spacing w:line="408" w:lineRule="auto" w:before="233"/>
        <w:ind w:left="4243" w:right="2004" w:hanging="133"/>
        <w:jc w:val="center"/>
        <w:rPr>
          <w:rFonts w:ascii="Times New Roman"/>
          <w:b/>
          <w:sz w:val="32"/>
        </w:rPr>
      </w:pPr>
      <w:r>
        <w:rPr>
          <w:rFonts w:ascii="Times New Roman"/>
          <w:b/>
          <w:sz w:val="32"/>
          <w:u w:val="thick"/>
        </w:rPr>
        <w:t>Career Education based</w:t>
      </w:r>
      <w:r>
        <w:rPr>
          <w:rFonts w:ascii="Times New Roman"/>
          <w:b/>
          <w:spacing w:val="-17"/>
          <w:sz w:val="32"/>
          <w:u w:val="thick"/>
        </w:rPr>
        <w:t> </w:t>
      </w:r>
      <w:r>
        <w:rPr>
          <w:rFonts w:ascii="Times New Roman"/>
          <w:b/>
          <w:sz w:val="32"/>
          <w:u w:val="thick"/>
        </w:rPr>
        <w:t>on</w:t>
      </w:r>
      <w:r>
        <w:rPr>
          <w:rFonts w:ascii="Times New Roman"/>
          <w:b/>
          <w:spacing w:val="-8"/>
          <w:sz w:val="32"/>
          <w:u w:val="thick"/>
        </w:rPr>
        <w:t> </w:t>
      </w:r>
      <w:r>
        <w:rPr>
          <w:rFonts w:ascii="Times New Roman"/>
          <w:b/>
          <w:sz w:val="32"/>
          <w:u w:val="thick"/>
        </w:rPr>
        <w:t>Key</w:t>
        <w:tab/>
      </w:r>
      <w:r>
        <w:rPr>
          <w:rFonts w:ascii="Times New Roman"/>
          <w:b/>
          <w:sz w:val="32"/>
        </w:rPr>
        <w:t> </w:t>
      </w:r>
      <w:r>
        <w:rPr>
          <w:rFonts w:ascii="Times New Roman"/>
          <w:b/>
          <w:sz w:val="32"/>
          <w:u w:val="thick"/>
        </w:rPr>
        <w:t>Competencies in Senior High</w:t>
      </w:r>
      <w:r>
        <w:rPr>
          <w:rFonts w:ascii="Times New Roman"/>
          <w:b/>
          <w:spacing w:val="-13"/>
          <w:sz w:val="32"/>
          <w:u w:val="thick"/>
        </w:rPr>
        <w:t> </w:t>
      </w:r>
      <w:r>
        <w:rPr>
          <w:rFonts w:ascii="Times New Roman"/>
          <w:b/>
          <w:sz w:val="32"/>
          <w:u w:val="thick"/>
        </w:rPr>
        <w:t>School</w:t>
      </w:r>
    </w:p>
    <w:p>
      <w:pPr>
        <w:pStyle w:val="BodyText"/>
        <w:spacing w:before="4"/>
        <w:rPr>
          <w:rFonts w:ascii="Times New Roman"/>
          <w:b/>
          <w:sz w:val="19"/>
        </w:rPr>
      </w:pPr>
    </w:p>
    <w:p>
      <w:pPr>
        <w:tabs>
          <w:tab w:pos="5519" w:val="left" w:leader="none"/>
          <w:tab w:pos="5659" w:val="left" w:leader="none"/>
          <w:tab w:pos="5800" w:val="left" w:leader="none"/>
          <w:tab w:pos="8319" w:val="left" w:leader="none"/>
        </w:tabs>
        <w:spacing w:line="376" w:lineRule="auto" w:before="61"/>
        <w:ind w:left="3000" w:right="2885" w:firstLine="0"/>
        <w:jc w:val="both"/>
        <w:rPr>
          <w:sz w:val="28"/>
        </w:rPr>
      </w:pPr>
      <w:r>
        <w:rPr>
          <w:sz w:val="28"/>
        </w:rPr>
        <w:t>申</w:t>
      </w:r>
      <w:r>
        <w:rPr>
          <w:spacing w:val="-3"/>
          <w:sz w:val="28"/>
        </w:rPr>
        <w:t>请</w:t>
      </w:r>
      <w:r>
        <w:rPr>
          <w:sz w:val="28"/>
        </w:rPr>
        <w:t>人姓</w:t>
      </w:r>
      <w:r>
        <w:rPr>
          <w:spacing w:val="-3"/>
          <w:sz w:val="28"/>
        </w:rPr>
        <w:t>名</w:t>
      </w:r>
      <w:r>
        <w:rPr>
          <w:sz w:val="28"/>
        </w:rPr>
        <w:t>：</w:t>
      </w:r>
      <w:r>
        <w:rPr>
          <w:position w:val="-5"/>
          <w:sz w:val="28"/>
          <w:u w:val="single"/>
        </w:rPr>
        <w:t> </w:t>
        <w:tab/>
        <w:tab/>
        <w:tab/>
      </w:r>
      <w:r>
        <w:rPr>
          <w:spacing w:val="-1"/>
          <w:position w:val="-5"/>
          <w:sz w:val="28"/>
          <w:u w:val="single"/>
        </w:rPr>
        <w:t>刘</w:t>
      </w:r>
      <w:r>
        <w:rPr>
          <w:spacing w:val="-3"/>
          <w:position w:val="-5"/>
          <w:sz w:val="28"/>
          <w:u w:val="single"/>
        </w:rPr>
        <w:t>龙</w:t>
      </w:r>
      <w:r>
        <w:rPr>
          <w:position w:val="-5"/>
          <w:sz w:val="28"/>
          <w:u w:val="single"/>
        </w:rPr>
        <w:t>婷</w:t>
        <w:tab/>
        <w:t> </w:t>
      </w:r>
      <w:r>
        <w:rPr>
          <w:sz w:val="28"/>
        </w:rPr>
        <w:t>指</w:t>
      </w:r>
      <w:r>
        <w:rPr>
          <w:spacing w:val="-3"/>
          <w:sz w:val="28"/>
        </w:rPr>
        <w:t>导</w:t>
      </w:r>
      <w:r>
        <w:rPr>
          <w:sz w:val="28"/>
        </w:rPr>
        <w:t>教师：</w:t>
      </w:r>
      <w:r>
        <w:rPr>
          <w:position w:val="-5"/>
          <w:sz w:val="28"/>
          <w:u w:val="single"/>
        </w:rPr>
        <w:t> </w:t>
        <w:tab/>
        <w:tab/>
        <w:tab/>
      </w:r>
      <w:r>
        <w:rPr>
          <w:spacing w:val="-1"/>
          <w:position w:val="-5"/>
          <w:sz w:val="28"/>
          <w:u w:val="single"/>
        </w:rPr>
        <w:t>杨</w:t>
      </w:r>
      <w:r>
        <w:rPr>
          <w:spacing w:val="-3"/>
          <w:position w:val="-5"/>
          <w:sz w:val="28"/>
          <w:u w:val="single"/>
        </w:rPr>
        <w:t>燕</w:t>
      </w:r>
      <w:r>
        <w:rPr>
          <w:position w:val="-5"/>
          <w:sz w:val="28"/>
          <w:u w:val="single"/>
        </w:rPr>
        <w:t>燕</w:t>
        <w:tab/>
        <w:t> </w:t>
      </w:r>
      <w:r>
        <w:rPr>
          <w:position w:val="6"/>
          <w:sz w:val="28"/>
        </w:rPr>
        <w:t>专</w:t>
      </w:r>
      <w:r>
        <w:rPr>
          <w:spacing w:val="-3"/>
          <w:position w:val="6"/>
          <w:sz w:val="28"/>
        </w:rPr>
        <w:t>业</w:t>
      </w:r>
      <w:r>
        <w:rPr>
          <w:position w:val="6"/>
          <w:sz w:val="28"/>
        </w:rPr>
        <w:t>名称</w:t>
      </w:r>
      <w:r>
        <w:rPr>
          <w:spacing w:val="-3"/>
          <w:position w:val="6"/>
          <w:sz w:val="28"/>
        </w:rPr>
        <w:t>：</w:t>
      </w:r>
      <w:r>
        <w:rPr>
          <w:spacing w:val="-3"/>
          <w:sz w:val="28"/>
          <w:u w:val="single"/>
        </w:rPr>
        <w:t> </w:t>
        <w:tab/>
      </w:r>
      <w:r>
        <w:rPr>
          <w:sz w:val="28"/>
          <w:u w:val="single"/>
        </w:rPr>
        <w:t>课</w:t>
      </w:r>
      <w:r>
        <w:rPr>
          <w:spacing w:val="-3"/>
          <w:sz w:val="28"/>
          <w:u w:val="single"/>
        </w:rPr>
        <w:t>程</w:t>
      </w:r>
      <w:r>
        <w:rPr>
          <w:sz w:val="28"/>
          <w:u w:val="single"/>
        </w:rPr>
        <w:t>与教</w:t>
      </w:r>
      <w:r>
        <w:rPr>
          <w:spacing w:val="-3"/>
          <w:sz w:val="28"/>
          <w:u w:val="single"/>
        </w:rPr>
        <w:t>学</w:t>
      </w:r>
      <w:r>
        <w:rPr>
          <w:sz w:val="28"/>
          <w:u w:val="single"/>
        </w:rPr>
        <w:t>论       </w:t>
      </w:r>
      <w:r>
        <w:rPr>
          <w:position w:val="6"/>
          <w:sz w:val="28"/>
        </w:rPr>
        <w:t>研</w:t>
      </w:r>
      <w:r>
        <w:rPr>
          <w:spacing w:val="-3"/>
          <w:position w:val="6"/>
          <w:sz w:val="28"/>
        </w:rPr>
        <w:t>究</w:t>
      </w:r>
      <w:r>
        <w:rPr>
          <w:position w:val="6"/>
          <w:sz w:val="28"/>
        </w:rPr>
        <w:t>方向</w:t>
      </w:r>
      <w:r>
        <w:rPr>
          <w:spacing w:val="-3"/>
          <w:position w:val="6"/>
          <w:sz w:val="28"/>
        </w:rPr>
        <w:t>：</w:t>
      </w:r>
      <w:r>
        <w:rPr>
          <w:spacing w:val="-3"/>
          <w:sz w:val="28"/>
          <w:u w:val="single"/>
        </w:rPr>
        <w:t> </w:t>
        <w:tab/>
      </w:r>
      <w:r>
        <w:rPr>
          <w:sz w:val="28"/>
          <w:u w:val="single"/>
        </w:rPr>
        <w:t>比</w:t>
      </w:r>
      <w:r>
        <w:rPr>
          <w:spacing w:val="-3"/>
          <w:sz w:val="28"/>
          <w:u w:val="single"/>
        </w:rPr>
        <w:t>较</w:t>
      </w:r>
      <w:r>
        <w:rPr>
          <w:sz w:val="28"/>
          <w:u w:val="single"/>
        </w:rPr>
        <w:t>课程</w:t>
      </w:r>
      <w:r>
        <w:rPr>
          <w:spacing w:val="-3"/>
          <w:sz w:val="28"/>
          <w:u w:val="single"/>
        </w:rPr>
        <w:t>与</w:t>
      </w:r>
      <w:r>
        <w:rPr>
          <w:sz w:val="28"/>
          <w:u w:val="single"/>
        </w:rPr>
        <w:t>教学论   </w:t>
      </w:r>
      <w:r>
        <w:rPr>
          <w:sz w:val="28"/>
        </w:rPr>
        <w:t>所</w:t>
      </w:r>
      <w:r>
        <w:rPr>
          <w:spacing w:val="-3"/>
          <w:sz w:val="28"/>
        </w:rPr>
        <w:t>在</w:t>
      </w:r>
      <w:r>
        <w:rPr>
          <w:sz w:val="28"/>
        </w:rPr>
        <w:t>学院</w:t>
      </w:r>
      <w:r>
        <w:rPr>
          <w:spacing w:val="-3"/>
          <w:sz w:val="28"/>
        </w:rPr>
        <w:t>：</w:t>
      </w:r>
      <w:r>
        <w:rPr>
          <w:spacing w:val="-3"/>
          <w:position w:val="-5"/>
          <w:sz w:val="28"/>
          <w:u w:val="single"/>
        </w:rPr>
        <w:t> </w:t>
        <w:tab/>
        <w:tab/>
      </w:r>
      <w:r>
        <w:rPr>
          <w:spacing w:val="-1"/>
          <w:position w:val="-5"/>
          <w:sz w:val="28"/>
          <w:u w:val="single"/>
        </w:rPr>
        <w:t>教</w:t>
      </w:r>
      <w:r>
        <w:rPr>
          <w:spacing w:val="-3"/>
          <w:position w:val="-5"/>
          <w:sz w:val="28"/>
          <w:u w:val="single"/>
        </w:rPr>
        <w:t>育</w:t>
      </w:r>
      <w:r>
        <w:rPr>
          <w:spacing w:val="-1"/>
          <w:position w:val="-5"/>
          <w:sz w:val="28"/>
          <w:u w:val="single"/>
        </w:rPr>
        <w:t>学</w:t>
      </w:r>
      <w:r>
        <w:rPr>
          <w:position w:val="-5"/>
          <w:sz w:val="28"/>
          <w:u w:val="single"/>
        </w:rPr>
        <w:t>院</w:t>
        <w:tab/>
      </w:r>
    </w:p>
    <w:p>
      <w:pPr>
        <w:pStyle w:val="BodyText"/>
        <w:rPr>
          <w:sz w:val="20"/>
        </w:rPr>
      </w:pPr>
    </w:p>
    <w:p>
      <w:pPr>
        <w:pStyle w:val="BodyText"/>
        <w:spacing w:before="12"/>
        <w:rPr>
          <w:sz w:val="25"/>
        </w:rPr>
      </w:pPr>
    </w:p>
    <w:p>
      <w:pPr>
        <w:pStyle w:val="Heading1"/>
        <w:tabs>
          <w:tab w:pos="2107" w:val="left" w:leader="none"/>
          <w:tab w:pos="3465" w:val="left" w:leader="none"/>
          <w:tab w:pos="4070" w:val="left" w:leader="none"/>
        </w:tabs>
        <w:spacing w:before="58"/>
        <w:ind w:right="257"/>
        <w:jc w:val="center"/>
        <w:rPr>
          <w:rFonts w:ascii="宋体" w:eastAsia="宋体" w:hint="eastAsia"/>
        </w:rPr>
      </w:pPr>
      <w:r>
        <w:rPr>
          <w:rFonts w:ascii="宋体" w:eastAsia="宋体" w:hint="eastAsia"/>
        </w:rPr>
        <w:t>论文提交日期</w:t>
      </w:r>
      <w:r>
        <w:rPr>
          <w:rFonts w:ascii="宋体" w:eastAsia="宋体" w:hint="eastAsia"/>
          <w:u w:val="thick"/>
        </w:rPr>
        <w:t> </w:t>
        <w:tab/>
      </w:r>
      <w:r>
        <w:rPr>
          <w:rFonts w:ascii="Calibri" w:eastAsia="Calibri"/>
          <w:u w:val="thick"/>
        </w:rPr>
        <w:t>2017 </w:t>
      </w:r>
      <w:r>
        <w:rPr>
          <w:rFonts w:ascii="Calibri" w:eastAsia="Calibri"/>
          <w:spacing w:val="13"/>
          <w:u w:val="thick"/>
        </w:rPr>
        <w:t> </w:t>
      </w:r>
      <w:r>
        <w:rPr>
          <w:rFonts w:ascii="宋体" w:eastAsia="宋体" w:hint="eastAsia"/>
          <w:u w:val="thick"/>
        </w:rPr>
        <w:t>年</w:t>
        <w:tab/>
      </w:r>
      <w:r>
        <w:rPr>
          <w:rFonts w:ascii="Calibri" w:eastAsia="Calibri"/>
          <w:u w:val="thick"/>
        </w:rPr>
        <w:t>03</w:t>
        <w:tab/>
      </w:r>
      <w:r>
        <w:rPr>
          <w:rFonts w:ascii="宋体" w:eastAsia="宋体" w:hint="eastAsia"/>
          <w:u w:val="thick"/>
        </w:rPr>
        <w:t>月</w:t>
      </w:r>
    </w:p>
    <w:p>
      <w:pPr>
        <w:pStyle w:val="BodyText"/>
        <w:rPr>
          <w:b/>
          <w:sz w:val="20"/>
        </w:rPr>
      </w:pPr>
    </w:p>
    <w:p>
      <w:pPr>
        <w:pStyle w:val="BodyText"/>
        <w:rPr>
          <w:b/>
          <w:sz w:val="20"/>
        </w:rPr>
      </w:pPr>
    </w:p>
    <w:p>
      <w:pPr>
        <w:pStyle w:val="BodyText"/>
        <w:rPr>
          <w:b/>
          <w:sz w:val="20"/>
        </w:rPr>
      </w:pPr>
    </w:p>
    <w:p>
      <w:pPr>
        <w:pStyle w:val="BodyText"/>
        <w:spacing w:before="4"/>
        <w:rPr>
          <w:b/>
          <w:sz w:val="26"/>
        </w:rPr>
      </w:pPr>
      <w:r>
        <w:rPr/>
        <w:pict>
          <v:group style="position:absolute;margin-left:50.400002pt;margin-top:18.815937pt;width:378.9pt;height:9.7pt;mso-position-horizontal-relative:page;mso-position-vertical-relative:paragraph;z-index:-251657216;mso-wrap-distance-left:0;mso-wrap-distance-right:0" coordorigin="1008,376" coordsize="7578,194">
            <v:shape style="position:absolute;left:1008;top:376;width:5844;height:194" type="#_x0000_t75" stroked="false">
              <v:imagedata r:id="rId6" o:title=""/>
            </v:shape>
            <v:shape style="position:absolute;left:6872;top:376;width:1676;height:194" type="#_x0000_t75" stroked="false">
              <v:imagedata r:id="rId7" o:title=""/>
            </v:shape>
            <v:shape style="position:absolute;left:8562;top:502;width:24;height:24" coordorigin="8562,502" coordsize="24,24" path="m8578,502l8572,502,8568,504,8564,508,8562,512,8562,518,8564,520,8566,524,8568,526,8580,526,8584,524,8586,520,8586,508,8584,506,8580,504,8578,502xe" filled="true" fillcolor="#999999" stroked="false">
              <v:path arrowok="t"/>
              <v:fill type="solid"/>
            </v:shape>
            <w10:wrap type="topAndBottom"/>
          </v:group>
        </w:pict>
      </w:r>
      <w:r>
        <w:rPr/>
        <w:drawing>
          <wp:anchor distT="0" distB="0" distL="0" distR="0" allowOverlap="1" layoutInCell="1" locked="0" behindDoc="0" simplePos="0" relativeHeight="2">
            <wp:simplePos x="0" y="0"/>
            <wp:positionH relativeFrom="page">
              <wp:posOffset>5596890</wp:posOffset>
            </wp:positionH>
            <wp:positionV relativeFrom="paragraph">
              <wp:posOffset>238962</wp:posOffset>
            </wp:positionV>
            <wp:extent cx="1065865" cy="121348"/>
            <wp:effectExtent l="0" t="0" r="0" b="0"/>
            <wp:wrapTopAndBottom/>
            <wp:docPr id="3" name="image4.png"/>
            <wp:cNvGraphicFramePr>
              <a:graphicFrameLocks noChangeAspect="1"/>
            </wp:cNvGraphicFramePr>
            <a:graphic>
              <a:graphicData uri="http://schemas.openxmlformats.org/drawingml/2006/picture">
                <pic:pic>
                  <pic:nvPicPr>
                    <pic:cNvPr id="4" name="image4.png"/>
                    <pic:cNvPicPr/>
                  </pic:nvPicPr>
                  <pic:blipFill>
                    <a:blip r:embed="rId8" cstate="print"/>
                    <a:stretch>
                      <a:fillRect/>
                    </a:stretch>
                  </pic:blipFill>
                  <pic:spPr>
                    <a:xfrm>
                      <a:off x="0" y="0"/>
                      <a:ext cx="1065865" cy="121348"/>
                    </a:xfrm>
                    <a:prstGeom prst="rect">
                      <a:avLst/>
                    </a:prstGeom>
                  </pic:spPr>
                </pic:pic>
              </a:graphicData>
            </a:graphic>
          </wp:anchor>
        </w:drawing>
      </w:r>
    </w:p>
    <w:p>
      <w:pPr>
        <w:spacing w:after="0"/>
        <w:rPr>
          <w:sz w:val="26"/>
        </w:rPr>
        <w:sectPr>
          <w:type w:val="continuous"/>
          <w:pgSz w:w="11910" w:h="16840"/>
          <w:pgMar w:top="1580" w:bottom="280" w:left="480" w:right="220"/>
        </w:sectPr>
      </w:pPr>
    </w:p>
    <w:p>
      <w:pPr>
        <w:pStyle w:val="BodyText"/>
        <w:spacing w:before="10"/>
        <w:rPr>
          <w:b/>
          <w:sz w:val="9"/>
        </w:rPr>
      </w:pPr>
    </w:p>
    <w:p>
      <w:pPr>
        <w:spacing w:line="288" w:lineRule="auto" w:before="44"/>
        <w:ind w:left="3817" w:right="3460" w:hanging="113"/>
        <w:jc w:val="left"/>
        <w:rPr>
          <w:sz w:val="40"/>
        </w:rPr>
      </w:pPr>
      <w:r>
        <w:rPr>
          <w:color w:val="151515"/>
          <w:w w:val="80"/>
          <w:sz w:val="40"/>
        </w:rPr>
        <w:t>基千核心素养观的普通高中</w:t>
      </w:r>
      <w:r>
        <w:rPr>
          <w:color w:val="242424"/>
          <w:w w:val="90"/>
          <w:sz w:val="40"/>
        </w:rPr>
        <w:t>生涯规划教育实施研究</w:t>
      </w:r>
    </w:p>
    <w:p>
      <w:pPr>
        <w:pStyle w:val="BodyText"/>
        <w:rPr>
          <w:sz w:val="40"/>
        </w:rPr>
      </w:pPr>
    </w:p>
    <w:p>
      <w:pPr>
        <w:pStyle w:val="BodyText"/>
        <w:spacing w:before="9"/>
        <w:rPr>
          <w:sz w:val="36"/>
        </w:rPr>
      </w:pPr>
    </w:p>
    <w:p>
      <w:pPr>
        <w:spacing w:line="542" w:lineRule="auto" w:before="0"/>
        <w:ind w:left="4007" w:right="3230" w:hanging="14"/>
        <w:jc w:val="left"/>
        <w:rPr>
          <w:sz w:val="33"/>
        </w:rPr>
      </w:pPr>
      <w:r>
        <w:rPr>
          <w:color w:val="151515"/>
          <w:w w:val="130"/>
          <w:sz w:val="33"/>
        </w:rPr>
        <w:t>论文作者签名：    </w:t>
      </w:r>
      <w:r>
        <w:rPr>
          <w:color w:val="151515"/>
          <w:spacing w:val="-2"/>
          <w:sz w:val="33"/>
        </w:rPr>
        <w:t>指导教师签名：；雇过也包</w:t>
      </w:r>
    </w:p>
    <w:p>
      <w:pPr>
        <w:pStyle w:val="BodyText"/>
        <w:spacing w:before="10"/>
        <w:rPr>
          <w:sz w:val="23"/>
        </w:rPr>
      </w:pPr>
    </w:p>
    <w:tbl>
      <w:tblPr>
        <w:tblW w:w="0" w:type="auto"/>
        <w:jc w:val="left"/>
        <w:tblInd w:w="26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398"/>
        <w:gridCol w:w="447"/>
        <w:gridCol w:w="3982"/>
      </w:tblGrid>
      <w:tr>
        <w:trPr>
          <w:trHeight w:val="394" w:hRule="atLeast"/>
        </w:trPr>
        <w:tc>
          <w:tcPr>
            <w:tcW w:w="1398" w:type="dxa"/>
          </w:tcPr>
          <w:p>
            <w:pPr>
              <w:pStyle w:val="TableParagraph"/>
              <w:spacing w:line="297" w:lineRule="exact"/>
              <w:ind w:left="50"/>
              <w:rPr>
                <w:sz w:val="26"/>
              </w:rPr>
            </w:pPr>
            <w:r>
              <w:rPr>
                <w:color w:val="363636"/>
                <w:sz w:val="26"/>
              </w:rPr>
              <w:t>论文评阅人</w:t>
            </w:r>
          </w:p>
        </w:tc>
        <w:tc>
          <w:tcPr>
            <w:tcW w:w="447" w:type="dxa"/>
          </w:tcPr>
          <w:p>
            <w:pPr>
              <w:pStyle w:val="TableParagraph"/>
              <w:spacing w:line="278" w:lineRule="exact"/>
              <w:ind w:left="58"/>
              <w:rPr>
                <w:rFonts w:ascii="Times New Roman"/>
                <w:sz w:val="25"/>
              </w:rPr>
            </w:pPr>
            <w:r>
              <w:rPr>
                <w:rFonts w:ascii="Times New Roman"/>
                <w:color w:val="151515"/>
                <w:sz w:val="25"/>
              </w:rPr>
              <w:t>1 :</w:t>
            </w:r>
          </w:p>
        </w:tc>
        <w:tc>
          <w:tcPr>
            <w:tcW w:w="3982" w:type="dxa"/>
          </w:tcPr>
          <w:p>
            <w:pPr>
              <w:pStyle w:val="TableParagraph"/>
              <w:tabs>
                <w:tab w:pos="3932" w:val="left" w:leader="none"/>
              </w:tabs>
              <w:spacing w:line="278" w:lineRule="exact"/>
              <w:ind w:left="19"/>
              <w:rPr>
                <w:rFonts w:ascii="Times New Roman"/>
                <w:sz w:val="25"/>
              </w:rPr>
            </w:pPr>
            <w:r>
              <w:rPr>
                <w:rFonts w:ascii="Times New Roman"/>
                <w:color w:val="151515"/>
                <w:w w:val="100"/>
                <w:sz w:val="25"/>
                <w:u w:val="thick" w:color="000000"/>
              </w:rPr>
              <w:t> </w:t>
            </w:r>
            <w:r>
              <w:rPr>
                <w:rFonts w:ascii="Times New Roman"/>
                <w:color w:val="151515"/>
                <w:sz w:val="25"/>
                <w:u w:val="thick" w:color="000000"/>
              </w:rPr>
              <w:tab/>
            </w:r>
          </w:p>
        </w:tc>
      </w:tr>
      <w:tr>
        <w:trPr>
          <w:trHeight w:val="517" w:hRule="atLeast"/>
        </w:trPr>
        <w:tc>
          <w:tcPr>
            <w:tcW w:w="1398" w:type="dxa"/>
          </w:tcPr>
          <w:p>
            <w:pPr>
              <w:pStyle w:val="TableParagraph"/>
              <w:spacing w:before="88"/>
              <w:ind w:right="75"/>
              <w:jc w:val="right"/>
              <w:rPr>
                <w:sz w:val="26"/>
              </w:rPr>
            </w:pPr>
            <w:r>
              <w:rPr>
                <w:color w:val="363636"/>
                <w:w w:val="90"/>
                <w:sz w:val="26"/>
              </w:rPr>
              <w:t>评阅人</w:t>
            </w:r>
          </w:p>
        </w:tc>
        <w:tc>
          <w:tcPr>
            <w:tcW w:w="447" w:type="dxa"/>
          </w:tcPr>
          <w:p>
            <w:pPr>
              <w:pStyle w:val="TableParagraph"/>
              <w:spacing w:before="105"/>
              <w:ind w:left="67"/>
              <w:rPr>
                <w:rFonts w:ascii="Times New Roman"/>
                <w:sz w:val="26"/>
              </w:rPr>
            </w:pPr>
            <w:r>
              <w:rPr>
                <w:rFonts w:ascii="Times New Roman"/>
                <w:color w:val="151515"/>
                <w:sz w:val="26"/>
              </w:rPr>
              <w:t>2:</w:t>
            </w:r>
          </w:p>
        </w:tc>
        <w:tc>
          <w:tcPr>
            <w:tcW w:w="3982" w:type="dxa"/>
          </w:tcPr>
          <w:p>
            <w:pPr>
              <w:pStyle w:val="TableParagraph"/>
              <w:tabs>
                <w:tab w:pos="3920" w:val="left" w:leader="none"/>
              </w:tabs>
              <w:spacing w:before="105"/>
              <w:rPr>
                <w:rFonts w:ascii="Times New Roman"/>
                <w:sz w:val="26"/>
              </w:rPr>
            </w:pPr>
            <w:r>
              <w:rPr>
                <w:rFonts w:ascii="Times New Roman"/>
                <w:color w:val="151515"/>
                <w:w w:val="100"/>
                <w:sz w:val="26"/>
                <w:u w:val="thick" w:color="000000"/>
              </w:rPr>
              <w:t> </w:t>
            </w:r>
            <w:r>
              <w:rPr>
                <w:rFonts w:ascii="Times New Roman"/>
                <w:color w:val="151515"/>
                <w:sz w:val="26"/>
                <w:u w:val="thick" w:color="000000"/>
              </w:rPr>
              <w:tab/>
            </w:r>
          </w:p>
        </w:tc>
      </w:tr>
      <w:tr>
        <w:trPr>
          <w:trHeight w:val="906" w:hRule="atLeast"/>
        </w:trPr>
        <w:tc>
          <w:tcPr>
            <w:tcW w:w="1398" w:type="dxa"/>
          </w:tcPr>
          <w:p>
            <w:pPr>
              <w:pStyle w:val="TableParagraph"/>
              <w:spacing w:before="85"/>
              <w:ind w:left="596"/>
              <w:rPr>
                <w:sz w:val="26"/>
              </w:rPr>
            </w:pPr>
            <w:r>
              <w:rPr>
                <w:color w:val="363636"/>
                <w:w w:val="90"/>
                <w:sz w:val="26"/>
              </w:rPr>
              <w:t>评阅人</w:t>
            </w:r>
          </w:p>
          <w:p>
            <w:pPr>
              <w:pStyle w:val="TableParagraph"/>
              <w:spacing w:line="311" w:lineRule="exact" w:before="157"/>
              <w:ind w:left="601"/>
              <w:rPr>
                <w:sz w:val="26"/>
              </w:rPr>
            </w:pPr>
            <w:r>
              <w:rPr>
                <w:color w:val="363636"/>
                <w:w w:val="90"/>
                <w:sz w:val="26"/>
              </w:rPr>
              <w:t>评阅人</w:t>
            </w:r>
          </w:p>
        </w:tc>
        <w:tc>
          <w:tcPr>
            <w:tcW w:w="447" w:type="dxa"/>
          </w:tcPr>
          <w:p>
            <w:pPr>
              <w:pStyle w:val="TableParagraph"/>
              <w:spacing w:before="102"/>
              <w:ind w:left="71"/>
              <w:rPr>
                <w:rFonts w:ascii="Times New Roman"/>
                <w:sz w:val="26"/>
              </w:rPr>
            </w:pPr>
            <w:r>
              <w:rPr>
                <w:rFonts w:ascii="Times New Roman"/>
                <w:color w:val="151515"/>
                <w:w w:val="105"/>
                <w:sz w:val="26"/>
              </w:rPr>
              <w:t>3:</w:t>
            </w:r>
          </w:p>
          <w:p>
            <w:pPr>
              <w:pStyle w:val="TableParagraph"/>
              <w:spacing w:line="285" w:lineRule="exact" w:before="200"/>
              <w:ind w:left="68"/>
              <w:rPr>
                <w:rFonts w:ascii="Times New Roman"/>
                <w:sz w:val="25"/>
              </w:rPr>
            </w:pPr>
            <w:r>
              <w:rPr>
                <w:rFonts w:ascii="Times New Roman"/>
                <w:color w:val="151515"/>
                <w:sz w:val="25"/>
              </w:rPr>
              <w:t>4</w:t>
            </w:r>
            <w:r>
              <w:rPr>
                <w:rFonts w:ascii="Times New Roman"/>
                <w:color w:val="151515"/>
                <w:spacing w:val="-41"/>
                <w:sz w:val="25"/>
              </w:rPr>
              <w:t> </w:t>
            </w:r>
            <w:r>
              <w:rPr>
                <w:rFonts w:ascii="Times New Roman"/>
                <w:color w:val="151515"/>
                <w:sz w:val="25"/>
              </w:rPr>
              <w:t>:</w:t>
            </w:r>
          </w:p>
        </w:tc>
        <w:tc>
          <w:tcPr>
            <w:tcW w:w="3982" w:type="dxa"/>
            <w:tcBorders>
              <w:bottom w:val="single" w:sz="12" w:space="0" w:color="000000"/>
            </w:tcBorders>
          </w:tcPr>
          <w:p>
            <w:pPr>
              <w:pStyle w:val="TableParagraph"/>
              <w:tabs>
                <w:tab w:pos="3906" w:val="left" w:leader="none"/>
              </w:tabs>
              <w:spacing w:before="102"/>
              <w:ind w:left="19"/>
              <w:rPr>
                <w:rFonts w:ascii="Times New Roman"/>
                <w:sz w:val="26"/>
              </w:rPr>
            </w:pPr>
            <w:r>
              <w:rPr>
                <w:rFonts w:ascii="Times New Roman"/>
                <w:color w:val="151515"/>
                <w:w w:val="100"/>
                <w:sz w:val="26"/>
                <w:u w:val="thick" w:color="000000"/>
              </w:rPr>
              <w:t> </w:t>
            </w:r>
            <w:r>
              <w:rPr>
                <w:rFonts w:ascii="Times New Roman"/>
                <w:color w:val="151515"/>
                <w:sz w:val="26"/>
                <w:u w:val="thick" w:color="000000"/>
              </w:rPr>
              <w:tab/>
            </w:r>
          </w:p>
        </w:tc>
      </w:tr>
      <w:tr>
        <w:trPr>
          <w:trHeight w:val="586" w:hRule="atLeast"/>
        </w:trPr>
        <w:tc>
          <w:tcPr>
            <w:tcW w:w="1398" w:type="dxa"/>
          </w:tcPr>
          <w:p>
            <w:pPr>
              <w:pStyle w:val="TableParagraph"/>
              <w:spacing w:before="3"/>
              <w:rPr>
                <w:sz w:val="21"/>
              </w:rPr>
            </w:pPr>
          </w:p>
          <w:p>
            <w:pPr>
              <w:pStyle w:val="TableParagraph"/>
              <w:spacing w:line="294" w:lineRule="exact"/>
              <w:ind w:right="55"/>
              <w:jc w:val="right"/>
              <w:rPr>
                <w:sz w:val="26"/>
              </w:rPr>
            </w:pPr>
            <w:r>
              <w:rPr>
                <w:color w:val="363636"/>
                <w:w w:val="90"/>
                <w:sz w:val="26"/>
              </w:rPr>
              <w:t>评阅人</w:t>
            </w:r>
          </w:p>
        </w:tc>
        <w:tc>
          <w:tcPr>
            <w:tcW w:w="447" w:type="dxa"/>
          </w:tcPr>
          <w:p>
            <w:pPr>
              <w:pStyle w:val="TableParagraph"/>
              <w:spacing w:before="4"/>
              <w:rPr>
                <w:sz w:val="23"/>
              </w:rPr>
            </w:pPr>
          </w:p>
          <w:p>
            <w:pPr>
              <w:pStyle w:val="TableParagraph"/>
              <w:spacing w:line="268" w:lineRule="exact"/>
              <w:ind w:left="75"/>
              <w:rPr>
                <w:rFonts w:ascii="Times New Roman"/>
                <w:sz w:val="25"/>
              </w:rPr>
            </w:pPr>
            <w:r>
              <w:rPr>
                <w:rFonts w:ascii="Times New Roman"/>
                <w:color w:val="151515"/>
                <w:sz w:val="25"/>
              </w:rPr>
              <w:t>5 :</w:t>
            </w:r>
          </w:p>
        </w:tc>
        <w:tc>
          <w:tcPr>
            <w:tcW w:w="3982" w:type="dxa"/>
            <w:tcBorders>
              <w:top w:val="single" w:sz="12" w:space="0" w:color="000000"/>
            </w:tcBorders>
          </w:tcPr>
          <w:p>
            <w:pPr>
              <w:pStyle w:val="TableParagraph"/>
              <w:spacing w:before="4"/>
              <w:rPr>
                <w:sz w:val="23"/>
              </w:rPr>
            </w:pPr>
          </w:p>
          <w:p>
            <w:pPr>
              <w:pStyle w:val="TableParagraph"/>
              <w:tabs>
                <w:tab w:pos="3927" w:val="left" w:leader="none"/>
              </w:tabs>
              <w:spacing w:line="268" w:lineRule="exact"/>
              <w:ind w:left="19"/>
              <w:rPr>
                <w:rFonts w:ascii="Times New Roman"/>
                <w:sz w:val="25"/>
              </w:rPr>
            </w:pPr>
            <w:r>
              <w:rPr>
                <w:rFonts w:ascii="Times New Roman"/>
                <w:color w:val="151515"/>
                <w:w w:val="100"/>
                <w:sz w:val="25"/>
                <w:u w:val="thick" w:color="000000"/>
              </w:rPr>
              <w:t> </w:t>
            </w:r>
            <w:r>
              <w:rPr>
                <w:rFonts w:ascii="Times New Roman"/>
                <w:color w:val="151515"/>
                <w:sz w:val="25"/>
                <w:u w:val="thick" w:color="000000"/>
              </w:rPr>
              <w:tab/>
            </w:r>
          </w:p>
        </w:tc>
      </w:tr>
    </w:tbl>
    <w:p>
      <w:pPr>
        <w:pStyle w:val="BodyText"/>
        <w:rPr>
          <w:sz w:val="20"/>
        </w:rPr>
      </w:pPr>
    </w:p>
    <w:p>
      <w:pPr>
        <w:pStyle w:val="BodyText"/>
        <w:rPr>
          <w:sz w:val="20"/>
        </w:rPr>
      </w:pPr>
    </w:p>
    <w:p>
      <w:pPr>
        <w:pStyle w:val="BodyText"/>
        <w:spacing w:before="12"/>
      </w:pPr>
    </w:p>
    <w:p>
      <w:pPr>
        <w:spacing w:before="58"/>
        <w:ind w:left="1994" w:right="0" w:firstLine="0"/>
        <w:jc w:val="both"/>
        <w:rPr>
          <w:sz w:val="30"/>
        </w:rPr>
      </w:pPr>
      <w:r>
        <w:rPr/>
        <w:pict>
          <v:shape style="position:absolute;margin-left:243.234848pt;margin-top:25.107859pt;width:198.55pt;height:.1pt;mso-position-horizontal-relative:page;mso-position-vertical-relative:paragraph;z-index:-251654144;mso-wrap-distance-left:0;mso-wrap-distance-right:0" coordorigin="4865,502" coordsize="3971,0" path="m4865,502l8835,502e" filled="false" stroked="true" strokeweight=".240259pt" strokecolor="#000000">
            <v:path arrowok="t"/>
            <v:stroke dashstyle="solid"/>
            <w10:wrap type="topAndBottom"/>
          </v:shape>
        </w:pict>
      </w:r>
      <w:r>
        <w:rPr/>
        <w:pict>
          <v:line style="position:absolute;mso-position-horizontal-relative:page;mso-position-vertical-relative:paragraph;z-index:-257901568" from="243.234848pt,50.815617pt" to="441.764482pt,50.815617pt" stroked="true" strokeweight=".240259pt" strokecolor="#000000">
            <v:stroke dashstyle="solid"/>
            <w10:wrap type="none"/>
          </v:line>
        </w:pict>
      </w:r>
      <w:r>
        <w:rPr>
          <w:color w:val="363636"/>
          <w:position w:val="1"/>
          <w:sz w:val="27"/>
        </w:rPr>
        <w:t>答辩委员会主席 </w:t>
      </w:r>
      <w:r>
        <w:rPr>
          <w:color w:val="151515"/>
          <w:w w:val="80"/>
          <w:position w:val="1"/>
          <w:sz w:val="27"/>
        </w:rPr>
        <w:t>： </w:t>
      </w:r>
      <w:r>
        <w:rPr>
          <w:color w:val="242424"/>
          <w:position w:val="1"/>
          <w:sz w:val="26"/>
        </w:rPr>
        <w:t>问龙海 </w:t>
      </w:r>
      <w:r>
        <w:rPr>
          <w:color w:val="363636"/>
          <w:sz w:val="30"/>
        </w:rPr>
        <w:t>塾笣浙江芦望</w:t>
      </w:r>
    </w:p>
    <w:p>
      <w:pPr>
        <w:tabs>
          <w:tab w:pos="4760" w:val="left" w:leader="none"/>
        </w:tabs>
        <w:spacing w:line="345" w:lineRule="auto" w:before="53"/>
        <w:ind w:left="3226" w:right="2860" w:firstLine="0"/>
        <w:jc w:val="both"/>
        <w:rPr>
          <w:sz w:val="27"/>
        </w:rPr>
      </w:pPr>
      <w:r>
        <w:rPr>
          <w:color w:val="363636"/>
          <w:position w:val="1"/>
          <w:sz w:val="27"/>
        </w:rPr>
        <w:t>委员</w:t>
      </w:r>
      <w:r>
        <w:rPr>
          <w:color w:val="363636"/>
          <w:spacing w:val="-52"/>
          <w:position w:val="1"/>
          <w:sz w:val="27"/>
        </w:rPr>
        <w:t> </w:t>
      </w:r>
      <w:r>
        <w:rPr>
          <w:rFonts w:ascii="Times New Roman" w:eastAsia="Times New Roman"/>
          <w:color w:val="151515"/>
          <w:position w:val="1"/>
          <w:sz w:val="25"/>
        </w:rPr>
        <w:t>1</w:t>
      </w:r>
      <w:r>
        <w:rPr>
          <w:rFonts w:ascii="Times New Roman" w:eastAsia="Times New Roman"/>
          <w:color w:val="151515"/>
          <w:spacing w:val="-33"/>
          <w:position w:val="1"/>
          <w:sz w:val="25"/>
        </w:rPr>
        <w:t> </w:t>
      </w:r>
      <w:r>
        <w:rPr>
          <w:rFonts w:ascii="Times New Roman" w:eastAsia="Times New Roman"/>
          <w:color w:val="151515"/>
          <w:position w:val="1"/>
          <w:sz w:val="25"/>
        </w:rPr>
        <w:t>:</w:t>
        <w:tab/>
      </w:r>
      <w:r>
        <w:rPr>
          <w:color w:val="363636"/>
          <w:sz w:val="26"/>
        </w:rPr>
        <w:t>差亚平数授  </w:t>
      </w:r>
      <w:r>
        <w:rPr>
          <w:color w:val="363636"/>
          <w:spacing w:val="77"/>
          <w:sz w:val="26"/>
        </w:rPr>
        <w:t> </w:t>
      </w:r>
      <w:r>
        <w:rPr>
          <w:color w:val="242424"/>
          <w:sz w:val="27"/>
        </w:rPr>
        <w:t>姐州师范么艺</w:t>
      </w:r>
      <w:r>
        <w:rPr>
          <w:color w:val="363636"/>
          <w:sz w:val="27"/>
        </w:rPr>
        <w:t>委员</w:t>
      </w:r>
      <w:r>
        <w:rPr>
          <w:color w:val="363636"/>
          <w:spacing w:val="-35"/>
          <w:sz w:val="27"/>
        </w:rPr>
        <w:t> </w:t>
      </w:r>
      <w:r>
        <w:rPr>
          <w:rFonts w:ascii="Times New Roman" w:eastAsia="Times New Roman"/>
          <w:color w:val="151515"/>
          <w:sz w:val="26"/>
        </w:rPr>
        <w:t>2:</w:t>
        <w:tab/>
      </w:r>
      <w:r>
        <w:rPr>
          <w:color w:val="242424"/>
          <w:position w:val="1"/>
          <w:sz w:val="26"/>
        </w:rPr>
        <w:t>张伟平教投  </w:t>
      </w:r>
      <w:r>
        <w:rPr>
          <w:color w:val="242424"/>
          <w:spacing w:val="86"/>
          <w:position w:val="1"/>
          <w:sz w:val="26"/>
        </w:rPr>
        <w:t> </w:t>
      </w:r>
      <w:r>
        <w:rPr>
          <w:color w:val="363636"/>
          <w:position w:val="1"/>
          <w:sz w:val="27"/>
          <w:u w:val="thick" w:color="363636"/>
        </w:rPr>
        <w:t>杭州师范大学</w:t>
      </w:r>
      <w:r>
        <w:rPr>
          <w:color w:val="363636"/>
          <w:sz w:val="27"/>
        </w:rPr>
        <w:t>委员</w:t>
      </w:r>
      <w:r>
        <w:rPr>
          <w:color w:val="363636"/>
          <w:spacing w:val="-21"/>
          <w:sz w:val="27"/>
        </w:rPr>
        <w:t> </w:t>
      </w:r>
      <w:r>
        <w:rPr>
          <w:rFonts w:ascii="Times New Roman" w:eastAsia="Times New Roman"/>
          <w:color w:val="151515"/>
          <w:sz w:val="26"/>
        </w:rPr>
        <w:t>3:</w:t>
      </w:r>
      <w:r>
        <w:rPr>
          <w:rFonts w:ascii="Times New Roman" w:eastAsia="Times New Roman"/>
          <w:color w:val="242424"/>
          <w:spacing w:val="12"/>
          <w:position w:val="1"/>
          <w:sz w:val="26"/>
          <w:u w:val="single" w:color="000000"/>
        </w:rPr>
        <w:t> </w:t>
      </w:r>
      <w:r>
        <w:rPr>
          <w:color w:val="242424"/>
          <w:position w:val="1"/>
          <w:sz w:val="26"/>
          <w:u w:val="single" w:color="000000"/>
        </w:rPr>
        <w:t>王强</w:t>
      </w:r>
      <w:r>
        <w:rPr>
          <w:color w:val="242424"/>
          <w:spacing w:val="123"/>
          <w:position w:val="1"/>
          <w:sz w:val="26"/>
        </w:rPr>
        <w:t> </w:t>
      </w:r>
      <w:r>
        <w:rPr>
          <w:color w:val="363636"/>
          <w:position w:val="2"/>
          <w:sz w:val="26"/>
          <w:u w:val="thick" w:color="363636"/>
        </w:rPr>
        <w:t>教授</w:t>
      </w:r>
      <w:r>
        <w:rPr>
          <w:color w:val="363636"/>
          <w:spacing w:val="128"/>
          <w:position w:val="2"/>
          <w:sz w:val="26"/>
        </w:rPr>
        <w:t> </w:t>
      </w:r>
      <w:r>
        <w:rPr>
          <w:color w:val="242424"/>
          <w:position w:val="2"/>
          <w:sz w:val="27"/>
          <w:u w:val="thick" w:color="242424"/>
        </w:rPr>
        <w:t>杭州师范大</w:t>
      </w:r>
      <w:r>
        <w:rPr>
          <w:color w:val="242424"/>
          <w:spacing w:val="-108"/>
          <w:position w:val="2"/>
          <w:sz w:val="27"/>
          <w:u w:val="thick" w:color="242424"/>
        </w:rPr>
        <w:t>学</w:t>
      </w:r>
    </w:p>
    <w:p>
      <w:pPr>
        <w:tabs>
          <w:tab w:pos="4751" w:val="left" w:leader="none"/>
        </w:tabs>
        <w:spacing w:line="316" w:lineRule="auto" w:before="36"/>
        <w:ind w:left="3231" w:right="2860" w:firstLine="4"/>
        <w:jc w:val="both"/>
        <w:rPr>
          <w:rFonts w:ascii="Times New Roman" w:eastAsia="Times New Roman"/>
          <w:sz w:val="26"/>
        </w:rPr>
      </w:pPr>
      <w:r>
        <w:rPr/>
        <w:pict>
          <v:line style="position:absolute;mso-position-horizontal-relative:page;mso-position-vertical-relative:paragraph;z-index:-257900544" from="243.234848pt,24.267601pt" to="441.764482pt,24.267601pt" stroked="true" strokeweight=".240259pt" strokecolor="#000000">
            <v:stroke dashstyle="solid"/>
            <w10:wrap type="none"/>
          </v:line>
        </w:pict>
      </w:r>
      <w:r>
        <w:rPr>
          <w:color w:val="363636"/>
          <w:position w:val="4"/>
          <w:sz w:val="27"/>
        </w:rPr>
        <w:t>委员</w:t>
      </w:r>
      <w:r>
        <w:rPr>
          <w:color w:val="363636"/>
          <w:spacing w:val="-43"/>
          <w:position w:val="4"/>
          <w:sz w:val="27"/>
        </w:rPr>
        <w:t> </w:t>
      </w:r>
      <w:r>
        <w:rPr>
          <w:rFonts w:ascii="Times New Roman" w:eastAsia="Times New Roman"/>
          <w:color w:val="151515"/>
          <w:position w:val="4"/>
          <w:sz w:val="25"/>
        </w:rPr>
        <w:t>4:</w:t>
        <w:tab/>
      </w:r>
      <w:r>
        <w:rPr>
          <w:color w:val="242424"/>
          <w:sz w:val="27"/>
        </w:rPr>
        <w:t>岂庭售进师  </w:t>
      </w:r>
      <w:r>
        <w:rPr>
          <w:color w:val="242424"/>
          <w:spacing w:val="70"/>
          <w:sz w:val="27"/>
        </w:rPr>
        <w:t> </w:t>
      </w:r>
      <w:r>
        <w:rPr>
          <w:color w:val="242424"/>
          <w:sz w:val="27"/>
        </w:rPr>
        <w:t>尪抖师范盂</w:t>
      </w:r>
      <w:r>
        <w:rPr>
          <w:color w:val="242424"/>
          <w:spacing w:val="-18"/>
          <w:sz w:val="27"/>
        </w:rPr>
        <w:t>学</w:t>
      </w:r>
      <w:r>
        <w:rPr>
          <w:color w:val="363636"/>
          <w:sz w:val="27"/>
        </w:rPr>
        <w:t>委员</w:t>
      </w:r>
      <w:r>
        <w:rPr>
          <w:color w:val="363636"/>
          <w:spacing w:val="-32"/>
          <w:sz w:val="27"/>
        </w:rPr>
        <w:t> </w:t>
      </w:r>
      <w:r>
        <w:rPr>
          <w:rFonts w:ascii="Times New Roman" w:eastAsia="Times New Roman"/>
          <w:color w:val="151515"/>
          <w:sz w:val="26"/>
        </w:rPr>
        <w:t>5:</w:t>
      </w:r>
    </w:p>
    <w:p>
      <w:pPr>
        <w:pStyle w:val="BodyText"/>
        <w:rPr>
          <w:rFonts w:ascii="Times New Roman"/>
          <w:sz w:val="28"/>
        </w:rPr>
      </w:pPr>
    </w:p>
    <w:p>
      <w:pPr>
        <w:pStyle w:val="BodyText"/>
        <w:rPr>
          <w:rFonts w:ascii="Times New Roman"/>
          <w:sz w:val="28"/>
        </w:rPr>
      </w:pPr>
    </w:p>
    <w:p>
      <w:pPr>
        <w:pStyle w:val="BodyText"/>
        <w:rPr>
          <w:rFonts w:ascii="Times New Roman"/>
          <w:sz w:val="28"/>
        </w:rPr>
      </w:pPr>
    </w:p>
    <w:p>
      <w:pPr>
        <w:pStyle w:val="BodyText"/>
        <w:spacing w:before="1"/>
        <w:rPr>
          <w:rFonts w:ascii="Times New Roman"/>
          <w:sz w:val="26"/>
        </w:rPr>
      </w:pPr>
    </w:p>
    <w:p>
      <w:pPr>
        <w:tabs>
          <w:tab w:pos="1716" w:val="left" w:leader="none"/>
        </w:tabs>
        <w:spacing w:before="0"/>
        <w:ind w:left="0" w:right="313" w:firstLine="0"/>
        <w:jc w:val="center"/>
        <w:rPr>
          <w:sz w:val="25"/>
        </w:rPr>
      </w:pPr>
      <w:r>
        <w:rPr>
          <w:color w:val="363636"/>
          <w:w w:val="93"/>
          <w:sz w:val="25"/>
        </w:rPr>
        <w:t>答辩日期：</w:t>
      </w:r>
      <w:r>
        <w:rPr>
          <w:color w:val="363636"/>
          <w:sz w:val="25"/>
        </w:rPr>
        <w:tab/>
      </w:r>
      <w:r>
        <w:rPr>
          <w:rFonts w:ascii="Arial" w:eastAsia="Arial"/>
          <w:color w:val="363636"/>
          <w:spacing w:val="-13"/>
          <w:w w:val="93"/>
          <w:sz w:val="31"/>
        </w:rPr>
        <w:t>2</w:t>
      </w:r>
      <w:r>
        <w:rPr>
          <w:rFonts w:ascii="Arial" w:eastAsia="Arial"/>
          <w:color w:val="6E6E6E"/>
          <w:spacing w:val="-40"/>
          <w:w w:val="29"/>
          <w:sz w:val="31"/>
        </w:rPr>
        <w:t>_</w:t>
      </w:r>
      <w:r>
        <w:rPr>
          <w:rFonts w:ascii="Arial" w:eastAsia="Arial"/>
          <w:color w:val="242424"/>
          <w:spacing w:val="-29"/>
          <w:w w:val="65"/>
          <w:sz w:val="31"/>
        </w:rPr>
        <w:t>Q</w:t>
      </w:r>
      <w:r>
        <w:rPr>
          <w:rFonts w:ascii="Arial" w:eastAsia="Arial"/>
          <w:color w:val="242424"/>
          <w:spacing w:val="-41"/>
          <w:w w:val="104"/>
          <w:sz w:val="31"/>
        </w:rPr>
        <w:t>1</w:t>
      </w:r>
      <w:r>
        <w:rPr>
          <w:rFonts w:ascii="Arial" w:eastAsia="Arial"/>
          <w:color w:val="242424"/>
          <w:spacing w:val="14"/>
          <w:w w:val="72"/>
          <w:sz w:val="31"/>
        </w:rPr>
        <w:t>7</w:t>
      </w:r>
      <w:r>
        <w:rPr>
          <w:color w:val="242424"/>
          <w:spacing w:val="8"/>
          <w:w w:val="103"/>
          <w:sz w:val="25"/>
        </w:rPr>
        <w:t>年</w:t>
      </w:r>
      <w:r>
        <w:rPr>
          <w:rFonts w:ascii="Times New Roman" w:eastAsia="Times New Roman"/>
          <w:color w:val="242424"/>
          <w:spacing w:val="8"/>
          <w:w w:val="96"/>
          <w:sz w:val="28"/>
        </w:rPr>
        <w:t>5</w:t>
      </w:r>
      <w:r>
        <w:rPr>
          <w:color w:val="242424"/>
          <w:spacing w:val="13"/>
          <w:w w:val="104"/>
          <w:sz w:val="24"/>
        </w:rPr>
        <w:t>月</w:t>
      </w:r>
      <w:r>
        <w:rPr>
          <w:rFonts w:ascii="Times New Roman" w:eastAsia="Times New Roman"/>
          <w:color w:val="242424"/>
          <w:w w:val="88"/>
          <w:sz w:val="28"/>
        </w:rPr>
        <w:t>2</w:t>
      </w:r>
      <w:r>
        <w:rPr>
          <w:rFonts w:ascii="Times New Roman" w:eastAsia="Times New Roman"/>
          <w:color w:val="242424"/>
          <w:spacing w:val="13"/>
          <w:w w:val="88"/>
          <w:sz w:val="28"/>
        </w:rPr>
        <w:t>6</w:t>
      </w:r>
      <w:r>
        <w:rPr>
          <w:color w:val="242424"/>
          <w:w w:val="108"/>
          <w:sz w:val="25"/>
        </w:rPr>
        <w:t>日</w:t>
      </w:r>
    </w:p>
    <w:p>
      <w:pPr>
        <w:spacing w:after="0"/>
        <w:jc w:val="center"/>
        <w:rPr>
          <w:sz w:val="25"/>
        </w:rPr>
        <w:sectPr>
          <w:footerReference w:type="default" r:id="rId9"/>
          <w:pgSz w:w="11910" w:h="16840"/>
          <w:pgMar w:footer="911" w:header="0" w:top="1580" w:bottom="1100" w:left="480" w:right="216"/>
        </w:sectPr>
      </w:pPr>
    </w:p>
    <w:p>
      <w:pPr>
        <w:pStyle w:val="BodyText"/>
        <w:rPr>
          <w:sz w:val="20"/>
        </w:rPr>
      </w:pPr>
    </w:p>
    <w:p>
      <w:pPr>
        <w:pStyle w:val="BodyText"/>
        <w:rPr>
          <w:sz w:val="20"/>
        </w:rPr>
      </w:pPr>
    </w:p>
    <w:p>
      <w:pPr>
        <w:pStyle w:val="BodyText"/>
        <w:spacing w:before="2"/>
        <w:rPr>
          <w:sz w:val="29"/>
        </w:rPr>
      </w:pPr>
    </w:p>
    <w:p>
      <w:pPr>
        <w:spacing w:before="55"/>
        <w:ind w:left="0" w:right="413" w:firstLine="0"/>
        <w:jc w:val="center"/>
        <w:rPr>
          <w:sz w:val="32"/>
        </w:rPr>
      </w:pPr>
      <w:r>
        <w:rPr>
          <w:color w:val="565656"/>
          <w:sz w:val="32"/>
        </w:rPr>
        <w:t>杭</w:t>
      </w:r>
      <w:r>
        <w:rPr>
          <w:color w:val="3D3D3D"/>
          <w:sz w:val="32"/>
        </w:rPr>
        <w:t>州</w:t>
      </w:r>
      <w:r>
        <w:rPr>
          <w:color w:val="565656"/>
          <w:sz w:val="32"/>
        </w:rPr>
        <w:t>师范大学研究生学位论文独创性声明</w:t>
      </w:r>
    </w:p>
    <w:p>
      <w:pPr>
        <w:pStyle w:val="BodyText"/>
        <w:rPr>
          <w:sz w:val="32"/>
        </w:rPr>
      </w:pPr>
    </w:p>
    <w:p>
      <w:pPr>
        <w:pStyle w:val="BodyText"/>
        <w:spacing w:before="5"/>
        <w:rPr>
          <w:sz w:val="41"/>
        </w:rPr>
      </w:pPr>
    </w:p>
    <w:p>
      <w:pPr>
        <w:spacing w:line="432" w:lineRule="auto" w:before="0"/>
        <w:ind w:left="1516" w:right="1905" w:firstLine="499"/>
        <w:jc w:val="both"/>
        <w:rPr>
          <w:sz w:val="20"/>
        </w:rPr>
      </w:pPr>
      <w:r>
        <w:rPr/>
        <w:pict>
          <v:shape style="position:absolute;margin-left:453.55542pt;margin-top:153.47168pt;width:25.25pt;height:13.55pt;mso-position-horizontal-relative:page;mso-position-vertical-relative:paragraph;z-index:251665408" type="#_x0000_t202" filled="false" stroked="false">
            <v:textbox inset="0,0,0,0" style="layout-flow:vertical-ideographic">
              <w:txbxContent>
                <w:p>
                  <w:pPr>
                    <w:spacing w:line="168" w:lineRule="auto" w:before="0"/>
                    <w:ind w:left="50" w:right="0" w:firstLine="0"/>
                    <w:jc w:val="left"/>
                    <w:rPr>
                      <w:sz w:val="20"/>
                    </w:rPr>
                  </w:pPr>
                  <w:r>
                    <w:rPr>
                      <w:color w:val="696969"/>
                      <w:w w:val="100"/>
                      <w:sz w:val="20"/>
                    </w:rPr>
                    <w:t>日</w:t>
                  </w:r>
                </w:p>
                <w:p>
                  <w:pPr>
                    <w:spacing w:before="124"/>
                    <w:ind w:left="20" w:right="0" w:firstLine="0"/>
                    <w:jc w:val="left"/>
                    <w:rPr>
                      <w:sz w:val="6"/>
                    </w:rPr>
                  </w:pPr>
                  <w:r>
                    <w:rPr>
                      <w:color w:val="3D3D3D"/>
                      <w:w w:val="99"/>
                      <w:position w:val="2"/>
                      <w:sz w:val="12"/>
                    </w:rPr>
                    <w:t>勺</w:t>
                  </w:r>
                  <w:r>
                    <w:rPr>
                      <w:color w:val="565656"/>
                      <w:w w:val="99"/>
                      <w:sz w:val="6"/>
                    </w:rPr>
                    <w:t>V</w:t>
                  </w:r>
                </w:p>
              </w:txbxContent>
            </v:textbox>
            <w10:wrap type="none"/>
          </v:shape>
        </w:pict>
      </w:r>
      <w:r>
        <w:rPr/>
        <w:pict>
          <v:shape style="position:absolute;margin-left:417.359619pt;margin-top:146.339081pt;width:43.2pt;height:22.75pt;mso-position-horizontal-relative:page;mso-position-vertical-relative:paragraph;z-index:251666432" type="#_x0000_t202" filled="false" stroked="false">
            <v:textbox inset="0,0,0,0" style="layout-flow:vertical-ideographic">
              <w:txbxContent>
                <w:p>
                  <w:pPr>
                    <w:pStyle w:val="BodyText"/>
                    <w:spacing w:line="168" w:lineRule="auto"/>
                    <w:ind w:left="20"/>
                  </w:pPr>
                  <w:r>
                    <w:rPr>
                      <w:color w:val="3D3D3D"/>
                      <w:spacing w:val="-67"/>
                      <w:w w:val="100"/>
                      <w:position w:val="-6"/>
                    </w:rPr>
                    <w:t>？</w:t>
                  </w:r>
                  <w:r>
                    <w:rPr>
                      <w:color w:val="565656"/>
                      <w:w w:val="100"/>
                    </w:rPr>
                    <w:t>丿</w:t>
                  </w:r>
                </w:p>
                <w:p>
                  <w:pPr>
                    <w:spacing w:line="240" w:lineRule="auto" w:before="0"/>
                    <w:ind w:left="194" w:right="0" w:firstLine="0"/>
                    <w:jc w:val="left"/>
                    <w:rPr>
                      <w:sz w:val="20"/>
                    </w:rPr>
                  </w:pPr>
                  <w:r>
                    <w:rPr>
                      <w:color w:val="696969"/>
                      <w:w w:val="100"/>
                      <w:sz w:val="20"/>
                    </w:rPr>
                    <w:t>月</w:t>
                  </w:r>
                </w:p>
                <w:p>
                  <w:pPr>
                    <w:pStyle w:val="BodyText"/>
                    <w:ind w:left="23"/>
                  </w:pPr>
                  <w:r>
                    <w:rPr>
                      <w:color w:val="565656"/>
                      <w:spacing w:val="-131"/>
                      <w:w w:val="100"/>
                      <w:position w:val="-1"/>
                    </w:rPr>
                    <w:t>\</w:t>
                  </w:r>
                  <w:r>
                    <w:rPr>
                      <w:color w:val="565656"/>
                      <w:w w:val="100"/>
                    </w:rPr>
                    <w:t>­</w:t>
                  </w:r>
                </w:p>
              </w:txbxContent>
            </v:textbox>
            <w10:wrap type="none"/>
          </v:shape>
        </w:pict>
      </w:r>
      <w:r>
        <w:rPr/>
        <w:pict>
          <v:shape style="position:absolute;margin-left:379.092926pt;margin-top:142.599182pt;width:29.3pt;height:26.05pt;mso-position-horizontal-relative:page;mso-position-vertical-relative:paragraph;z-index:251667456" type="#_x0000_t202" filled="false" stroked="false">
            <v:textbox inset="0,0,0,0" style="layout-flow:vertical-ideographic">
              <w:txbxContent>
                <w:p>
                  <w:pPr>
                    <w:spacing w:before="0"/>
                    <w:ind w:left="266" w:right="0" w:firstLine="0"/>
                    <w:jc w:val="left"/>
                    <w:rPr>
                      <w:sz w:val="20"/>
                    </w:rPr>
                  </w:pPr>
                  <w:r>
                    <w:rPr>
                      <w:color w:val="696969"/>
                      <w:w w:val="100"/>
                      <w:sz w:val="20"/>
                    </w:rPr>
                    <w:t>年</w:t>
                  </w:r>
                </w:p>
                <w:p>
                  <w:pPr>
                    <w:spacing w:line="156" w:lineRule="auto" w:before="0"/>
                    <w:ind w:left="20" w:right="0" w:firstLine="0"/>
                    <w:jc w:val="left"/>
                    <w:rPr>
                      <w:sz w:val="48"/>
                    </w:rPr>
                  </w:pPr>
                  <w:r>
                    <w:rPr>
                      <w:color w:val="565656"/>
                      <w:w w:val="100"/>
                      <w:sz w:val="48"/>
                    </w:rPr>
                    <w:t>7</w:t>
                  </w:r>
                </w:p>
              </w:txbxContent>
            </v:textbox>
            <w10:wrap type="none"/>
          </v:shape>
        </w:pict>
      </w:r>
      <w:r>
        <w:rPr/>
        <w:pict>
          <v:shape style="position:absolute;margin-left:324.424164pt;margin-top:150.124680pt;width:42.65pt;height:24.2pt;mso-position-horizontal-relative:page;mso-position-vertical-relative:paragraph;z-index:251668480" type="#_x0000_t202" filled="false" stroked="false">
            <v:textbox inset="0,0,0,0" style="layout-flow:vertical-ideographic">
              <w:txbxContent>
                <w:p>
                  <w:pPr>
                    <w:spacing w:line="132" w:lineRule="auto" w:before="0"/>
                    <w:ind w:left="107" w:right="0" w:firstLine="0"/>
                    <w:jc w:val="left"/>
                    <w:rPr>
                      <w:sz w:val="33"/>
                    </w:rPr>
                  </w:pPr>
                  <w:r>
                    <w:rPr>
                      <w:color w:val="3D3D3D"/>
                      <w:w w:val="100"/>
                      <w:sz w:val="33"/>
                    </w:rPr>
                    <w:t>必</w:t>
                  </w:r>
                </w:p>
                <w:p>
                  <w:pPr>
                    <w:spacing w:line="187" w:lineRule="auto" w:before="44"/>
                    <w:ind w:left="118" w:right="18" w:firstLine="145"/>
                    <w:jc w:val="left"/>
                    <w:rPr>
                      <w:sz w:val="20"/>
                    </w:rPr>
                  </w:pPr>
                  <w:r>
                    <w:rPr>
                      <w:imprint/>
                      <w:color w:val="3D3D3D"/>
                      <w:w w:val="100"/>
                      <w:sz w:val="20"/>
                    </w:rPr>
                    <w:t>．</w:t>
                  </w:r>
                  <w:r>
                    <w:rPr>
                      <w:shadow w:val="0"/>
                      <w:color w:val="696969"/>
                      <w:w w:val="100"/>
                      <w:sz w:val="20"/>
                    </w:rPr>
                    <w:t>期</w:t>
                  </w:r>
                </w:p>
                <w:p>
                  <w:pPr>
                    <w:spacing w:line="108" w:lineRule="auto" w:before="0"/>
                    <w:ind w:left="20" w:right="0" w:firstLine="0"/>
                    <w:jc w:val="left"/>
                    <w:rPr>
                      <w:sz w:val="27"/>
                    </w:rPr>
                  </w:pPr>
                  <w:r>
                    <w:rPr>
                      <w:color w:val="565656"/>
                      <w:w w:val="100"/>
                      <w:sz w:val="27"/>
                    </w:rPr>
                    <w:t>H</w:t>
                  </w:r>
                </w:p>
              </w:txbxContent>
            </v:textbox>
            <w10:wrap type="none"/>
          </v:shape>
        </w:pict>
      </w:r>
      <w:r>
        <w:rPr/>
        <w:pict>
          <v:shape style="position:absolute;margin-left:295.64621pt;margin-top:155.178085pt;width:23.1pt;height:12.25pt;mso-position-horizontal-relative:page;mso-position-vertical-relative:paragraph;z-index:251669504" type="#_x0000_t202" filled="false" stroked="false">
            <v:textbox inset="0,0,0,0" style="layout-flow:vertical-ideographic">
              <w:txbxContent>
                <w:p>
                  <w:pPr>
                    <w:spacing w:line="132" w:lineRule="auto" w:before="0"/>
                    <w:ind w:left="20" w:right="0" w:firstLine="0"/>
                    <w:jc w:val="left"/>
                    <w:rPr>
                      <w:sz w:val="20"/>
                    </w:rPr>
                  </w:pPr>
                  <w:r>
                    <w:rPr>
                      <w:color w:val="696969"/>
                      <w:w w:val="100"/>
                      <w:sz w:val="20"/>
                    </w:rPr>
                    <w:t>字</w:t>
                  </w:r>
                </w:p>
                <w:p>
                  <w:pPr>
                    <w:spacing w:before="0"/>
                    <w:ind w:left="24" w:right="0" w:firstLine="0"/>
                    <w:jc w:val="left"/>
                    <w:rPr>
                      <w:sz w:val="20"/>
                    </w:rPr>
                  </w:pPr>
                  <w:r>
                    <w:rPr>
                      <w:color w:val="696969"/>
                      <w:w w:val="100"/>
                      <w:sz w:val="20"/>
                    </w:rPr>
                    <w:t>签</w:t>
                  </w:r>
                </w:p>
              </w:txbxContent>
            </v:textbox>
            <w10:wrap type="none"/>
          </v:shape>
        </w:pict>
      </w:r>
      <w:r>
        <w:rPr/>
        <w:pict>
          <v:shape style="position:absolute;margin-left:254.883575pt;margin-top:138.835876pt;width:33.2pt;height:52.5pt;mso-position-horizontal-relative:page;mso-position-vertical-relative:paragraph;z-index:251670528" type="#_x0000_t202" filled="false" stroked="false">
            <v:textbox inset="0,0,0,0" style="layout-flow:vertical-ideographic">
              <w:txbxContent>
                <w:p>
                  <w:pPr>
                    <w:spacing w:line="168" w:lineRule="auto" w:before="0"/>
                    <w:ind w:left="20" w:right="0" w:firstLine="0"/>
                    <w:jc w:val="left"/>
                    <w:rPr>
                      <w:sz w:val="51"/>
                    </w:rPr>
                  </w:pPr>
                  <w:r>
                    <w:rPr>
                      <w:color w:val="565656"/>
                      <w:w w:val="100"/>
                      <w:position w:val="-10"/>
                      <w:sz w:val="51"/>
                    </w:rPr>
                    <w:t>占</w:t>
                  </w:r>
                  <w:r>
                    <w:rPr>
                      <w:color w:val="565656"/>
                      <w:w w:val="100"/>
                      <w:sz w:val="51"/>
                    </w:rPr>
                    <w:t>）</w:t>
                  </w:r>
                </w:p>
              </w:txbxContent>
            </v:textbox>
            <w10:wrap type="none"/>
          </v:shape>
        </w:pict>
      </w:r>
      <w:r>
        <w:rPr/>
        <w:pict>
          <v:shape style="position:absolute;margin-left:215.619614pt;margin-top:143.768677pt;width:45.1pt;height:31.1pt;mso-position-horizontal-relative:page;mso-position-vertical-relative:paragraph;z-index:251671552" type="#_x0000_t202" filled="false" stroked="false">
            <v:textbox inset="0,0,0,0" style="layout-flow:vertical-ideographic">
              <w:txbxContent>
                <w:p>
                  <w:pPr>
                    <w:spacing w:line="168" w:lineRule="auto" w:before="0"/>
                    <w:ind w:left="20" w:right="0" w:firstLine="0"/>
                    <w:jc w:val="left"/>
                    <w:rPr>
                      <w:sz w:val="45"/>
                    </w:rPr>
                  </w:pPr>
                  <w:r>
                    <w:rPr>
                      <w:color w:val="565656"/>
                      <w:spacing w:val="-651"/>
                      <w:w w:val="100"/>
                      <w:position w:val="-24"/>
                      <w:sz w:val="78"/>
                    </w:rPr>
                    <w:t>气</w:t>
                  </w:r>
                  <w:r>
                    <w:rPr>
                      <w:color w:val="565656"/>
                      <w:w w:val="100"/>
                      <w:sz w:val="45"/>
                    </w:rPr>
                    <w:t>私</w:t>
                  </w:r>
                </w:p>
              </w:txbxContent>
            </v:textbox>
            <w10:wrap type="none"/>
          </v:shape>
        </w:pict>
      </w:r>
      <w:r>
        <w:rPr/>
        <w:pict>
          <v:shape style="position:absolute;margin-left:122.723526pt;margin-top:155.069183pt;width:103.55pt;height:19.75pt;mso-position-horizontal-relative:page;mso-position-vertical-relative:paragraph;z-index:251672576" type="#_x0000_t202" filled="false" stroked="false">
            <v:textbox inset="0,0,0,0" style="layout-flow:vertical-ideographic">
              <w:txbxContent>
                <w:p>
                  <w:pPr>
                    <w:spacing w:line="120" w:lineRule="auto" w:before="0"/>
                    <w:ind w:left="164" w:right="0" w:firstLine="0"/>
                    <w:jc w:val="left"/>
                    <w:rPr>
                      <w:sz w:val="20"/>
                    </w:rPr>
                  </w:pPr>
                  <w:r>
                    <w:rPr>
                      <w:color w:val="3D3D3D"/>
                      <w:spacing w:val="-192"/>
                      <w:w w:val="100"/>
                      <w:position w:val="-5"/>
                      <w:sz w:val="20"/>
                    </w:rPr>
                    <w:t>．</w:t>
                  </w:r>
                  <w:r>
                    <w:rPr>
                      <w:color w:val="565656"/>
                      <w:w w:val="100"/>
                      <w:sz w:val="20"/>
                    </w:rPr>
                    <w:t>蠡</w:t>
                  </w:r>
                </w:p>
                <w:p>
                  <w:pPr>
                    <w:spacing w:line="206" w:lineRule="auto" w:before="29"/>
                    <w:ind w:left="20" w:right="155" w:firstLine="1"/>
                    <w:jc w:val="both"/>
                    <w:rPr>
                      <w:sz w:val="21"/>
                    </w:rPr>
                  </w:pPr>
                  <w:r>
                    <w:rPr>
                      <w:color w:val="696969"/>
                      <w:w w:val="100"/>
                      <w:sz w:val="21"/>
                    </w:rPr>
                    <w:t>名签</w:t>
                  </w:r>
                  <w:r>
                    <w:rPr>
                      <w:color w:val="696969"/>
                      <w:w w:val="100"/>
                      <w:sz w:val="20"/>
                    </w:rPr>
                    <w:t>者作</w:t>
                  </w:r>
                  <w:r>
                    <w:rPr>
                      <w:color w:val="696969"/>
                      <w:w w:val="100"/>
                      <w:sz w:val="21"/>
                    </w:rPr>
                    <w:t>文</w:t>
                  </w:r>
                  <w:r>
                    <w:rPr>
                      <w:color w:val="565656"/>
                      <w:w w:val="100"/>
                      <w:sz w:val="20"/>
                    </w:rPr>
                    <w:t>论</w:t>
                  </w:r>
                  <w:r>
                    <w:rPr>
                      <w:color w:val="696969"/>
                      <w:w w:val="100"/>
                      <w:sz w:val="20"/>
                    </w:rPr>
                    <w:t>位</w:t>
                  </w:r>
                  <w:r>
                    <w:rPr>
                      <w:color w:val="696969"/>
                      <w:w w:val="100"/>
                      <w:sz w:val="21"/>
                    </w:rPr>
                    <w:t>学</w:t>
                  </w:r>
                </w:p>
              </w:txbxContent>
            </v:textbox>
            <w10:wrap type="none"/>
          </v:shape>
        </w:pict>
      </w:r>
      <w:r>
        <w:rPr>
          <w:color w:val="565656"/>
          <w:w w:val="105"/>
          <w:sz w:val="20"/>
        </w:rPr>
        <w:t>本人</w:t>
      </w:r>
      <w:r>
        <w:rPr>
          <w:color w:val="7E7E7E"/>
          <w:w w:val="105"/>
          <w:sz w:val="20"/>
        </w:rPr>
        <w:t>声</w:t>
      </w:r>
      <w:r>
        <w:rPr>
          <w:color w:val="565656"/>
          <w:w w:val="105"/>
          <w:sz w:val="20"/>
        </w:rPr>
        <w:t>明所呈交的学位论文是本人在导师指导下进行的研究丁作及取得的 </w:t>
      </w:r>
      <w:r>
        <w:rPr>
          <w:color w:val="565656"/>
          <w:w w:val="110"/>
          <w:sz w:val="20"/>
        </w:rPr>
        <w:t>研究成果。除了文中特别加以标注和致谢的地方外，论文中不包含其他人已经发表或撰写过的研究成果</w:t>
      </w:r>
      <w:r>
        <w:rPr>
          <w:color w:val="565656"/>
          <w:w w:val="90"/>
          <w:sz w:val="20"/>
        </w:rPr>
        <w:t>， </w:t>
      </w:r>
      <w:r>
        <w:rPr>
          <w:color w:val="565656"/>
          <w:w w:val="110"/>
          <w:sz w:val="20"/>
        </w:rPr>
        <w:t>也不包含为获得 </w:t>
      </w:r>
      <w:r>
        <w:rPr>
          <w:color w:val="3D3D3D"/>
          <w:w w:val="110"/>
          <w:sz w:val="20"/>
        </w:rPr>
        <w:t>杭洲 师范大学 </w:t>
      </w:r>
      <w:r>
        <w:rPr>
          <w:color w:val="565656"/>
          <w:w w:val="110"/>
          <w:sz w:val="20"/>
        </w:rPr>
        <w:t>或其他教育机构的</w:t>
      </w:r>
      <w:r>
        <w:rPr>
          <w:color w:val="696969"/>
          <w:w w:val="105"/>
          <w:sz w:val="20"/>
        </w:rPr>
        <w:t>学位或证书而使用过的材料。与我</w:t>
      </w:r>
      <w:r>
        <w:rPr>
          <w:color w:val="A1A1A1"/>
          <w:w w:val="105"/>
          <w:sz w:val="20"/>
        </w:rPr>
        <w:t>一</w:t>
      </w:r>
      <w:r>
        <w:rPr>
          <w:color w:val="696969"/>
          <w:w w:val="105"/>
          <w:sz w:val="20"/>
        </w:rPr>
        <w:t>同工作的同志对本研究所做的 任何贡献均已</w:t>
      </w:r>
      <w:r>
        <w:rPr>
          <w:color w:val="696969"/>
          <w:w w:val="110"/>
          <w:sz w:val="20"/>
        </w:rPr>
        <w:t>在论文中作了明确的说明并表示谢意。</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27"/>
        </w:rPr>
      </w:pPr>
    </w:p>
    <w:p>
      <w:pPr>
        <w:spacing w:before="55"/>
        <w:ind w:left="0" w:right="523" w:firstLine="0"/>
        <w:jc w:val="center"/>
        <w:rPr>
          <w:sz w:val="32"/>
        </w:rPr>
      </w:pPr>
      <w:r>
        <w:rPr>
          <w:color w:val="696969"/>
          <w:sz w:val="32"/>
        </w:rPr>
        <w:t>学位论文版权使用授权书</w:t>
      </w:r>
    </w:p>
    <w:p>
      <w:pPr>
        <w:pStyle w:val="BodyText"/>
        <w:rPr>
          <w:sz w:val="32"/>
        </w:rPr>
      </w:pPr>
    </w:p>
    <w:p>
      <w:pPr>
        <w:tabs>
          <w:tab w:pos="2381" w:val="left" w:leader="none"/>
          <w:tab w:pos="4694" w:val="left" w:leader="none"/>
          <w:tab w:pos="6524" w:val="left" w:leader="none"/>
        </w:tabs>
        <w:spacing w:line="352" w:lineRule="auto" w:before="262"/>
        <w:ind w:left="1484" w:right="2011" w:firstLine="512"/>
        <w:jc w:val="left"/>
        <w:rPr>
          <w:sz w:val="20"/>
        </w:rPr>
      </w:pPr>
      <w:r>
        <w:rPr>
          <w:color w:val="565656"/>
          <w:spacing w:val="10"/>
          <w:sz w:val="20"/>
        </w:rPr>
        <w:t>本</w:t>
      </w:r>
      <w:r>
        <w:rPr>
          <w:color w:val="565656"/>
          <w:sz w:val="20"/>
        </w:rPr>
        <w:t>学</w:t>
      </w:r>
      <w:r>
        <w:rPr>
          <w:color w:val="565656"/>
          <w:spacing w:val="29"/>
          <w:sz w:val="20"/>
        </w:rPr>
        <w:t>彴</w:t>
      </w:r>
      <w:r>
        <w:rPr>
          <w:color w:val="565656"/>
          <w:spacing w:val="7"/>
          <w:sz w:val="20"/>
        </w:rPr>
        <w:t>论</w:t>
      </w:r>
      <w:r>
        <w:rPr>
          <w:color w:val="565656"/>
          <w:sz w:val="20"/>
        </w:rPr>
        <w:t>文</w:t>
      </w:r>
      <w:r>
        <w:rPr>
          <w:color w:val="565656"/>
          <w:spacing w:val="15"/>
          <w:sz w:val="20"/>
        </w:rPr>
        <w:t>作</w:t>
      </w:r>
      <w:r>
        <w:rPr>
          <w:color w:val="565656"/>
          <w:spacing w:val="12"/>
          <w:sz w:val="20"/>
        </w:rPr>
        <w:t>者</w:t>
      </w:r>
      <w:r>
        <w:rPr>
          <w:color w:val="565656"/>
          <w:spacing w:val="13"/>
          <w:sz w:val="20"/>
        </w:rPr>
        <w:t>完</w:t>
      </w:r>
      <w:r>
        <w:rPr>
          <w:color w:val="565656"/>
          <w:spacing w:val="14"/>
          <w:sz w:val="20"/>
        </w:rPr>
        <w:t>全</w:t>
      </w:r>
      <w:r>
        <w:rPr>
          <w:color w:val="565656"/>
          <w:sz w:val="20"/>
        </w:rPr>
        <w:t>了解</w:t>
        <w:tab/>
      </w:r>
      <w:r>
        <w:rPr>
          <w:color w:val="3D3D3D"/>
          <w:sz w:val="20"/>
        </w:rPr>
        <w:t>杭</w:t>
      </w:r>
      <w:r>
        <w:rPr>
          <w:color w:val="3D3D3D"/>
          <w:w w:val="80"/>
          <w:sz w:val="20"/>
        </w:rPr>
        <w:t>，州</w:t>
      </w:r>
      <w:r>
        <w:rPr>
          <w:color w:val="3D3D3D"/>
          <w:spacing w:val="-39"/>
          <w:w w:val="80"/>
          <w:sz w:val="20"/>
        </w:rPr>
        <w:t> </w:t>
      </w:r>
      <w:r>
        <w:rPr>
          <w:color w:val="3D3D3D"/>
          <w:w w:val="80"/>
          <w:sz w:val="20"/>
        </w:rPr>
        <w:t>师</w:t>
      </w:r>
      <w:r>
        <w:rPr>
          <w:color w:val="3D3D3D"/>
          <w:spacing w:val="21"/>
          <w:w w:val="80"/>
          <w:sz w:val="20"/>
        </w:rPr>
        <w:t> </w:t>
      </w:r>
      <w:r>
        <w:rPr>
          <w:color w:val="3D3D3D"/>
          <w:w w:val="80"/>
          <w:sz w:val="20"/>
        </w:rPr>
        <w:t>范</w:t>
      </w:r>
      <w:r>
        <w:rPr>
          <w:color w:val="3D3D3D"/>
          <w:spacing w:val="20"/>
          <w:w w:val="80"/>
          <w:sz w:val="20"/>
        </w:rPr>
        <w:t> </w:t>
      </w:r>
      <w:r>
        <w:rPr>
          <w:color w:val="3D3D3D"/>
          <w:w w:val="80"/>
          <w:sz w:val="20"/>
        </w:rPr>
        <w:t>大</w:t>
      </w:r>
      <w:r>
        <w:rPr>
          <w:color w:val="3D3D3D"/>
          <w:spacing w:val="17"/>
          <w:w w:val="80"/>
          <w:sz w:val="20"/>
        </w:rPr>
        <w:t> </w:t>
      </w:r>
      <w:r>
        <w:rPr>
          <w:color w:val="3D3D3D"/>
          <w:w w:val="80"/>
          <w:sz w:val="20"/>
        </w:rPr>
        <w:t>学</w:t>
        <w:tab/>
      </w:r>
      <w:r>
        <w:rPr>
          <w:color w:val="696969"/>
          <w:sz w:val="20"/>
        </w:rPr>
        <w:t>有权保留并向国家有关部</w:t>
      </w:r>
      <w:r>
        <w:rPr>
          <w:color w:val="696969"/>
          <w:spacing w:val="-17"/>
          <w:sz w:val="20"/>
        </w:rPr>
        <w:t>门  </w:t>
      </w:r>
      <w:r>
        <w:rPr>
          <w:color w:val="696969"/>
          <w:sz w:val="20"/>
        </w:rPr>
        <w:t>或</w:t>
      </w:r>
      <w:r>
        <w:rPr>
          <w:color w:val="696969"/>
          <w:spacing w:val="4"/>
          <w:sz w:val="20"/>
        </w:rPr>
        <w:t>机</w:t>
      </w:r>
      <w:r>
        <w:rPr>
          <w:color w:val="696969"/>
          <w:spacing w:val="6"/>
          <w:sz w:val="20"/>
        </w:rPr>
        <w:t>构</w:t>
      </w:r>
      <w:r>
        <w:rPr>
          <w:color w:val="696969"/>
          <w:sz w:val="20"/>
        </w:rPr>
        <w:t>送</w:t>
      </w:r>
      <w:r>
        <w:rPr>
          <w:color w:val="696969"/>
          <w:spacing w:val="22"/>
          <w:sz w:val="20"/>
        </w:rPr>
        <w:t>交</w:t>
      </w:r>
      <w:r>
        <w:rPr>
          <w:color w:val="696969"/>
          <w:sz w:val="20"/>
        </w:rPr>
        <w:t>本</w:t>
      </w:r>
      <w:r>
        <w:rPr>
          <w:color w:val="696969"/>
          <w:spacing w:val="36"/>
          <w:sz w:val="20"/>
        </w:rPr>
        <w:t>论</w:t>
      </w:r>
      <w:r>
        <w:rPr>
          <w:color w:val="696969"/>
          <w:sz w:val="20"/>
        </w:rPr>
        <w:t>文</w:t>
      </w:r>
      <w:r>
        <w:rPr>
          <w:color w:val="696969"/>
          <w:spacing w:val="10"/>
          <w:sz w:val="20"/>
        </w:rPr>
        <w:t>的</w:t>
      </w:r>
      <w:r>
        <w:rPr>
          <w:color w:val="696969"/>
          <w:spacing w:val="11"/>
          <w:sz w:val="20"/>
        </w:rPr>
        <w:t>复</w:t>
      </w:r>
      <w:r>
        <w:rPr>
          <w:color w:val="696969"/>
          <w:sz w:val="20"/>
        </w:rPr>
        <w:t>印件和</w:t>
      </w:r>
      <w:r>
        <w:rPr>
          <w:color w:val="696969"/>
          <w:spacing w:val="7"/>
          <w:sz w:val="20"/>
        </w:rPr>
        <w:t>磁盘</w:t>
      </w:r>
      <w:r>
        <w:rPr>
          <w:color w:val="696969"/>
          <w:w w:val="80"/>
          <w:sz w:val="20"/>
        </w:rPr>
        <w:t>，允  </w:t>
      </w:r>
      <w:r>
        <w:rPr>
          <w:color w:val="696969"/>
          <w:spacing w:val="68"/>
          <w:w w:val="80"/>
          <w:sz w:val="20"/>
        </w:rPr>
        <w:t> </w:t>
      </w:r>
      <w:r>
        <w:rPr>
          <w:color w:val="696969"/>
          <w:sz w:val="20"/>
        </w:rPr>
        <w:t>许论</w:t>
      </w:r>
      <w:r>
        <w:rPr>
          <w:color w:val="696969"/>
          <w:spacing w:val="38"/>
          <w:sz w:val="20"/>
        </w:rPr>
        <w:t>文</w:t>
      </w:r>
      <w:r>
        <w:rPr>
          <w:color w:val="696969"/>
          <w:spacing w:val="7"/>
          <w:sz w:val="20"/>
        </w:rPr>
        <w:t>被</w:t>
      </w:r>
      <w:r>
        <w:rPr>
          <w:color w:val="696969"/>
          <w:sz w:val="20"/>
        </w:rPr>
        <w:t>查</w:t>
      </w:r>
      <w:r>
        <w:rPr>
          <w:color w:val="696969"/>
          <w:spacing w:val="11"/>
          <w:sz w:val="20"/>
        </w:rPr>
        <w:t>阅</w:t>
      </w:r>
      <w:r>
        <w:rPr>
          <w:color w:val="696969"/>
          <w:spacing w:val="6"/>
          <w:sz w:val="20"/>
        </w:rPr>
        <w:t>和</w:t>
      </w:r>
      <w:r>
        <w:rPr>
          <w:color w:val="696969"/>
          <w:sz w:val="20"/>
        </w:rPr>
        <w:t>借</w:t>
      </w:r>
      <w:r>
        <w:rPr>
          <w:color w:val="696969"/>
          <w:spacing w:val="10"/>
          <w:sz w:val="20"/>
        </w:rPr>
        <w:t>阅</w:t>
      </w:r>
      <w:r>
        <w:rPr>
          <w:color w:val="696969"/>
          <w:sz w:val="20"/>
        </w:rPr>
        <w:t>。本</w:t>
      </w:r>
      <w:r>
        <w:rPr>
          <w:color w:val="696969"/>
          <w:spacing w:val="-25"/>
          <w:sz w:val="20"/>
        </w:rPr>
        <w:t>人</w:t>
      </w:r>
      <w:r>
        <w:rPr>
          <w:color w:val="696969"/>
          <w:spacing w:val="5"/>
          <w:sz w:val="20"/>
        </w:rPr>
        <w:t>授</w:t>
      </w:r>
      <w:r>
        <w:rPr>
          <w:color w:val="696969"/>
          <w:sz w:val="20"/>
        </w:rPr>
        <w:t>权</w:t>
      </w:r>
      <w:r>
        <w:rPr>
          <w:color w:val="696969"/>
          <w:spacing w:val="88"/>
          <w:sz w:val="20"/>
        </w:rPr>
        <w:t> </w:t>
      </w:r>
      <w:r>
        <w:rPr>
          <w:color w:val="3D3D3D"/>
          <w:sz w:val="20"/>
        </w:rPr>
        <w:t>杭</w:t>
      </w:r>
      <w:r>
        <w:rPr>
          <w:color w:val="3D3D3D"/>
          <w:w w:val="80"/>
          <w:sz w:val="20"/>
        </w:rPr>
        <w:t>，州</w:t>
      </w:r>
      <w:r>
        <w:rPr>
          <w:color w:val="3D3D3D"/>
          <w:spacing w:val="67"/>
          <w:w w:val="80"/>
          <w:sz w:val="20"/>
        </w:rPr>
        <w:t> </w:t>
      </w:r>
      <w:r>
        <w:rPr>
          <w:color w:val="3D3D3D"/>
          <w:w w:val="80"/>
          <w:sz w:val="20"/>
        </w:rPr>
        <w:t>师范</w:t>
      </w:r>
      <w:r>
        <w:rPr>
          <w:color w:val="3D3D3D"/>
          <w:spacing w:val="27"/>
          <w:w w:val="80"/>
          <w:sz w:val="20"/>
        </w:rPr>
        <w:t> </w:t>
      </w:r>
      <w:r>
        <w:rPr>
          <w:color w:val="3D3D3D"/>
          <w:w w:val="80"/>
          <w:sz w:val="20"/>
        </w:rPr>
        <w:t>大</w:t>
      </w:r>
      <w:r>
        <w:rPr>
          <w:color w:val="3D3D3D"/>
          <w:spacing w:val="14"/>
          <w:w w:val="80"/>
          <w:sz w:val="20"/>
        </w:rPr>
        <w:t> </w:t>
      </w:r>
      <w:r>
        <w:rPr>
          <w:color w:val="3D3D3D"/>
          <w:w w:val="80"/>
          <w:sz w:val="20"/>
        </w:rPr>
        <w:t>学</w:t>
        <w:tab/>
      </w:r>
      <w:r>
        <w:rPr>
          <w:color w:val="565656"/>
          <w:spacing w:val="11"/>
          <w:sz w:val="20"/>
        </w:rPr>
        <w:t>可</w:t>
      </w:r>
      <w:r>
        <w:rPr>
          <w:color w:val="565656"/>
          <w:sz w:val="20"/>
        </w:rPr>
        <w:t>以</w:t>
      </w:r>
      <w:r>
        <w:rPr>
          <w:color w:val="565656"/>
          <w:spacing w:val="9"/>
          <w:sz w:val="20"/>
        </w:rPr>
        <w:t>将</w:t>
      </w:r>
      <w:r>
        <w:rPr>
          <w:color w:val="565656"/>
          <w:sz w:val="20"/>
        </w:rPr>
        <w:t>学</w:t>
      </w:r>
      <w:r>
        <w:rPr>
          <w:color w:val="565656"/>
          <w:spacing w:val="17"/>
          <w:sz w:val="20"/>
        </w:rPr>
        <w:t>位</w:t>
      </w:r>
      <w:r>
        <w:rPr>
          <w:color w:val="565656"/>
          <w:sz w:val="20"/>
        </w:rPr>
        <w:t>论</w:t>
      </w:r>
      <w:r>
        <w:rPr>
          <w:color w:val="565656"/>
          <w:spacing w:val="25"/>
          <w:sz w:val="20"/>
        </w:rPr>
        <w:t>文</w:t>
      </w:r>
      <w:r>
        <w:rPr>
          <w:color w:val="565656"/>
          <w:spacing w:val="4"/>
          <w:sz w:val="20"/>
        </w:rPr>
        <w:t>的</w:t>
      </w:r>
      <w:r>
        <w:rPr>
          <w:color w:val="565656"/>
          <w:spacing w:val="7"/>
          <w:sz w:val="20"/>
        </w:rPr>
        <w:t>全</w:t>
      </w:r>
      <w:r>
        <w:rPr>
          <w:color w:val="565656"/>
          <w:sz w:val="20"/>
        </w:rPr>
        <w:t>部</w:t>
      </w:r>
      <w:r>
        <w:rPr>
          <w:color w:val="565656"/>
          <w:spacing w:val="14"/>
          <w:sz w:val="20"/>
        </w:rPr>
        <w:t>或部</w:t>
      </w:r>
      <w:r>
        <w:rPr>
          <w:color w:val="565656"/>
          <w:sz w:val="20"/>
        </w:rPr>
        <w:t>分</w:t>
      </w:r>
      <w:r>
        <w:rPr>
          <w:color w:val="565656"/>
          <w:spacing w:val="28"/>
          <w:sz w:val="20"/>
        </w:rPr>
        <w:t>内</w:t>
      </w:r>
      <w:r>
        <w:rPr>
          <w:color w:val="565656"/>
          <w:sz w:val="20"/>
        </w:rPr>
        <w:t>容编  </w:t>
      </w:r>
      <w:r>
        <w:rPr>
          <w:color w:val="565656"/>
          <w:spacing w:val="60"/>
          <w:sz w:val="20"/>
        </w:rPr>
        <w:t> </w:t>
      </w:r>
      <w:r>
        <w:rPr>
          <w:color w:val="565656"/>
          <w:sz w:val="20"/>
        </w:rPr>
        <w:t>入</w:t>
      </w:r>
      <w:r>
        <w:rPr>
          <w:color w:val="565656"/>
          <w:spacing w:val="9"/>
          <w:sz w:val="20"/>
        </w:rPr>
        <w:t>有</w:t>
      </w:r>
      <w:r>
        <w:rPr>
          <w:color w:val="565656"/>
          <w:sz w:val="20"/>
        </w:rPr>
        <w:t>关</w:t>
      </w:r>
      <w:r>
        <w:rPr>
          <w:color w:val="565656"/>
          <w:spacing w:val="7"/>
          <w:sz w:val="20"/>
        </w:rPr>
        <w:t>数</w:t>
      </w:r>
      <w:r>
        <w:rPr>
          <w:color w:val="565656"/>
          <w:sz w:val="20"/>
        </w:rPr>
        <w:t>据</w:t>
      </w:r>
      <w:r>
        <w:rPr>
          <w:color w:val="565656"/>
          <w:spacing w:val="16"/>
          <w:sz w:val="20"/>
        </w:rPr>
        <w:t>库</w:t>
      </w:r>
      <w:r>
        <w:rPr>
          <w:color w:val="565656"/>
          <w:sz w:val="20"/>
        </w:rPr>
        <w:t>进</w:t>
      </w:r>
      <w:r>
        <w:rPr>
          <w:color w:val="565656"/>
          <w:spacing w:val="20"/>
          <w:sz w:val="20"/>
        </w:rPr>
        <w:t>行</w:t>
      </w:r>
      <w:r>
        <w:rPr>
          <w:color w:val="565656"/>
          <w:spacing w:val="6"/>
          <w:sz w:val="20"/>
        </w:rPr>
        <w:t>检</w:t>
      </w:r>
      <w:r>
        <w:rPr>
          <w:color w:val="565656"/>
          <w:sz w:val="20"/>
        </w:rPr>
        <w:t>索</w:t>
      </w:r>
      <w:r>
        <w:rPr>
          <w:color w:val="565656"/>
          <w:spacing w:val="11"/>
          <w:sz w:val="20"/>
        </w:rPr>
        <w:t>和</w:t>
      </w:r>
      <w:r>
        <w:rPr>
          <w:color w:val="565656"/>
          <w:spacing w:val="7"/>
          <w:sz w:val="20"/>
        </w:rPr>
        <w:t>传</w:t>
      </w:r>
      <w:r>
        <w:rPr>
          <w:color w:val="565656"/>
          <w:spacing w:val="17"/>
          <w:sz w:val="20"/>
        </w:rPr>
        <w:t>播</w:t>
      </w:r>
      <w:r>
        <w:rPr>
          <w:color w:val="565656"/>
          <w:w w:val="80"/>
          <w:sz w:val="20"/>
        </w:rPr>
        <w:t>，可以</w:t>
      </w:r>
      <w:r>
        <w:rPr>
          <w:color w:val="565656"/>
          <w:spacing w:val="39"/>
          <w:w w:val="80"/>
          <w:sz w:val="20"/>
        </w:rPr>
        <w:t> </w:t>
      </w:r>
      <w:r>
        <w:rPr>
          <w:color w:val="565656"/>
          <w:sz w:val="20"/>
        </w:rPr>
        <w:t>采</w:t>
      </w:r>
      <w:r>
        <w:rPr>
          <w:color w:val="565656"/>
          <w:spacing w:val="5"/>
          <w:sz w:val="20"/>
        </w:rPr>
        <w:t>用</w:t>
      </w:r>
      <w:r>
        <w:rPr>
          <w:color w:val="565656"/>
          <w:spacing w:val="9"/>
          <w:sz w:val="20"/>
        </w:rPr>
        <w:t>影</w:t>
      </w:r>
      <w:r>
        <w:rPr>
          <w:color w:val="565656"/>
          <w:sz w:val="20"/>
        </w:rPr>
        <w:t>印</w:t>
      </w:r>
      <w:r>
        <w:rPr>
          <w:color w:val="565656"/>
          <w:spacing w:val="7"/>
          <w:sz w:val="20"/>
        </w:rPr>
        <w:t>、</w:t>
      </w:r>
      <w:r>
        <w:rPr>
          <w:color w:val="565656"/>
          <w:sz w:val="20"/>
        </w:rPr>
        <w:t>缩</w:t>
      </w:r>
      <w:r>
        <w:rPr>
          <w:color w:val="565656"/>
          <w:spacing w:val="8"/>
          <w:sz w:val="20"/>
        </w:rPr>
        <w:t>印</w:t>
      </w:r>
      <w:r>
        <w:rPr>
          <w:color w:val="565656"/>
          <w:sz w:val="20"/>
        </w:rPr>
        <w:t>或</w:t>
      </w:r>
      <w:r>
        <w:rPr>
          <w:color w:val="565656"/>
          <w:spacing w:val="7"/>
          <w:sz w:val="20"/>
        </w:rPr>
        <w:t>扫</w:t>
      </w:r>
      <w:r>
        <w:rPr>
          <w:color w:val="565656"/>
          <w:sz w:val="20"/>
        </w:rPr>
        <w:t>描</w:t>
      </w:r>
      <w:r>
        <w:rPr>
          <w:color w:val="7E7E7E"/>
          <w:spacing w:val="10"/>
          <w:sz w:val="20"/>
        </w:rPr>
        <w:t>等</w:t>
      </w:r>
      <w:r>
        <w:rPr>
          <w:color w:val="7E7E7E"/>
          <w:sz w:val="20"/>
        </w:rPr>
        <w:t>复</w:t>
      </w:r>
      <w:r>
        <w:rPr>
          <w:color w:val="565656"/>
          <w:spacing w:val="8"/>
          <w:sz w:val="20"/>
        </w:rPr>
        <w:t>制</w:t>
      </w:r>
      <w:r>
        <w:rPr>
          <w:color w:val="565656"/>
          <w:sz w:val="20"/>
        </w:rPr>
        <w:t>手</w:t>
      </w:r>
      <w:r>
        <w:rPr>
          <w:color w:val="565656"/>
          <w:spacing w:val="10"/>
          <w:sz w:val="20"/>
        </w:rPr>
        <w:t>段</w:t>
      </w:r>
      <w:r>
        <w:rPr>
          <w:color w:val="565656"/>
          <w:sz w:val="20"/>
        </w:rPr>
        <w:t>保</w:t>
      </w:r>
      <w:r>
        <w:rPr>
          <w:color w:val="565656"/>
          <w:spacing w:val="24"/>
          <w:sz w:val="20"/>
        </w:rPr>
        <w:t>存</w:t>
      </w:r>
      <w:r>
        <w:rPr>
          <w:color w:val="565656"/>
          <w:sz w:val="20"/>
        </w:rPr>
        <w:t>、</w:t>
      </w:r>
      <w:r>
        <w:rPr>
          <w:color w:val="565656"/>
          <w:spacing w:val="14"/>
          <w:sz w:val="20"/>
        </w:rPr>
        <w:t>汇</w:t>
      </w:r>
      <w:r>
        <w:rPr>
          <w:color w:val="565656"/>
          <w:sz w:val="20"/>
        </w:rPr>
        <w:t>编学</w:t>
      </w:r>
      <w:r>
        <w:rPr>
          <w:color w:val="565656"/>
          <w:spacing w:val="25"/>
          <w:sz w:val="20"/>
        </w:rPr>
        <w:t>位</w:t>
      </w:r>
      <w:r>
        <w:rPr>
          <w:color w:val="565656"/>
          <w:spacing w:val="10"/>
          <w:sz w:val="20"/>
        </w:rPr>
        <w:t>论</w:t>
      </w:r>
      <w:r>
        <w:rPr>
          <w:color w:val="565656"/>
          <w:spacing w:val="3"/>
          <w:sz w:val="20"/>
        </w:rPr>
        <w:t>文</w:t>
      </w:r>
      <w:r>
        <w:rPr>
          <w:color w:val="7E7E7E"/>
          <w:sz w:val="20"/>
        </w:rPr>
        <w:t>。</w:t>
      </w:r>
    </w:p>
    <w:p>
      <w:pPr>
        <w:spacing w:line="188" w:lineRule="exact" w:before="2"/>
        <w:ind w:left="2032" w:right="0" w:firstLine="0"/>
        <w:jc w:val="left"/>
        <w:rPr>
          <w:sz w:val="20"/>
        </w:rPr>
      </w:pPr>
      <w:r>
        <w:rPr>
          <w:color w:val="696969"/>
          <w:w w:val="105"/>
          <w:sz w:val="20"/>
        </w:rPr>
        <w:t>（保密的学位论文在解密后适用本授权书）</w:t>
      </w:r>
    </w:p>
    <w:p>
      <w:pPr>
        <w:tabs>
          <w:tab w:pos="2237" w:val="left" w:leader="none"/>
          <w:tab w:pos="4468" w:val="left" w:leader="none"/>
          <w:tab w:pos="6206" w:val="left" w:leader="none"/>
        </w:tabs>
        <w:spacing w:line="929" w:lineRule="exact" w:before="0"/>
        <w:ind w:left="0" w:right="1830" w:firstLine="0"/>
        <w:jc w:val="center"/>
        <w:rPr>
          <w:sz w:val="20"/>
        </w:rPr>
      </w:pPr>
      <w:r>
        <w:rPr>
          <w:color w:val="696969"/>
          <w:w w:val="105"/>
          <w:sz w:val="20"/>
        </w:rPr>
        <w:t>学</w:t>
      </w:r>
      <w:r>
        <w:rPr>
          <w:color w:val="696969"/>
          <w:spacing w:val="23"/>
          <w:w w:val="105"/>
          <w:sz w:val="20"/>
        </w:rPr>
        <w:t>位</w:t>
      </w:r>
      <w:r>
        <w:rPr>
          <w:color w:val="696969"/>
          <w:w w:val="105"/>
          <w:sz w:val="20"/>
        </w:rPr>
        <w:t>论</w:t>
      </w:r>
      <w:r>
        <w:rPr>
          <w:color w:val="696969"/>
          <w:spacing w:val="12"/>
          <w:w w:val="105"/>
          <w:sz w:val="20"/>
        </w:rPr>
        <w:t>义</w:t>
      </w:r>
      <w:r>
        <w:rPr>
          <w:color w:val="696969"/>
          <w:w w:val="105"/>
          <w:sz w:val="20"/>
        </w:rPr>
        <w:t>作者</w:t>
      </w:r>
      <w:r>
        <w:rPr>
          <w:color w:val="696969"/>
          <w:spacing w:val="23"/>
          <w:w w:val="105"/>
          <w:sz w:val="20"/>
        </w:rPr>
        <w:t>签</w:t>
      </w:r>
      <w:r>
        <w:rPr>
          <w:color w:val="696969"/>
          <w:spacing w:val="-101"/>
          <w:w w:val="105"/>
          <w:sz w:val="20"/>
        </w:rPr>
        <w:t>名</w:t>
      </w:r>
      <w:r>
        <w:rPr>
          <w:color w:val="3D3D3D"/>
          <w:w w:val="105"/>
          <w:sz w:val="20"/>
        </w:rPr>
        <w:t>：</w:t>
        <w:tab/>
      </w:r>
      <w:r>
        <w:rPr>
          <w:color w:val="565656"/>
          <w:spacing w:val="42"/>
          <w:w w:val="105"/>
          <w:sz w:val="62"/>
        </w:rPr>
        <w:t>矛</w:t>
      </w:r>
      <w:r>
        <w:rPr>
          <w:rFonts w:ascii="Times New Roman" w:eastAsia="Times New Roman"/>
          <w:color w:val="565656"/>
          <w:w w:val="105"/>
          <w:sz w:val="95"/>
        </w:rPr>
        <w:t>3</w:t>
        <w:tab/>
      </w:r>
      <w:r>
        <w:rPr>
          <w:color w:val="696969"/>
          <w:w w:val="105"/>
          <w:sz w:val="20"/>
        </w:rPr>
        <w:t>导</w:t>
      </w:r>
      <w:r>
        <w:rPr>
          <w:color w:val="696969"/>
          <w:spacing w:val="11"/>
          <w:w w:val="105"/>
          <w:sz w:val="20"/>
        </w:rPr>
        <w:t>师</w:t>
      </w:r>
      <w:r>
        <w:rPr>
          <w:color w:val="696969"/>
          <w:spacing w:val="9"/>
          <w:w w:val="105"/>
          <w:sz w:val="20"/>
        </w:rPr>
        <w:t>签</w:t>
      </w:r>
      <w:r>
        <w:rPr>
          <w:color w:val="696969"/>
          <w:w w:val="105"/>
          <w:sz w:val="20"/>
        </w:rPr>
        <w:t>名：</w:t>
      </w:r>
      <w:r>
        <w:rPr>
          <w:color w:val="696969"/>
          <w:spacing w:val="-71"/>
          <w:w w:val="105"/>
          <w:sz w:val="20"/>
        </w:rPr>
        <w:t> </w:t>
      </w:r>
      <w:r>
        <w:rPr>
          <w:color w:val="3D3D3D"/>
          <w:w w:val="105"/>
          <w:sz w:val="20"/>
        </w:rPr>
        <w:t>才</w:t>
        <w:tab/>
        <w:t>多</w:t>
      </w:r>
    </w:p>
    <w:p>
      <w:pPr>
        <w:tabs>
          <w:tab w:pos="1378" w:val="left" w:leader="none"/>
          <w:tab w:pos="2352" w:val="left" w:leader="none"/>
          <w:tab w:pos="3054" w:val="left" w:leader="none"/>
          <w:tab w:pos="4480" w:val="left" w:leader="none"/>
          <w:tab w:pos="6842" w:val="left" w:leader="none"/>
          <w:tab w:pos="7349" w:val="left" w:leader="none"/>
        </w:tabs>
        <w:spacing w:line="783" w:lineRule="exact" w:before="0"/>
        <w:ind w:left="0" w:right="751" w:firstLine="0"/>
        <w:jc w:val="center"/>
        <w:rPr>
          <w:sz w:val="34"/>
        </w:rPr>
      </w:pPr>
      <w:r>
        <w:rPr>
          <w:color w:val="696969"/>
          <w:sz w:val="21"/>
        </w:rPr>
        <w:t>签</w:t>
      </w:r>
      <w:r>
        <w:rPr>
          <w:color w:val="696969"/>
          <w:spacing w:val="31"/>
          <w:sz w:val="21"/>
        </w:rPr>
        <w:t>字</w:t>
      </w:r>
      <w:r>
        <w:rPr>
          <w:color w:val="696969"/>
          <w:spacing w:val="29"/>
          <w:sz w:val="21"/>
        </w:rPr>
        <w:t>日</w:t>
      </w:r>
      <w:r>
        <w:rPr>
          <w:color w:val="696969"/>
          <w:spacing w:val="21"/>
          <w:sz w:val="21"/>
        </w:rPr>
        <w:t>期</w:t>
      </w:r>
      <w:r>
        <w:rPr>
          <w:color w:val="696969"/>
          <w:sz w:val="21"/>
        </w:rPr>
        <w:t>为</w:t>
        <w:tab/>
      </w:r>
      <w:r>
        <w:rPr>
          <w:rFonts w:ascii="Times New Roman" w:eastAsia="Times New Roman"/>
          <w:color w:val="696969"/>
          <w:w w:val="75"/>
          <w:sz w:val="52"/>
        </w:rPr>
        <w:t>7</w:t>
      </w:r>
      <w:r>
        <w:rPr>
          <w:rFonts w:ascii="Times New Roman" w:eastAsia="Times New Roman"/>
          <w:color w:val="696969"/>
          <w:spacing w:val="52"/>
          <w:w w:val="75"/>
          <w:sz w:val="52"/>
        </w:rPr>
        <w:t> </w:t>
      </w:r>
      <w:r>
        <w:rPr>
          <w:color w:val="696969"/>
          <w:spacing w:val="37"/>
          <w:sz w:val="20"/>
        </w:rPr>
        <w:t>年</w:t>
      </w:r>
      <w:r>
        <w:rPr>
          <w:rFonts w:ascii="Times New Roman" w:eastAsia="Times New Roman"/>
          <w:color w:val="696969"/>
          <w:sz w:val="30"/>
        </w:rPr>
        <w:t>j</w:t>
        <w:tab/>
      </w:r>
      <w:r>
        <w:rPr>
          <w:color w:val="696969"/>
          <w:spacing w:val="-126"/>
          <w:sz w:val="42"/>
        </w:rPr>
        <w:t>心</w:t>
      </w:r>
      <w:r>
        <w:rPr>
          <w:rFonts w:ascii="Arial" w:eastAsia="Arial"/>
          <w:color w:val="3D3D3D"/>
          <w:sz w:val="17"/>
        </w:rPr>
        <w:t>0</w:t>
        <w:tab/>
      </w:r>
      <w:r>
        <w:rPr>
          <w:color w:val="696969"/>
          <w:sz w:val="21"/>
        </w:rPr>
        <w:t>日</w:t>
        <w:tab/>
        <w:t>签</w:t>
      </w:r>
      <w:r>
        <w:rPr>
          <w:color w:val="696969"/>
          <w:spacing w:val="23"/>
          <w:sz w:val="21"/>
        </w:rPr>
        <w:t>子</w:t>
      </w:r>
      <w:r>
        <w:rPr>
          <w:color w:val="696969"/>
          <w:sz w:val="21"/>
        </w:rPr>
        <w:t>日</w:t>
      </w:r>
      <w:r>
        <w:rPr>
          <w:color w:val="696969"/>
          <w:spacing w:val="-75"/>
          <w:sz w:val="21"/>
        </w:rPr>
        <w:t> </w:t>
      </w:r>
      <w:r>
        <w:rPr>
          <w:color w:val="696969"/>
          <w:spacing w:val="-121"/>
          <w:sz w:val="21"/>
        </w:rPr>
        <w:t>期</w:t>
      </w:r>
      <w:r>
        <w:rPr>
          <w:color w:val="3D3D3D"/>
          <w:sz w:val="21"/>
        </w:rPr>
        <w:t>：</w:t>
      </w:r>
      <w:r>
        <w:rPr>
          <w:color w:val="3D3D3D"/>
          <w:spacing w:val="-62"/>
          <w:sz w:val="21"/>
        </w:rPr>
        <w:t> </w:t>
      </w:r>
      <w:r>
        <w:rPr>
          <w:color w:val="3D3D3D"/>
          <w:spacing w:val="37"/>
          <w:sz w:val="21"/>
        </w:rPr>
        <w:t>灾</w:t>
      </w:r>
      <w:r>
        <w:rPr>
          <w:rFonts w:ascii="Arial" w:eastAsia="Arial"/>
          <w:color w:val="565656"/>
          <w:w w:val="75"/>
          <w:sz w:val="70"/>
        </w:rPr>
        <w:t>]</w:t>
      </w:r>
      <w:r>
        <w:rPr>
          <w:rFonts w:ascii="Arial" w:eastAsia="Arial"/>
          <w:color w:val="3D3D3D"/>
          <w:w w:val="75"/>
          <w:sz w:val="70"/>
        </w:rPr>
        <w:t>I</w:t>
      </w:r>
      <w:r>
        <w:rPr>
          <w:rFonts w:ascii="Arial" w:eastAsia="Arial"/>
          <w:color w:val="3D3D3D"/>
          <w:spacing w:val="47"/>
          <w:w w:val="75"/>
          <w:sz w:val="70"/>
        </w:rPr>
        <w:t> </w:t>
      </w:r>
      <w:r>
        <w:rPr>
          <w:color w:val="565656"/>
          <w:w w:val="75"/>
          <w:sz w:val="34"/>
        </w:rPr>
        <w:t>叮</w:t>
        <w:tab/>
        <w:t>叮</w:t>
        <w:tab/>
        <w:t>沪</w:t>
      </w:r>
    </w:p>
    <w:p>
      <w:pPr>
        <w:spacing w:after="0" w:line="783" w:lineRule="exact"/>
        <w:jc w:val="center"/>
        <w:rPr>
          <w:sz w:val="34"/>
        </w:rPr>
        <w:sectPr>
          <w:footerReference w:type="default" r:id="rId10"/>
          <w:pgSz w:w="11910" w:h="16840"/>
          <w:pgMar w:footer="935" w:header="0" w:top="1580" w:bottom="1120" w:left="480" w:right="216"/>
        </w:sectPr>
      </w:pPr>
    </w:p>
    <w:p>
      <w:pPr>
        <w:pStyle w:val="BodyText"/>
        <w:rPr>
          <w:sz w:val="20"/>
        </w:rPr>
      </w:pPr>
    </w:p>
    <w:p>
      <w:pPr>
        <w:pStyle w:val="BodyText"/>
        <w:spacing w:before="7"/>
        <w:rPr>
          <w:sz w:val="26"/>
        </w:rPr>
      </w:pPr>
    </w:p>
    <w:p>
      <w:pPr>
        <w:pStyle w:val="Heading1"/>
        <w:spacing w:line="511" w:lineRule="exact"/>
        <w:ind w:right="257"/>
        <w:jc w:val="center"/>
      </w:pPr>
      <w:bookmarkStart w:name="_bookmark0" w:id="1"/>
      <w:bookmarkEnd w:id="1"/>
      <w:r>
        <w:rPr>
          <w:b w:val="0"/>
        </w:rPr>
      </w:r>
      <w:r>
        <w:rPr/>
        <w:t>致  谢</w:t>
      </w:r>
    </w:p>
    <w:p>
      <w:pPr>
        <w:pStyle w:val="BodyText"/>
        <w:spacing w:before="9"/>
        <w:rPr>
          <w:rFonts w:ascii="Microsoft JhengHei"/>
          <w:b/>
          <w:sz w:val="28"/>
        </w:rPr>
      </w:pPr>
    </w:p>
    <w:p>
      <w:pPr>
        <w:pStyle w:val="BodyText"/>
        <w:spacing w:line="364" w:lineRule="auto"/>
        <w:ind w:left="1319" w:right="1485" w:firstLine="465"/>
      </w:pPr>
      <w:r>
        <w:rPr>
          <w:spacing w:val="-9"/>
        </w:rPr>
        <w:t>三年光景，好似一瞬，恍惚之中竟已驻立在毕业的十字路口。硕士生涯已经</w:t>
      </w:r>
      <w:r>
        <w:rPr>
          <w:spacing w:val="-12"/>
        </w:rPr>
        <w:t>接近尾声，但一切又仿佛发生在昨日。三年，看似很长，其实那么短，短到初识</w:t>
      </w:r>
      <w:r>
        <w:rPr>
          <w:spacing w:val="-13"/>
        </w:rPr>
        <w:t>同窗，初见导师时的场景仍时时浮现在脑海中。三年的学习与生活，满载感慨， </w:t>
      </w:r>
      <w:r>
        <w:rPr>
          <w:spacing w:val="-6"/>
        </w:rPr>
        <w:t>欣慰之余又感到无比庆幸。欣慰的是，没有辜负这短暂而又漫长的时光，极尽所</w:t>
      </w:r>
      <w:r>
        <w:rPr>
          <w:spacing w:val="-9"/>
        </w:rPr>
        <w:t>能，在汗水与拼搏中脚踏实地走好每一步；庆幸的是，学校浓厚的学术氛围，良</w:t>
      </w:r>
      <w:r>
        <w:rPr>
          <w:spacing w:val="-12"/>
        </w:rPr>
        <w:t>师益友，亲密同窗的陪伴，一直给予我前行的力量。一路走来，点点滴滴，心怀感激，值此论文完成之际，由衷地感谢曾给予我关心和鼓励的每一个人！</w:t>
      </w:r>
    </w:p>
    <w:p>
      <w:pPr>
        <w:pStyle w:val="BodyText"/>
        <w:spacing w:line="364" w:lineRule="auto" w:before="4"/>
        <w:ind w:left="1319" w:right="1485" w:firstLine="465"/>
      </w:pPr>
      <w:r>
        <w:rPr>
          <w:spacing w:val="-8"/>
        </w:rPr>
        <w:t>首先，谨以最诚挚的敬意感激我的导师杨燕燕教授。这三年来，杨老师在学</w:t>
      </w:r>
      <w:r>
        <w:rPr>
          <w:spacing w:val="-12"/>
        </w:rPr>
        <w:t>习和生活上都对我关怀备至，她严谨的治学态度、敬业的精神，深深地感染和激</w:t>
      </w:r>
      <w:r>
        <w:rPr>
          <w:spacing w:val="-13"/>
        </w:rPr>
        <w:t>励着我，将使我受益终身。在论文的写作过程中，从题目的拟定、开题、中期， </w:t>
      </w:r>
      <w:r>
        <w:rPr>
          <w:spacing w:val="-6"/>
        </w:rPr>
        <w:t>直至文章的撰写和修改，都离不开杨老师的悉心指导。在我迷茫与困惑之际，杨教师的谆谆教诲似指路明灯，杨教师的支持与鼓励让我重拾信心，继续前行。</w:t>
      </w:r>
    </w:p>
    <w:p>
      <w:pPr>
        <w:pStyle w:val="BodyText"/>
        <w:spacing w:line="364" w:lineRule="auto" w:before="3"/>
        <w:ind w:left="1319" w:right="1577" w:firstLine="480"/>
        <w:jc w:val="both"/>
      </w:pPr>
      <w:r>
        <w:rPr>
          <w:spacing w:val="-10"/>
        </w:rPr>
        <w:t>其次，还要衷心地感谢张华老师、蔡亚平老师等多位恩师。三年的学习生涯中，时常能感受到他们给予我的关心与指导，他们以渊博的学识和专业的学术素</w:t>
      </w:r>
      <w:r>
        <w:rPr/>
        <w:t>养，为的论文提出了许多宝贵意见。</w:t>
      </w:r>
    </w:p>
    <w:p>
      <w:pPr>
        <w:pStyle w:val="BodyText"/>
        <w:spacing w:line="364" w:lineRule="auto" w:before="2"/>
        <w:ind w:left="1319" w:right="1577" w:firstLine="480"/>
        <w:jc w:val="both"/>
      </w:pPr>
      <w:r>
        <w:rPr>
          <w:spacing w:val="-7"/>
        </w:rPr>
        <w:t>非常感谢我的师姐韩晶瑾、张飞军，以及我的学妹林苏婵、何秋玥，他们在</w:t>
      </w:r>
      <w:r>
        <w:rPr>
          <w:spacing w:val="-6"/>
        </w:rPr>
        <w:t>论文写作过程中提出了许多有价值的修改建议。感谢象山县教科研中心的余文一</w:t>
      </w:r>
      <w:r>
        <w:rPr>
          <w:spacing w:val="-11"/>
        </w:rPr>
        <w:t>主任，以及该县西周中学、象山中学、象山三中、象山二中、滨海学校的老师们</w:t>
      </w:r>
      <w:r>
        <w:rPr/>
        <w:t>和同学们，他们的支持与配合让我顺利地完成了论文。</w:t>
      </w:r>
    </w:p>
    <w:p>
      <w:pPr>
        <w:pStyle w:val="BodyText"/>
        <w:spacing w:line="364" w:lineRule="auto" w:before="2"/>
        <w:ind w:left="1319" w:right="1577" w:firstLine="480"/>
        <w:jc w:val="both"/>
      </w:pPr>
      <w:r>
        <w:rPr>
          <w:spacing w:val="-8"/>
        </w:rPr>
        <w:t>还要感谢我的室友张琪、汪安颖、魏敏，以及同专业的龚若飞、王晓丽，感</w:t>
      </w:r>
      <w:r>
        <w:rPr>
          <w:spacing w:val="-7"/>
        </w:rPr>
        <w:t>谢他们对我生活上的照顾与关心，感谢他们一路的陪伴与支持，同窗之谊，终身</w:t>
      </w:r>
      <w:r>
        <w:rPr>
          <w:spacing w:val="-11"/>
        </w:rPr>
        <w:t>难忘。在此，我还要感谢我的父母，感谢他们的养育之恩，给予了我无微不至的</w:t>
      </w:r>
      <w:r>
        <w:rPr/>
        <w:t>关怀，父母之恩，无以回报，永刻心间。</w:t>
      </w:r>
    </w:p>
    <w:p>
      <w:pPr>
        <w:pStyle w:val="BodyText"/>
        <w:spacing w:line="364" w:lineRule="auto" w:before="3"/>
        <w:ind w:left="1319" w:right="1485" w:firstLine="480"/>
      </w:pPr>
      <w:r>
        <w:rPr/>
        <w:t>最后，我还要对在百忙之中依然抽出时间对我的论文进行评审的各位专家、教授们表示由衷地感谢与敬意，愿你们工作顺利、身体健康。</w:t>
      </w:r>
    </w:p>
    <w:p>
      <w:pPr>
        <w:spacing w:after="0" w:line="364" w:lineRule="auto"/>
        <w:sectPr>
          <w:headerReference w:type="default" r:id="rId11"/>
          <w:footerReference w:type="default" r:id="rId12"/>
          <w:pgSz w:w="11910" w:h="16840"/>
          <w:pgMar w:header="878" w:footer="1191" w:top="1300" w:bottom="1380" w:left="480" w:right="220"/>
          <w:pgNumType w:start="1"/>
        </w:sectPr>
      </w:pPr>
    </w:p>
    <w:p>
      <w:pPr>
        <w:pStyle w:val="BodyText"/>
        <w:spacing w:before="9"/>
        <w:rPr>
          <w:sz w:val="20"/>
        </w:rPr>
      </w:pPr>
    </w:p>
    <w:p>
      <w:pPr>
        <w:pStyle w:val="Heading1"/>
        <w:spacing w:line="510" w:lineRule="exact"/>
        <w:ind w:right="261"/>
        <w:jc w:val="center"/>
      </w:pPr>
      <w:bookmarkStart w:name="_bookmark1" w:id="2"/>
      <w:bookmarkEnd w:id="2"/>
      <w:r>
        <w:rPr>
          <w:b w:val="0"/>
        </w:rPr>
      </w:r>
      <w:r>
        <w:rPr/>
        <w:t>摘要</w:t>
      </w:r>
    </w:p>
    <w:p>
      <w:pPr>
        <w:pStyle w:val="BodyText"/>
        <w:spacing w:before="11"/>
        <w:rPr>
          <w:rFonts w:ascii="Microsoft JhengHei"/>
          <w:b/>
          <w:sz w:val="28"/>
        </w:rPr>
      </w:pPr>
    </w:p>
    <w:p>
      <w:pPr>
        <w:pStyle w:val="BodyText"/>
        <w:spacing w:line="364" w:lineRule="auto"/>
        <w:ind w:left="1320" w:right="1457" w:firstLine="480"/>
      </w:pPr>
      <w:r>
        <w:rPr>
          <w:spacing w:val="-7"/>
        </w:rPr>
        <w:t>随着对核心素养的研究不断深入，基于核心素养观反思包括生涯规划教育在</w:t>
      </w:r>
      <w:r>
        <w:rPr>
          <w:spacing w:val="-12"/>
        </w:rPr>
        <w:t>内的教育变革，将逐渐成为一种趋势。高考改革的推进，使普通高中阶段开展生</w:t>
      </w:r>
      <w:r>
        <w:rPr>
          <w:spacing w:val="-14"/>
        </w:rPr>
        <w:t>涯规划教育迫在眉睫。因此，以核心素养观为切入点，对普通高中生涯规划教育的实施进行思考，具有深刻的现实意义。通过文献梳理、比较研究、问卷调查、教师访谈等方法，本研究概括了核心素养观对发达国家生涯规划教育实施的影 </w:t>
      </w:r>
      <w:r>
        <w:rPr>
          <w:spacing w:val="-10"/>
        </w:rPr>
        <w:t>响；了解了普通高中生涯规划教育的实施现状，归纳其开展中的主要问题，并剖</w:t>
      </w:r>
      <w:r>
        <w:rPr>
          <w:spacing w:val="-18"/>
        </w:rPr>
        <w:t>析了问题成因，进而提出了我国普通高中生涯规划教育的实施建议。论文分五章。</w:t>
      </w:r>
    </w:p>
    <w:p>
      <w:pPr>
        <w:pStyle w:val="BodyText"/>
        <w:spacing w:line="364" w:lineRule="auto" w:before="5"/>
        <w:ind w:left="1320" w:right="1577" w:firstLine="480"/>
        <w:jc w:val="both"/>
      </w:pPr>
      <w:r>
        <w:rPr>
          <w:spacing w:val="-7"/>
        </w:rPr>
        <w:t>第一章从国际上核心素养引领教育变革、高考改革对高中教育的影响以及现</w:t>
      </w:r>
      <w:r>
        <w:rPr>
          <w:spacing w:val="-5"/>
        </w:rPr>
        <w:t>今生涯规划教育存在的误区三个方面阐明了研究背景，明确了研究意义，并运用</w:t>
      </w:r>
      <w:r>
        <w:rPr>
          <w:spacing w:val="-6"/>
        </w:rPr>
        <w:t>文献研究法梳理了国内外关于核心素养、生涯规划教育的研究。基于对已有研究</w:t>
      </w:r>
      <w:r>
        <w:rPr/>
        <w:t>的反思，厘清了本研究的思路，确定了研究方法。</w:t>
      </w:r>
    </w:p>
    <w:p>
      <w:pPr>
        <w:pStyle w:val="BodyText"/>
        <w:spacing w:line="364" w:lineRule="auto" w:before="2"/>
        <w:ind w:left="1320" w:right="1457" w:firstLine="360"/>
      </w:pPr>
      <w:r>
        <w:rPr/>
        <w:t>第二章主要分析了核心素养观的基本特征，并在此基础上运用比较法探讨核</w:t>
      </w:r>
      <w:r>
        <w:rPr>
          <w:spacing w:val="-11"/>
        </w:rPr>
        <w:t>心素养观对发达国家生涯规划教育的实施目标、实施内容、实施方式产生的影响， </w:t>
      </w:r>
      <w:r>
        <w:rPr/>
        <w:t>为我国普通高中生涯规划教育的开展提供了实践借鉴，指明了发展方向。</w:t>
      </w:r>
    </w:p>
    <w:p>
      <w:pPr>
        <w:pStyle w:val="BodyText"/>
        <w:spacing w:line="364" w:lineRule="auto" w:before="2"/>
        <w:ind w:left="1320" w:right="1577" w:firstLine="480"/>
        <w:jc w:val="both"/>
      </w:pPr>
      <w:r>
        <w:rPr>
          <w:spacing w:val="-3"/>
        </w:rPr>
        <w:t>第三章立足于前人的研究经验，以问卷调查为主，访谈为辅，对 </w:t>
      </w:r>
      <w:r>
        <w:rPr/>
        <w:t>XS</w:t>
      </w:r>
      <w:r>
        <w:rPr>
          <w:spacing w:val="-40"/>
        </w:rPr>
        <w:t> 县 </w:t>
      </w:r>
      <w:r>
        <w:rPr/>
        <w:t>5</w:t>
      </w:r>
      <w:r>
        <w:rPr>
          <w:spacing w:val="-30"/>
        </w:rPr>
        <w:t> 所</w:t>
      </w:r>
      <w:r>
        <w:rPr>
          <w:spacing w:val="-27"/>
        </w:rPr>
        <w:t>普通高中生涯规划教育实施现状进行了调查，并归纳出现阶段普通高中生涯规划</w:t>
      </w:r>
      <w:r>
        <w:rPr>
          <w:spacing w:val="-7"/>
        </w:rPr>
        <w:t>教育实施中存在的四个主要问题：一是实施目标比较狭隘；二是实施内容比较局</w:t>
      </w:r>
      <w:r>
        <w:rPr/>
        <w:t>限；三是实施方式比较单一；四是实施结果不甚理想。</w:t>
      </w:r>
    </w:p>
    <w:p>
      <w:pPr>
        <w:pStyle w:val="BodyText"/>
        <w:spacing w:line="364" w:lineRule="auto" w:before="2"/>
        <w:ind w:left="1320" w:right="1577" w:firstLine="480"/>
        <w:jc w:val="both"/>
      </w:pPr>
      <w:r>
        <w:rPr>
          <w:spacing w:val="-4"/>
        </w:rPr>
        <w:t>第四章从四个方面剖析了我国普通高中生涯规划教育实施中问题的成因：一</w:t>
      </w:r>
      <w:r>
        <w:rPr>
          <w:spacing w:val="-7"/>
        </w:rPr>
        <w:t>是生涯规划教育历史进程的断层；二是普通高中性质与定位的片面化；三是应试</w:t>
      </w:r>
      <w:r>
        <w:rPr/>
        <w:t>教育的根深蒂固；四是生涯规划教育保障机制欠完善。</w:t>
      </w:r>
    </w:p>
    <w:p>
      <w:pPr>
        <w:pStyle w:val="BodyText"/>
        <w:spacing w:line="364" w:lineRule="auto" w:before="2"/>
        <w:ind w:left="1320" w:right="1577" w:firstLine="480"/>
        <w:jc w:val="both"/>
      </w:pPr>
      <w:r>
        <w:rPr>
          <w:spacing w:val="-6"/>
        </w:rPr>
        <w:t>第五章基于核心素养观的基本理念，结合国际经验，侧重于从普通高中的性</w:t>
      </w:r>
      <w:r>
        <w:rPr>
          <w:spacing w:val="-10"/>
        </w:rPr>
        <w:t>质与价值定位、实施目标、实施内容、实施方式、保障机制和支持体系五个方面</w:t>
      </w:r>
      <w:r>
        <w:rPr>
          <w:spacing w:val="-7"/>
        </w:rPr>
        <w:t>论述了如何依据我国国情，以高考改革为契机，在普通高中阶段开展生涯规划教</w:t>
      </w:r>
      <w:r>
        <w:rPr/>
        <w:t>育，提高生涯规划教育的有效性。</w:t>
      </w:r>
    </w:p>
    <w:p>
      <w:pPr>
        <w:pStyle w:val="BodyText"/>
        <w:spacing w:before="2"/>
        <w:ind w:left="1320"/>
      </w:pPr>
      <w:r>
        <w:rPr/>
        <w:t>关键词：核心素养；普通高中；生涯规划教育；实施</w:t>
      </w:r>
    </w:p>
    <w:p>
      <w:pPr>
        <w:spacing w:after="0"/>
        <w:sectPr>
          <w:pgSz w:w="11910" w:h="16840"/>
          <w:pgMar w:header="878" w:footer="1191" w:top="1300" w:bottom="1380" w:left="480" w:right="220"/>
        </w:sectPr>
      </w:pPr>
    </w:p>
    <w:p>
      <w:pPr>
        <w:pStyle w:val="BodyText"/>
        <w:spacing w:before="12"/>
        <w:rPr>
          <w:sz w:val="19"/>
        </w:rPr>
      </w:pPr>
    </w:p>
    <w:p>
      <w:pPr>
        <w:pStyle w:val="Heading1"/>
        <w:spacing w:before="87"/>
        <w:ind w:right="253"/>
        <w:jc w:val="center"/>
        <w:rPr>
          <w:rFonts w:ascii="Times New Roman"/>
        </w:rPr>
      </w:pPr>
      <w:bookmarkStart w:name="_bookmark2" w:id="3"/>
      <w:bookmarkEnd w:id="3"/>
      <w:r>
        <w:rPr>
          <w:b w:val="0"/>
        </w:rPr>
      </w:r>
      <w:r>
        <w:rPr>
          <w:rFonts w:ascii="Times New Roman"/>
        </w:rPr>
        <w:t>Abstract</w:t>
      </w:r>
    </w:p>
    <w:p>
      <w:pPr>
        <w:pStyle w:val="BodyText"/>
        <w:rPr>
          <w:rFonts w:ascii="Times New Roman"/>
          <w:b/>
          <w:sz w:val="32"/>
        </w:rPr>
      </w:pPr>
    </w:p>
    <w:p>
      <w:pPr>
        <w:pStyle w:val="BodyText"/>
        <w:spacing w:line="405" w:lineRule="auto" w:before="260"/>
        <w:ind w:left="1319" w:right="1543" w:firstLine="475"/>
        <w:jc w:val="both"/>
        <w:rPr>
          <w:rFonts w:ascii="Times New Roman" w:eastAsia="Times New Roman"/>
        </w:rPr>
      </w:pPr>
      <w:r>
        <w:rPr>
          <w:rFonts w:ascii="Times New Roman" w:eastAsia="Times New Roman"/>
          <w:spacing w:val="-3"/>
        </w:rPr>
        <w:t>With </w:t>
      </w:r>
      <w:r>
        <w:rPr>
          <w:rFonts w:ascii="Times New Roman" w:eastAsia="Times New Roman"/>
        </w:rPr>
        <w:t>the further research on key competencies,   the educational reform based   on the reflection of key competencies conception, including career education, will gradually become a trend. </w:t>
      </w:r>
      <w:r>
        <w:rPr>
          <w:rFonts w:ascii="Times New Roman" w:eastAsia="Times New Roman"/>
          <w:spacing w:val="-3"/>
        </w:rPr>
        <w:t>With </w:t>
      </w:r>
      <w:r>
        <w:rPr>
          <w:rFonts w:ascii="Times New Roman" w:eastAsia="Times New Roman"/>
        </w:rPr>
        <w:t>the advancement of reform of college entrance examination, the implementation of career education in senior high school is imminent. Therefore, taking the key competencies as the basis, the reflection of senior high school career education is of great practical significance. Through the methods of literature review, comparative research, questionnaire and interviews,this study summarizes the influence of key competencies conception on the implementation of career education in developed countries ,demonstrates the current situation of career education in senior high school.</w:t>
      </w:r>
      <w:r>
        <w:rPr/>
        <w:t>，</w:t>
      </w:r>
      <w:r>
        <w:rPr>
          <w:rFonts w:ascii="Times New Roman" w:eastAsia="Times New Roman"/>
        </w:rPr>
        <w:t>then induces the essential issues, analyzes its</w:t>
      </w:r>
      <w:r>
        <w:rPr>
          <w:rFonts w:ascii="Times New Roman" w:eastAsia="Times New Roman"/>
          <w:spacing w:val="12"/>
        </w:rPr>
        <w:t> </w:t>
      </w:r>
      <w:r>
        <w:rPr>
          <w:rFonts w:ascii="Times New Roman" w:eastAsia="Times New Roman"/>
        </w:rPr>
        <w:t>causes</w:t>
      </w:r>
    </w:p>
    <w:p>
      <w:pPr>
        <w:pStyle w:val="BodyText"/>
        <w:spacing w:line="239" w:lineRule="exact"/>
        <w:ind w:left="1320"/>
        <w:jc w:val="both"/>
        <w:rPr>
          <w:rFonts w:ascii="Times New Roman"/>
        </w:rPr>
      </w:pPr>
      <w:r>
        <w:rPr>
          <w:rFonts w:ascii="Times New Roman"/>
        </w:rPr>
        <w:t>and</w:t>
      </w:r>
      <w:r>
        <w:rPr>
          <w:rFonts w:ascii="Times New Roman"/>
          <w:spacing w:val="10"/>
        </w:rPr>
        <w:t> </w:t>
      </w:r>
      <w:r>
        <w:rPr>
          <w:rFonts w:ascii="Times New Roman"/>
        </w:rPr>
        <w:t>proposes</w:t>
      </w:r>
      <w:r>
        <w:rPr>
          <w:rFonts w:ascii="Times New Roman"/>
          <w:spacing w:val="12"/>
        </w:rPr>
        <w:t> </w:t>
      </w:r>
      <w:r>
        <w:rPr>
          <w:rFonts w:ascii="Times New Roman"/>
        </w:rPr>
        <w:t>recommendations</w:t>
      </w:r>
      <w:r>
        <w:rPr>
          <w:rFonts w:ascii="Times New Roman"/>
          <w:spacing w:val="10"/>
        </w:rPr>
        <w:t> </w:t>
      </w:r>
      <w:r>
        <w:rPr>
          <w:rFonts w:ascii="Times New Roman"/>
        </w:rPr>
        <w:t>for</w:t>
      </w:r>
      <w:r>
        <w:rPr>
          <w:rFonts w:ascii="Times New Roman"/>
          <w:spacing w:val="11"/>
        </w:rPr>
        <w:t> </w:t>
      </w:r>
      <w:r>
        <w:rPr>
          <w:rFonts w:ascii="Times New Roman"/>
        </w:rPr>
        <w:t>implementation</w:t>
      </w:r>
      <w:r>
        <w:rPr>
          <w:rFonts w:ascii="Times New Roman"/>
          <w:spacing w:val="10"/>
        </w:rPr>
        <w:t> </w:t>
      </w:r>
      <w:r>
        <w:rPr>
          <w:rFonts w:ascii="Times New Roman"/>
        </w:rPr>
        <w:t>of</w:t>
      </w:r>
      <w:r>
        <w:rPr>
          <w:rFonts w:ascii="Times New Roman"/>
          <w:spacing w:val="10"/>
        </w:rPr>
        <w:t> </w:t>
      </w:r>
      <w:r>
        <w:rPr>
          <w:rFonts w:ascii="Times New Roman"/>
        </w:rPr>
        <w:t>career</w:t>
      </w:r>
      <w:r>
        <w:rPr>
          <w:rFonts w:ascii="Times New Roman"/>
          <w:spacing w:val="11"/>
        </w:rPr>
        <w:t> </w:t>
      </w:r>
      <w:r>
        <w:rPr>
          <w:rFonts w:ascii="Times New Roman"/>
        </w:rPr>
        <w:t>education</w:t>
      </w:r>
      <w:r>
        <w:rPr>
          <w:rFonts w:ascii="Times New Roman"/>
          <w:spacing w:val="10"/>
        </w:rPr>
        <w:t> </w:t>
      </w:r>
      <w:r>
        <w:rPr>
          <w:rFonts w:ascii="Times New Roman"/>
        </w:rPr>
        <w:t>in</w:t>
      </w:r>
      <w:r>
        <w:rPr>
          <w:rFonts w:ascii="Times New Roman"/>
          <w:spacing w:val="10"/>
        </w:rPr>
        <w:t> </w:t>
      </w:r>
      <w:r>
        <w:rPr>
          <w:rFonts w:ascii="Times New Roman"/>
        </w:rPr>
        <w:t>senior</w:t>
      </w:r>
      <w:r>
        <w:rPr>
          <w:rFonts w:ascii="Times New Roman"/>
          <w:spacing w:val="12"/>
        </w:rPr>
        <w:t> </w:t>
      </w:r>
      <w:r>
        <w:rPr>
          <w:rFonts w:ascii="Times New Roman"/>
        </w:rPr>
        <w:t>high</w:t>
      </w:r>
    </w:p>
    <w:p>
      <w:pPr>
        <w:pStyle w:val="BodyText"/>
        <w:spacing w:before="192"/>
        <w:ind w:left="1320"/>
        <w:jc w:val="both"/>
        <w:rPr>
          <w:rFonts w:ascii="Times New Roman"/>
        </w:rPr>
      </w:pPr>
      <w:r>
        <w:rPr>
          <w:rFonts w:ascii="Times New Roman"/>
        </w:rPr>
        <w:t>school. The dissertation is divided into five chapters:</w:t>
      </w:r>
    </w:p>
    <w:p>
      <w:pPr>
        <w:pStyle w:val="BodyText"/>
        <w:spacing w:line="408" w:lineRule="auto" w:before="192"/>
        <w:ind w:left="1320" w:right="1525" w:firstLine="475"/>
        <w:jc w:val="both"/>
        <w:rPr>
          <w:rFonts w:ascii="Times New Roman" w:hAnsi="Times New Roman"/>
        </w:rPr>
      </w:pPr>
      <w:r>
        <w:rPr>
          <w:rFonts w:ascii="Times New Roman" w:hAnsi="Times New Roman"/>
        </w:rPr>
        <w:t>The first chapter clarifies the research background, explicates the significance of it from the perspective of educational reform led by key competencies internationally, the influence of college entrance examination reform on senior high school and misunderstanding towards current career education.The researches on key competencies and career education at home and abroad are collected and analyzed through the method of literature review. Based on the reflection of current researches’ achievements, this part defines research routes and</w:t>
      </w:r>
      <w:r>
        <w:rPr>
          <w:rFonts w:ascii="Times New Roman" w:hAnsi="Times New Roman"/>
          <w:spacing w:val="-1"/>
        </w:rPr>
        <w:t> </w:t>
      </w:r>
      <w:r>
        <w:rPr>
          <w:rFonts w:ascii="Times New Roman" w:hAnsi="Times New Roman"/>
        </w:rPr>
        <w:t>methodologies.</w:t>
      </w:r>
    </w:p>
    <w:p>
      <w:pPr>
        <w:pStyle w:val="BodyText"/>
        <w:spacing w:line="408" w:lineRule="auto"/>
        <w:ind w:left="1320" w:right="1545" w:firstLine="595"/>
        <w:jc w:val="both"/>
        <w:rPr>
          <w:rFonts w:ascii="Times New Roman"/>
        </w:rPr>
      </w:pPr>
      <w:r>
        <w:rPr>
          <w:rFonts w:ascii="Times New Roman"/>
        </w:rPr>
        <w:t>The second chapter mainly analyzes the basic characteristics of the core competencies conception, and explores its impact on the implementary objectives, content and approaches of career planning education in developed countries through the comparative method which provides practical references for the development of career planning education in senior high school and specifies its development direction.</w:t>
      </w:r>
    </w:p>
    <w:p>
      <w:pPr>
        <w:pStyle w:val="BodyText"/>
        <w:spacing w:line="269" w:lineRule="exact"/>
        <w:ind w:left="1800"/>
        <w:jc w:val="both"/>
        <w:rPr>
          <w:rFonts w:ascii="Times New Roman"/>
        </w:rPr>
      </w:pPr>
      <w:r>
        <w:rPr>
          <w:rFonts w:ascii="Times New Roman"/>
        </w:rPr>
        <w:t>The third chapter is based on the questionnaire survey, supplemented by the</w:t>
      </w:r>
    </w:p>
    <w:p>
      <w:pPr>
        <w:spacing w:after="0" w:line="269" w:lineRule="exact"/>
        <w:jc w:val="both"/>
        <w:rPr>
          <w:rFonts w:ascii="Times New Roman"/>
        </w:rPr>
        <w:sectPr>
          <w:pgSz w:w="11910" w:h="16840"/>
          <w:pgMar w:header="878" w:footer="1191" w:top="1300" w:bottom="1380" w:left="480" w:right="220"/>
        </w:sectPr>
      </w:pPr>
    </w:p>
    <w:p>
      <w:pPr>
        <w:pStyle w:val="BodyText"/>
        <w:spacing w:before="9"/>
        <w:rPr>
          <w:rFonts w:ascii="Times New Roman"/>
          <w:sz w:val="11"/>
        </w:rPr>
      </w:pPr>
    </w:p>
    <w:p>
      <w:pPr>
        <w:pStyle w:val="BodyText"/>
        <w:spacing w:line="408" w:lineRule="auto" w:before="90"/>
        <w:ind w:left="1320" w:right="1487" w:firstLine="480"/>
        <w:jc w:val="both"/>
        <w:rPr>
          <w:rFonts w:ascii="Times New Roman"/>
        </w:rPr>
      </w:pPr>
      <w:r>
        <w:rPr>
          <w:rFonts w:ascii="Times New Roman"/>
        </w:rPr>
        <w:t>interview and previous research experiences, and it surveys the current implementation of career education in five senior high school in XS </w:t>
      </w:r>
      <w:r>
        <w:rPr>
          <w:rFonts w:ascii="Times New Roman"/>
          <w:spacing w:val="-3"/>
        </w:rPr>
        <w:t>County. </w:t>
      </w:r>
      <w:r>
        <w:rPr>
          <w:rFonts w:ascii="Times New Roman"/>
        </w:rPr>
        <w:t>Then it summarizes the four main problems emerged during the implementation process. First, the objective of the implementation is relatively narrow; second, the content is more limited; third, the approaches of implementation are less diversified; fourth,  the  results of implementation are not</w:t>
      </w:r>
      <w:r>
        <w:rPr>
          <w:rFonts w:ascii="Times New Roman"/>
          <w:spacing w:val="-2"/>
        </w:rPr>
        <w:t> </w:t>
      </w:r>
      <w:r>
        <w:rPr>
          <w:rFonts w:ascii="Times New Roman"/>
        </w:rPr>
        <w:t>satisfactory.</w:t>
      </w:r>
    </w:p>
    <w:p>
      <w:pPr>
        <w:pStyle w:val="BodyText"/>
        <w:spacing w:line="408" w:lineRule="auto"/>
        <w:ind w:left="1320" w:right="1543" w:firstLine="480"/>
        <w:jc w:val="both"/>
        <w:rPr>
          <w:rFonts w:ascii="Times New Roman"/>
        </w:rPr>
      </w:pPr>
      <w:r>
        <w:rPr>
          <w:rFonts w:ascii="Times New Roman"/>
        </w:rPr>
        <w:t>The fourth chapter analyzes the causes of the problems emerged in the implementation of career education in senior high school from the four aspects. The first reason is the fault of the historical process of career planning education; the second is the unilateralism of the nature and orientation of senior high school; the  third is the deep-rooted influence of exam-oriented education; the fourth is the imperfection of guarantee mechanism of career</w:t>
      </w:r>
      <w:r>
        <w:rPr>
          <w:rFonts w:ascii="Times New Roman"/>
          <w:spacing w:val="-2"/>
        </w:rPr>
        <w:t> </w:t>
      </w:r>
      <w:r>
        <w:rPr>
          <w:rFonts w:ascii="Times New Roman"/>
        </w:rPr>
        <w:t>education.</w:t>
      </w:r>
    </w:p>
    <w:p>
      <w:pPr>
        <w:pStyle w:val="BodyText"/>
        <w:spacing w:line="408" w:lineRule="auto"/>
        <w:ind w:left="1320" w:right="1545" w:firstLine="480"/>
        <w:jc w:val="both"/>
        <w:rPr>
          <w:rFonts w:ascii="Times New Roman"/>
        </w:rPr>
      </w:pPr>
      <w:r>
        <w:rPr>
          <w:rFonts w:ascii="Times New Roman"/>
        </w:rPr>
        <w:t>Based on the basic conceptions of key competencies and combined with international experiences, the fifth chapter discusses how to implement career education and improve its effectiveness in senior high school according to national conditions and current college entrance examination reform from the perspectives of the nature and value orientation of senior high school, the objective, content and approach of implementation, as well as the guarantee mechanism and supporting system.</w:t>
      </w:r>
    </w:p>
    <w:p>
      <w:pPr>
        <w:pStyle w:val="BodyText"/>
        <w:spacing w:before="9"/>
        <w:rPr>
          <w:rFonts w:ascii="Times New Roman"/>
          <w:sz w:val="38"/>
        </w:rPr>
      </w:pPr>
    </w:p>
    <w:p>
      <w:pPr>
        <w:pStyle w:val="BodyText"/>
        <w:spacing w:line="408" w:lineRule="auto"/>
        <w:ind w:left="1320" w:right="1485"/>
        <w:rPr>
          <w:rFonts w:ascii="Times New Roman"/>
        </w:rPr>
      </w:pPr>
      <w:r>
        <w:rPr>
          <w:rFonts w:ascii="Times New Roman"/>
        </w:rPr>
        <w:t>Key words: key competencies; senior high school; career planning education; i mplementation</w:t>
      </w:r>
    </w:p>
    <w:p>
      <w:pPr>
        <w:spacing w:after="0" w:line="408" w:lineRule="auto"/>
        <w:rPr>
          <w:rFonts w:ascii="Times New Roman"/>
        </w:rPr>
        <w:sectPr>
          <w:pgSz w:w="11910" w:h="16840"/>
          <w:pgMar w:header="878" w:footer="1191" w:top="1300" w:bottom="1380" w:left="480" w:right="220"/>
        </w:sectPr>
      </w:pPr>
    </w:p>
    <w:p>
      <w:pPr>
        <w:pStyle w:val="BodyText"/>
        <w:rPr>
          <w:rFonts w:ascii="Times New Roman"/>
          <w:sz w:val="16"/>
        </w:rPr>
      </w:pPr>
    </w:p>
    <w:p>
      <w:pPr>
        <w:spacing w:before="54"/>
        <w:ind w:left="0" w:right="260" w:firstLine="0"/>
        <w:jc w:val="center"/>
        <w:rPr>
          <w:sz w:val="32"/>
        </w:rPr>
      </w:pPr>
      <w:bookmarkStart w:name="_bookmark3" w:id="4"/>
      <w:bookmarkEnd w:id="4"/>
      <w:r>
        <w:rPr/>
      </w:r>
      <w:r>
        <w:rPr>
          <w:sz w:val="32"/>
        </w:rPr>
        <w:t>目录</w:t>
      </w:r>
    </w:p>
    <w:p>
      <w:pPr>
        <w:spacing w:after="0"/>
        <w:jc w:val="center"/>
        <w:rPr>
          <w:sz w:val="32"/>
        </w:rPr>
        <w:sectPr>
          <w:pgSz w:w="11910" w:h="16840"/>
          <w:pgMar w:header="878" w:footer="1191" w:top="1300" w:bottom="1730" w:left="480" w:right="220"/>
        </w:sectPr>
      </w:pPr>
    </w:p>
    <w:sdt>
      <w:sdtPr>
        <w:docPartObj>
          <w:docPartGallery w:val="Table of Contents"/>
          <w:docPartUnique/>
        </w:docPartObj>
      </w:sdtPr>
      <w:sdtEndPr/>
      <w:sdtContent>
        <w:p>
          <w:pPr>
            <w:pStyle w:val="TOC1"/>
            <w:tabs>
              <w:tab w:pos="9627" w:val="right" w:leader="dot"/>
            </w:tabs>
            <w:spacing w:before="186"/>
            <w:ind w:left="1319"/>
            <w:rPr>
              <w:rFonts w:ascii="Times New Roman" w:eastAsia="Times New Roman"/>
            </w:rPr>
          </w:pPr>
          <w:hyperlink w:history="true" w:anchor="_bookmark0">
            <w:r>
              <w:rPr/>
              <w:t>致谢</w:t>
              <w:tab/>
            </w:r>
            <w:r>
              <w:rPr>
                <w:rFonts w:ascii="Times New Roman" w:eastAsia="Times New Roman"/>
              </w:rPr>
              <w:t>I</w:t>
            </w:r>
          </w:hyperlink>
        </w:p>
        <w:p>
          <w:pPr>
            <w:pStyle w:val="TOC1"/>
            <w:tabs>
              <w:tab w:pos="9624" w:val="right" w:leader="dot"/>
            </w:tabs>
            <w:ind w:left="1319"/>
            <w:rPr>
              <w:rFonts w:ascii="Times New Roman" w:eastAsia="Times New Roman"/>
            </w:rPr>
          </w:pPr>
          <w:hyperlink w:history="true" w:anchor="_bookmark1">
            <w:r>
              <w:rPr/>
              <w:t>摘要</w:t>
              <w:tab/>
            </w:r>
            <w:r>
              <w:rPr>
                <w:rFonts w:ascii="Times New Roman" w:eastAsia="Times New Roman"/>
              </w:rPr>
              <w:t>II</w:t>
            </w:r>
          </w:hyperlink>
        </w:p>
        <w:p>
          <w:pPr>
            <w:pStyle w:val="TOC1"/>
            <w:tabs>
              <w:tab w:pos="9622" w:val="right" w:leader="dot"/>
            </w:tabs>
            <w:spacing w:before="177"/>
            <w:ind w:left="1319"/>
            <w:rPr>
              <w:rFonts w:ascii="Times New Roman"/>
            </w:rPr>
          </w:pPr>
          <w:hyperlink w:history="true" w:anchor="_bookmark2">
            <w:r>
              <w:rPr>
                <w:rFonts w:ascii="Times New Roman"/>
              </w:rPr>
              <w:t>Abstract</w:t>
              <w:tab/>
              <w:t>III</w:t>
            </w:r>
          </w:hyperlink>
        </w:p>
        <w:p>
          <w:pPr>
            <w:pStyle w:val="TOC1"/>
            <w:tabs>
              <w:tab w:pos="9626" w:val="right" w:leader="dot"/>
            </w:tabs>
            <w:spacing w:before="176"/>
            <w:ind w:left="1319"/>
            <w:rPr>
              <w:rFonts w:ascii="Times New Roman" w:eastAsia="Times New Roman"/>
            </w:rPr>
          </w:pPr>
          <w:hyperlink w:history="true" w:anchor="_bookmark3">
            <w:r>
              <w:rPr/>
              <w:t>目录</w:t>
              <w:tab/>
            </w:r>
            <w:r>
              <w:rPr>
                <w:rFonts w:ascii="Times New Roman" w:eastAsia="Times New Roman"/>
              </w:rPr>
              <w:t>V</w:t>
            </w:r>
          </w:hyperlink>
        </w:p>
        <w:p>
          <w:pPr>
            <w:pStyle w:val="TOC1"/>
            <w:numPr>
              <w:ilvl w:val="0"/>
              <w:numId w:val="1"/>
            </w:numPr>
            <w:tabs>
              <w:tab w:pos="1560" w:val="left" w:leader="none"/>
              <w:tab w:pos="9626" w:val="right" w:leader="dot"/>
            </w:tabs>
            <w:spacing w:line="240" w:lineRule="auto" w:before="160" w:after="0"/>
            <w:ind w:left="1560" w:right="0" w:hanging="241"/>
            <w:jc w:val="left"/>
            <w:rPr>
              <w:rFonts w:ascii="Times New Roman" w:eastAsia="Times New Roman"/>
            </w:rPr>
          </w:pPr>
          <w:hyperlink w:history="true" w:anchor="_bookmark4">
            <w:r>
              <w:rPr/>
              <w:t>绪论</w:t>
              <w:tab/>
            </w:r>
            <w:r>
              <w:rPr>
                <w:rFonts w:ascii="Times New Roman" w:eastAsia="Times New Roman"/>
              </w:rPr>
              <w:t>1</w:t>
            </w:r>
          </w:hyperlink>
        </w:p>
        <w:p>
          <w:pPr>
            <w:pStyle w:val="TOC2"/>
            <w:numPr>
              <w:ilvl w:val="1"/>
              <w:numId w:val="1"/>
            </w:numPr>
            <w:tabs>
              <w:tab w:pos="2160" w:val="left" w:leader="none"/>
              <w:tab w:pos="9626" w:val="right" w:leader="dot"/>
            </w:tabs>
            <w:spacing w:line="240" w:lineRule="auto" w:before="161" w:after="0"/>
            <w:ind w:left="2160" w:right="0" w:hanging="421"/>
            <w:jc w:val="left"/>
            <w:rPr>
              <w:rFonts w:ascii="Times New Roman" w:eastAsia="Times New Roman"/>
            </w:rPr>
          </w:pPr>
          <w:hyperlink w:history="true" w:anchor="_bookmark5">
            <w:r>
              <w:rPr/>
              <w:t>研究背景</w:t>
              <w:tab/>
            </w:r>
            <w:r>
              <w:rPr>
                <w:rFonts w:ascii="Times New Roman" w:eastAsia="Times New Roman"/>
              </w:rPr>
              <w:t>1</w:t>
            </w:r>
          </w:hyperlink>
        </w:p>
        <w:p>
          <w:pPr>
            <w:pStyle w:val="TOC4"/>
            <w:numPr>
              <w:ilvl w:val="2"/>
              <w:numId w:val="1"/>
            </w:numPr>
            <w:tabs>
              <w:tab w:pos="2760" w:val="left" w:leader="none"/>
              <w:tab w:pos="9626" w:val="right" w:leader="dot"/>
            </w:tabs>
            <w:spacing w:line="240" w:lineRule="auto" w:before="160" w:after="0"/>
            <w:ind w:left="2760" w:right="0" w:hanging="601"/>
            <w:jc w:val="left"/>
            <w:rPr>
              <w:rFonts w:ascii="Times New Roman" w:eastAsia="Times New Roman"/>
            </w:rPr>
          </w:pPr>
          <w:hyperlink w:history="true" w:anchor="_bookmark5">
            <w:r>
              <w:rPr/>
              <w:t>国际背景</w:t>
              <w:tab/>
            </w:r>
            <w:r>
              <w:rPr>
                <w:rFonts w:ascii="Times New Roman" w:eastAsia="Times New Roman"/>
              </w:rPr>
              <w:t>1</w:t>
            </w:r>
          </w:hyperlink>
        </w:p>
        <w:p>
          <w:pPr>
            <w:pStyle w:val="TOC4"/>
            <w:numPr>
              <w:ilvl w:val="2"/>
              <w:numId w:val="1"/>
            </w:numPr>
            <w:tabs>
              <w:tab w:pos="2760" w:val="left" w:leader="none"/>
              <w:tab w:pos="9626" w:val="right" w:leader="dot"/>
            </w:tabs>
            <w:spacing w:line="240" w:lineRule="auto" w:before="161" w:after="0"/>
            <w:ind w:left="2760" w:right="0" w:hanging="601"/>
            <w:jc w:val="left"/>
            <w:rPr>
              <w:rFonts w:ascii="Times New Roman" w:eastAsia="Times New Roman"/>
            </w:rPr>
          </w:pPr>
          <w:hyperlink w:history="true" w:anchor="_bookmark6">
            <w:r>
              <w:rPr/>
              <w:t>国内背景</w:t>
              <w:tab/>
            </w:r>
            <w:r>
              <w:rPr>
                <w:rFonts w:ascii="Times New Roman" w:eastAsia="Times New Roman"/>
              </w:rPr>
              <w:t>2</w:t>
            </w:r>
          </w:hyperlink>
        </w:p>
        <w:p>
          <w:pPr>
            <w:pStyle w:val="TOC2"/>
            <w:numPr>
              <w:ilvl w:val="1"/>
              <w:numId w:val="1"/>
            </w:numPr>
            <w:tabs>
              <w:tab w:pos="2160" w:val="left" w:leader="none"/>
              <w:tab w:pos="9626" w:val="right" w:leader="dot"/>
            </w:tabs>
            <w:spacing w:line="240" w:lineRule="auto" w:before="160" w:after="0"/>
            <w:ind w:left="2160" w:right="0" w:hanging="421"/>
            <w:jc w:val="left"/>
            <w:rPr>
              <w:rFonts w:ascii="Times New Roman" w:eastAsia="Times New Roman"/>
            </w:rPr>
          </w:pPr>
          <w:hyperlink w:history="true" w:anchor="_bookmark17">
            <w:r>
              <w:rPr/>
              <w:t>研究意义</w:t>
              <w:tab/>
            </w:r>
            <w:r>
              <w:rPr>
                <w:rFonts w:ascii="Times New Roman" w:eastAsia="Times New Roman"/>
              </w:rPr>
              <w:t>4</w:t>
            </w:r>
          </w:hyperlink>
        </w:p>
        <w:p>
          <w:pPr>
            <w:pStyle w:val="TOC4"/>
            <w:numPr>
              <w:ilvl w:val="2"/>
              <w:numId w:val="1"/>
            </w:numPr>
            <w:tabs>
              <w:tab w:pos="2760" w:val="left" w:leader="none"/>
              <w:tab w:pos="9626" w:val="right" w:leader="dot"/>
            </w:tabs>
            <w:spacing w:line="240" w:lineRule="auto" w:before="161" w:after="0"/>
            <w:ind w:left="2760" w:right="0" w:hanging="601"/>
            <w:jc w:val="left"/>
            <w:rPr>
              <w:rFonts w:ascii="Times New Roman" w:eastAsia="Times New Roman"/>
            </w:rPr>
          </w:pPr>
          <w:hyperlink w:history="true" w:anchor="_bookmark22">
            <w:r>
              <w:rPr/>
              <w:t>理论意义</w:t>
              <w:tab/>
            </w:r>
            <w:r>
              <w:rPr>
                <w:rFonts w:ascii="Times New Roman" w:eastAsia="Times New Roman"/>
              </w:rPr>
              <w:t>5</w:t>
            </w:r>
          </w:hyperlink>
        </w:p>
        <w:p>
          <w:pPr>
            <w:pStyle w:val="TOC4"/>
            <w:numPr>
              <w:ilvl w:val="2"/>
              <w:numId w:val="1"/>
            </w:numPr>
            <w:tabs>
              <w:tab w:pos="2760" w:val="left" w:leader="none"/>
              <w:tab w:pos="9626" w:val="right" w:leader="dot"/>
            </w:tabs>
            <w:spacing w:line="240" w:lineRule="auto" w:before="160" w:after="0"/>
            <w:ind w:left="2760" w:right="0" w:hanging="601"/>
            <w:jc w:val="left"/>
            <w:rPr>
              <w:rFonts w:ascii="Times New Roman" w:eastAsia="Times New Roman"/>
            </w:rPr>
          </w:pPr>
          <w:hyperlink w:history="true" w:anchor="_bookmark22">
            <w:r>
              <w:rPr/>
              <w:t>实践意义</w:t>
              <w:tab/>
            </w:r>
            <w:r>
              <w:rPr>
                <w:rFonts w:ascii="Times New Roman" w:eastAsia="Times New Roman"/>
              </w:rPr>
              <w:t>5</w:t>
            </w:r>
          </w:hyperlink>
        </w:p>
        <w:p>
          <w:pPr>
            <w:pStyle w:val="TOC2"/>
            <w:numPr>
              <w:ilvl w:val="1"/>
              <w:numId w:val="1"/>
            </w:numPr>
            <w:tabs>
              <w:tab w:pos="2160" w:val="left" w:leader="none"/>
              <w:tab w:pos="9626" w:val="right" w:leader="dot"/>
            </w:tabs>
            <w:spacing w:line="240" w:lineRule="auto" w:before="161" w:after="0"/>
            <w:ind w:left="2160" w:right="0" w:hanging="421"/>
            <w:jc w:val="left"/>
            <w:rPr>
              <w:rFonts w:ascii="Times New Roman" w:eastAsia="Times New Roman"/>
            </w:rPr>
          </w:pPr>
          <w:hyperlink w:history="true" w:anchor="_bookmark23">
            <w:r>
              <w:rPr/>
              <w:t>文献综述</w:t>
              <w:tab/>
            </w:r>
            <w:r>
              <w:rPr>
                <w:rFonts w:ascii="Times New Roman" w:eastAsia="Times New Roman"/>
              </w:rPr>
              <w:t>6</w:t>
            </w:r>
          </w:hyperlink>
        </w:p>
        <w:p>
          <w:pPr>
            <w:pStyle w:val="TOC4"/>
            <w:numPr>
              <w:ilvl w:val="2"/>
              <w:numId w:val="1"/>
            </w:numPr>
            <w:tabs>
              <w:tab w:pos="2760" w:val="left" w:leader="none"/>
              <w:tab w:pos="9626" w:val="right" w:leader="dot"/>
            </w:tabs>
            <w:spacing w:line="240" w:lineRule="auto" w:before="160" w:after="0"/>
            <w:ind w:left="2760" w:right="0" w:hanging="601"/>
            <w:jc w:val="left"/>
            <w:rPr>
              <w:rFonts w:ascii="Times New Roman" w:eastAsia="Times New Roman"/>
            </w:rPr>
          </w:pPr>
          <w:hyperlink w:history="true" w:anchor="_bookmark23">
            <w:r>
              <w:rPr/>
              <w:t>关于生涯规划教育的研究</w:t>
              <w:tab/>
            </w:r>
            <w:r>
              <w:rPr>
                <w:rFonts w:ascii="Times New Roman" w:eastAsia="Times New Roman"/>
              </w:rPr>
              <w:t>6</w:t>
            </w:r>
          </w:hyperlink>
        </w:p>
        <w:p>
          <w:pPr>
            <w:pStyle w:val="TOC4"/>
            <w:numPr>
              <w:ilvl w:val="2"/>
              <w:numId w:val="1"/>
            </w:numPr>
            <w:tabs>
              <w:tab w:pos="2760" w:val="left" w:leader="none"/>
              <w:tab w:pos="9626" w:val="right" w:leader="dot"/>
            </w:tabs>
            <w:spacing w:line="240" w:lineRule="auto" w:before="161" w:after="0"/>
            <w:ind w:left="2760" w:right="0" w:hanging="601"/>
            <w:jc w:val="left"/>
            <w:rPr>
              <w:rFonts w:ascii="Times New Roman" w:eastAsia="Times New Roman"/>
            </w:rPr>
          </w:pPr>
          <w:hyperlink w:history="true" w:anchor="_bookmark75">
            <w:r>
              <w:rPr/>
              <w:t>关于核心素养的研究</w:t>
              <w:tab/>
            </w:r>
            <w:r>
              <w:rPr>
                <w:rFonts w:ascii="Times New Roman" w:eastAsia="Times New Roman"/>
              </w:rPr>
              <w:t>14</w:t>
            </w:r>
          </w:hyperlink>
        </w:p>
        <w:p>
          <w:pPr>
            <w:pStyle w:val="TOC4"/>
            <w:numPr>
              <w:ilvl w:val="2"/>
              <w:numId w:val="1"/>
            </w:numPr>
            <w:tabs>
              <w:tab w:pos="2760" w:val="left" w:leader="none"/>
              <w:tab w:pos="9626" w:val="right" w:leader="dot"/>
            </w:tabs>
            <w:spacing w:line="240" w:lineRule="auto" w:before="160" w:after="0"/>
            <w:ind w:left="2760" w:right="0" w:hanging="601"/>
            <w:jc w:val="left"/>
            <w:rPr>
              <w:rFonts w:ascii="Times New Roman" w:eastAsia="Times New Roman"/>
            </w:rPr>
          </w:pPr>
          <w:hyperlink w:history="true" w:anchor="_bookmark115">
            <w:r>
              <w:rPr/>
              <w:t>基于核心素养观的生涯规划教育研究</w:t>
              <w:tab/>
            </w:r>
            <w:r>
              <w:rPr>
                <w:rFonts w:ascii="Times New Roman" w:eastAsia="Times New Roman"/>
              </w:rPr>
              <w:t>22</w:t>
            </w:r>
          </w:hyperlink>
        </w:p>
        <w:p>
          <w:pPr>
            <w:pStyle w:val="TOC4"/>
            <w:numPr>
              <w:ilvl w:val="2"/>
              <w:numId w:val="1"/>
            </w:numPr>
            <w:tabs>
              <w:tab w:pos="2760" w:val="left" w:leader="none"/>
              <w:tab w:pos="9626" w:val="right" w:leader="dot"/>
            </w:tabs>
            <w:spacing w:line="240" w:lineRule="auto" w:before="161" w:after="0"/>
            <w:ind w:left="2760" w:right="0" w:hanging="601"/>
            <w:jc w:val="left"/>
            <w:rPr>
              <w:rFonts w:ascii="Times New Roman" w:eastAsia="Times New Roman"/>
            </w:rPr>
          </w:pPr>
          <w:hyperlink w:history="true" w:anchor="_bookmark120">
            <w:r>
              <w:rPr/>
              <w:t>对国内外已有研究的反思</w:t>
              <w:tab/>
            </w:r>
            <w:r>
              <w:rPr>
                <w:rFonts w:ascii="Times New Roman" w:eastAsia="Times New Roman"/>
              </w:rPr>
              <w:t>24</w:t>
            </w:r>
          </w:hyperlink>
        </w:p>
        <w:p>
          <w:pPr>
            <w:pStyle w:val="TOC2"/>
            <w:numPr>
              <w:ilvl w:val="1"/>
              <w:numId w:val="1"/>
            </w:numPr>
            <w:tabs>
              <w:tab w:pos="2160" w:val="left" w:leader="none"/>
              <w:tab w:pos="9626" w:val="right" w:leader="dot"/>
            </w:tabs>
            <w:spacing w:line="240" w:lineRule="auto" w:before="160" w:after="0"/>
            <w:ind w:left="2160" w:right="0" w:hanging="421"/>
            <w:jc w:val="left"/>
            <w:rPr>
              <w:rFonts w:ascii="Times New Roman" w:eastAsia="Times New Roman"/>
            </w:rPr>
          </w:pPr>
          <w:hyperlink w:history="true" w:anchor="_bookmark122">
            <w:r>
              <w:rPr/>
              <w:t>研究思路与研究方法</w:t>
              <w:tab/>
            </w:r>
            <w:r>
              <w:rPr>
                <w:rFonts w:ascii="Times New Roman" w:eastAsia="Times New Roman"/>
              </w:rPr>
              <w:t>25</w:t>
            </w:r>
          </w:hyperlink>
        </w:p>
        <w:p>
          <w:pPr>
            <w:pStyle w:val="TOC4"/>
            <w:numPr>
              <w:ilvl w:val="2"/>
              <w:numId w:val="1"/>
            </w:numPr>
            <w:tabs>
              <w:tab w:pos="2760" w:val="left" w:leader="none"/>
              <w:tab w:pos="9626" w:val="right" w:leader="dot"/>
            </w:tabs>
            <w:spacing w:line="240" w:lineRule="auto" w:before="161" w:after="0"/>
            <w:ind w:left="2760" w:right="0" w:hanging="601"/>
            <w:jc w:val="left"/>
            <w:rPr>
              <w:rFonts w:ascii="Times New Roman" w:eastAsia="Times New Roman"/>
            </w:rPr>
          </w:pPr>
          <w:hyperlink w:history="true" w:anchor="_bookmark122">
            <w:r>
              <w:rPr/>
              <w:t>研究思路</w:t>
              <w:tab/>
            </w:r>
            <w:r>
              <w:rPr>
                <w:rFonts w:ascii="Times New Roman" w:eastAsia="Times New Roman"/>
              </w:rPr>
              <w:t>25</w:t>
            </w:r>
          </w:hyperlink>
        </w:p>
        <w:p>
          <w:pPr>
            <w:pStyle w:val="TOC4"/>
            <w:numPr>
              <w:ilvl w:val="2"/>
              <w:numId w:val="1"/>
            </w:numPr>
            <w:tabs>
              <w:tab w:pos="2760" w:val="left" w:leader="none"/>
              <w:tab w:pos="9626" w:val="right" w:leader="dot"/>
            </w:tabs>
            <w:spacing w:line="240" w:lineRule="auto" w:before="160" w:after="0"/>
            <w:ind w:left="2760" w:right="0" w:hanging="601"/>
            <w:jc w:val="left"/>
            <w:rPr>
              <w:rFonts w:ascii="Times New Roman" w:eastAsia="Times New Roman"/>
            </w:rPr>
          </w:pPr>
          <w:hyperlink w:history="true" w:anchor="_bookmark122">
            <w:r>
              <w:rPr/>
              <w:t>研究方法</w:t>
              <w:tab/>
            </w:r>
            <w:r>
              <w:rPr>
                <w:rFonts w:ascii="Times New Roman" w:eastAsia="Times New Roman"/>
              </w:rPr>
              <w:t>25</w:t>
            </w:r>
          </w:hyperlink>
        </w:p>
        <w:p>
          <w:pPr>
            <w:pStyle w:val="TOC1"/>
            <w:numPr>
              <w:ilvl w:val="0"/>
              <w:numId w:val="1"/>
            </w:numPr>
            <w:tabs>
              <w:tab w:pos="1560" w:val="left" w:leader="none"/>
              <w:tab w:pos="9626" w:val="right" w:leader="dot"/>
            </w:tabs>
            <w:spacing w:line="240" w:lineRule="auto" w:before="161" w:after="0"/>
            <w:ind w:left="1560" w:right="0" w:hanging="241"/>
            <w:jc w:val="left"/>
            <w:rPr>
              <w:rFonts w:ascii="Times New Roman" w:eastAsia="Times New Roman"/>
            </w:rPr>
          </w:pPr>
          <w:hyperlink w:history="true" w:anchor="_bookmark124">
            <w:r>
              <w:rPr/>
              <w:t>基于核心素养观实施生涯规划教育的国际经验</w:t>
              <w:tab/>
            </w:r>
            <w:r>
              <w:rPr>
                <w:rFonts w:ascii="Times New Roman" w:eastAsia="Times New Roman"/>
              </w:rPr>
              <w:t>27</w:t>
            </w:r>
          </w:hyperlink>
        </w:p>
        <w:p>
          <w:pPr>
            <w:pStyle w:val="TOC2"/>
            <w:numPr>
              <w:ilvl w:val="1"/>
              <w:numId w:val="1"/>
            </w:numPr>
            <w:tabs>
              <w:tab w:pos="2160" w:val="left" w:leader="none"/>
              <w:tab w:pos="9626" w:val="right" w:leader="dot"/>
            </w:tabs>
            <w:spacing w:line="240" w:lineRule="auto" w:before="160" w:after="0"/>
            <w:ind w:left="2160" w:right="0" w:hanging="421"/>
            <w:jc w:val="left"/>
            <w:rPr>
              <w:rFonts w:ascii="Times New Roman" w:eastAsia="Times New Roman"/>
            </w:rPr>
          </w:pPr>
          <w:hyperlink w:history="true" w:anchor="_bookmark124">
            <w:r>
              <w:rPr/>
              <w:t>核心素养观的本质特征</w:t>
              <w:tab/>
            </w:r>
            <w:r>
              <w:rPr>
                <w:rFonts w:ascii="Times New Roman" w:eastAsia="Times New Roman"/>
              </w:rPr>
              <w:t>27</w:t>
            </w:r>
          </w:hyperlink>
        </w:p>
        <w:p>
          <w:pPr>
            <w:pStyle w:val="TOC4"/>
            <w:numPr>
              <w:ilvl w:val="2"/>
              <w:numId w:val="1"/>
            </w:numPr>
            <w:tabs>
              <w:tab w:pos="2760" w:val="left" w:leader="none"/>
              <w:tab w:pos="9626" w:val="right" w:leader="dot"/>
            </w:tabs>
            <w:spacing w:line="240" w:lineRule="auto" w:before="161" w:after="0"/>
            <w:ind w:left="2760" w:right="0" w:hanging="601"/>
            <w:jc w:val="left"/>
            <w:rPr>
              <w:rFonts w:ascii="Times New Roman" w:eastAsia="Times New Roman"/>
            </w:rPr>
          </w:pPr>
          <w:hyperlink w:history="true" w:anchor="_bookmark124">
            <w:r>
              <w:rPr/>
              <w:t>共通性</w:t>
              <w:tab/>
            </w:r>
            <w:r>
              <w:rPr>
                <w:rFonts w:ascii="Times New Roman" w:eastAsia="Times New Roman"/>
              </w:rPr>
              <w:t>27</w:t>
            </w:r>
          </w:hyperlink>
        </w:p>
        <w:p>
          <w:pPr>
            <w:pStyle w:val="TOC4"/>
            <w:numPr>
              <w:ilvl w:val="2"/>
              <w:numId w:val="1"/>
            </w:numPr>
            <w:tabs>
              <w:tab w:pos="2760" w:val="left" w:leader="none"/>
              <w:tab w:pos="9626" w:val="right" w:leader="dot"/>
            </w:tabs>
            <w:spacing w:line="240" w:lineRule="auto" w:before="160" w:after="0"/>
            <w:ind w:left="2760" w:right="0" w:hanging="601"/>
            <w:jc w:val="left"/>
            <w:rPr>
              <w:rFonts w:ascii="Times New Roman" w:eastAsia="Times New Roman"/>
            </w:rPr>
          </w:pPr>
          <w:hyperlink w:history="true" w:anchor="_bookmark128">
            <w:r>
              <w:rPr/>
              <w:t>需求性</w:t>
              <w:tab/>
            </w:r>
            <w:r>
              <w:rPr>
                <w:rFonts w:ascii="Times New Roman" w:eastAsia="Times New Roman"/>
              </w:rPr>
              <w:t>28</w:t>
            </w:r>
          </w:hyperlink>
        </w:p>
        <w:p>
          <w:pPr>
            <w:pStyle w:val="TOC4"/>
            <w:numPr>
              <w:ilvl w:val="2"/>
              <w:numId w:val="1"/>
            </w:numPr>
            <w:tabs>
              <w:tab w:pos="2760" w:val="left" w:leader="none"/>
              <w:tab w:pos="9626" w:val="right" w:leader="dot"/>
            </w:tabs>
            <w:spacing w:line="240" w:lineRule="auto" w:before="161" w:after="0"/>
            <w:ind w:left="2760" w:right="0" w:hanging="601"/>
            <w:jc w:val="left"/>
            <w:rPr>
              <w:rFonts w:ascii="Times New Roman" w:eastAsia="Times New Roman"/>
            </w:rPr>
          </w:pPr>
          <w:hyperlink w:history="true" w:anchor="_bookmark128">
            <w:r>
              <w:rPr/>
              <w:t>整合性</w:t>
              <w:tab/>
            </w:r>
            <w:r>
              <w:rPr>
                <w:rFonts w:ascii="Times New Roman" w:eastAsia="Times New Roman"/>
              </w:rPr>
              <w:t>28</w:t>
            </w:r>
          </w:hyperlink>
        </w:p>
        <w:p>
          <w:pPr>
            <w:pStyle w:val="TOC4"/>
            <w:numPr>
              <w:ilvl w:val="2"/>
              <w:numId w:val="1"/>
            </w:numPr>
            <w:tabs>
              <w:tab w:pos="2760" w:val="left" w:leader="none"/>
              <w:tab w:pos="9626" w:val="right" w:leader="dot"/>
            </w:tabs>
            <w:spacing w:line="240" w:lineRule="auto" w:before="160" w:after="0"/>
            <w:ind w:left="2760" w:right="0" w:hanging="601"/>
            <w:jc w:val="left"/>
            <w:rPr>
              <w:rFonts w:ascii="Times New Roman" w:eastAsia="Times New Roman"/>
            </w:rPr>
          </w:pPr>
          <w:hyperlink w:history="true" w:anchor="_bookmark131">
            <w:r>
              <w:rPr/>
              <w:t>情境性</w:t>
              <w:tab/>
            </w:r>
            <w:r>
              <w:rPr>
                <w:rFonts w:ascii="Times New Roman" w:eastAsia="Times New Roman"/>
              </w:rPr>
              <w:t>29</w:t>
            </w:r>
          </w:hyperlink>
        </w:p>
        <w:p>
          <w:pPr>
            <w:pStyle w:val="TOC4"/>
            <w:numPr>
              <w:ilvl w:val="2"/>
              <w:numId w:val="1"/>
            </w:numPr>
            <w:tabs>
              <w:tab w:pos="2760" w:val="left" w:leader="none"/>
              <w:tab w:pos="9626" w:val="right" w:leader="dot"/>
            </w:tabs>
            <w:spacing w:line="240" w:lineRule="auto" w:before="161" w:after="0"/>
            <w:ind w:left="2760" w:right="0" w:hanging="601"/>
            <w:jc w:val="left"/>
            <w:rPr>
              <w:rFonts w:ascii="Times New Roman" w:eastAsia="Times New Roman"/>
            </w:rPr>
          </w:pPr>
          <w:hyperlink w:history="true" w:anchor="_bookmark131">
            <w:r>
              <w:rPr/>
              <w:t>普遍性</w:t>
              <w:tab/>
            </w:r>
            <w:r>
              <w:rPr>
                <w:rFonts w:ascii="Times New Roman" w:eastAsia="Times New Roman"/>
              </w:rPr>
              <w:t>29</w:t>
            </w:r>
          </w:hyperlink>
        </w:p>
        <w:p>
          <w:pPr>
            <w:pStyle w:val="TOC4"/>
            <w:numPr>
              <w:ilvl w:val="2"/>
              <w:numId w:val="1"/>
            </w:numPr>
            <w:tabs>
              <w:tab w:pos="2760" w:val="left" w:leader="none"/>
              <w:tab w:pos="9626" w:val="right" w:leader="dot"/>
            </w:tabs>
            <w:spacing w:line="240" w:lineRule="auto" w:before="160" w:after="0"/>
            <w:ind w:left="2760" w:right="0" w:hanging="601"/>
            <w:jc w:val="left"/>
            <w:rPr>
              <w:rFonts w:ascii="Times New Roman" w:eastAsia="Times New Roman"/>
            </w:rPr>
          </w:pPr>
          <w:hyperlink w:history="true" w:anchor="_bookmark131">
            <w:r>
              <w:rPr/>
              <w:t>习得性</w:t>
              <w:tab/>
            </w:r>
            <w:r>
              <w:rPr>
                <w:rFonts w:ascii="Times New Roman" w:eastAsia="Times New Roman"/>
              </w:rPr>
              <w:t>29</w:t>
            </w:r>
          </w:hyperlink>
        </w:p>
        <w:p>
          <w:pPr>
            <w:pStyle w:val="TOC2"/>
            <w:numPr>
              <w:ilvl w:val="1"/>
              <w:numId w:val="1"/>
            </w:numPr>
            <w:tabs>
              <w:tab w:pos="2160" w:val="left" w:leader="none"/>
              <w:tab w:pos="9626" w:val="right" w:leader="dot"/>
            </w:tabs>
            <w:spacing w:line="240" w:lineRule="auto" w:before="161" w:after="20"/>
            <w:ind w:left="2160" w:right="0" w:hanging="421"/>
            <w:jc w:val="left"/>
            <w:rPr>
              <w:rFonts w:ascii="Times New Roman" w:eastAsia="Times New Roman"/>
            </w:rPr>
          </w:pPr>
          <w:hyperlink w:history="true" w:anchor="_bookmark135">
            <w:r>
              <w:rPr/>
              <w:t>核心素养观对生涯规划教育的影响</w:t>
              <w:tab/>
            </w:r>
            <w:r>
              <w:rPr>
                <w:rFonts w:ascii="Times New Roman" w:eastAsia="Times New Roman"/>
              </w:rPr>
              <w:t>30</w:t>
            </w:r>
          </w:hyperlink>
        </w:p>
        <w:p>
          <w:pPr>
            <w:pStyle w:val="TOC4"/>
            <w:numPr>
              <w:ilvl w:val="2"/>
              <w:numId w:val="1"/>
            </w:numPr>
            <w:tabs>
              <w:tab w:pos="2760" w:val="left" w:leader="none"/>
              <w:tab w:pos="9626" w:val="right" w:leader="dot"/>
            </w:tabs>
            <w:spacing w:line="240" w:lineRule="auto" w:before="210" w:after="0"/>
            <w:ind w:left="2760" w:right="0" w:hanging="600"/>
            <w:jc w:val="left"/>
            <w:rPr>
              <w:rFonts w:ascii="Times New Roman" w:hAnsi="Times New Roman" w:eastAsia="Times New Roman"/>
            </w:rPr>
          </w:pPr>
          <w:hyperlink w:history="true" w:anchor="_bookmark135">
            <w:r>
              <w:rPr/>
              <w:t>实施目标：侧重培养学生的“生涯规划素养”</w:t>
              <w:tab/>
            </w:r>
            <w:r>
              <w:rPr>
                <w:rFonts w:ascii="Times New Roman" w:hAnsi="Times New Roman" w:eastAsia="Times New Roman"/>
              </w:rPr>
              <w:t>30</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146">
            <w:r>
              <w:rPr/>
              <w:t>实施内容：注重连贯性、系统性和实践性</w:t>
              <w:tab/>
            </w:r>
            <w:r>
              <w:rPr>
                <w:rFonts w:ascii="Times New Roman" w:eastAsia="Times New Roman"/>
              </w:rPr>
              <w:t>42</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156">
            <w:r>
              <w:rPr/>
              <w:t>实施方式：强调开展体验式学习</w:t>
              <w:tab/>
            </w:r>
            <w:r>
              <w:rPr>
                <w:rFonts w:ascii="Times New Roman" w:eastAsia="Times New Roman"/>
              </w:rPr>
              <w:t>47</w:t>
            </w:r>
          </w:hyperlink>
        </w:p>
        <w:p>
          <w:pPr>
            <w:pStyle w:val="TOC1"/>
            <w:numPr>
              <w:ilvl w:val="0"/>
              <w:numId w:val="1"/>
            </w:numPr>
            <w:tabs>
              <w:tab w:pos="1560" w:val="left" w:leader="none"/>
              <w:tab w:pos="9626" w:val="right" w:leader="dot"/>
            </w:tabs>
            <w:spacing w:line="240" w:lineRule="auto" w:before="160" w:after="0"/>
            <w:ind w:left="1560" w:right="0" w:hanging="240"/>
            <w:jc w:val="left"/>
            <w:rPr>
              <w:rFonts w:ascii="Times New Roman" w:hAnsi="Times New Roman" w:eastAsia="Times New Roman"/>
            </w:rPr>
          </w:pPr>
          <w:hyperlink w:history="true" w:anchor="_bookmark186">
            <w:r>
              <w:rPr/>
              <w:t>国内普通高中实施生涯规划教育现状——以</w:t>
            </w:r>
            <w:r>
              <w:rPr>
                <w:spacing w:val="-61"/>
              </w:rPr>
              <w:t> </w:t>
            </w:r>
            <w:r>
              <w:rPr>
                <w:rFonts w:ascii="Times New Roman" w:hAnsi="Times New Roman" w:eastAsia="Times New Roman"/>
              </w:rPr>
              <w:t>XS</w:t>
            </w:r>
            <w:r>
              <w:rPr>
                <w:rFonts w:ascii="Times New Roman" w:hAnsi="Times New Roman" w:eastAsia="Times New Roman"/>
                <w:spacing w:val="-2"/>
              </w:rPr>
              <w:t> </w:t>
            </w:r>
            <w:r>
              <w:rPr/>
              <w:t>县为例</w:t>
              <w:tab/>
            </w:r>
            <w:r>
              <w:rPr>
                <w:rFonts w:ascii="Times New Roman" w:hAnsi="Times New Roman" w:eastAsia="Times New Roman"/>
              </w:rPr>
              <w:t>59</w:t>
            </w:r>
          </w:hyperlink>
        </w:p>
        <w:p>
          <w:pPr>
            <w:pStyle w:val="TOC3"/>
            <w:numPr>
              <w:ilvl w:val="1"/>
              <w:numId w:val="1"/>
            </w:numPr>
            <w:tabs>
              <w:tab w:pos="2160" w:val="left" w:leader="none"/>
              <w:tab w:pos="9626" w:val="right" w:leader="dot"/>
            </w:tabs>
            <w:spacing w:line="240" w:lineRule="auto" w:before="161" w:after="0"/>
            <w:ind w:left="2160" w:right="0" w:hanging="420"/>
            <w:jc w:val="left"/>
            <w:rPr>
              <w:rFonts w:ascii="Times New Roman" w:eastAsia="Times New Roman"/>
            </w:rPr>
          </w:pPr>
          <w:hyperlink w:history="true" w:anchor="_bookmark187">
            <w:r>
              <w:rPr/>
              <w:t>生涯规划教育实施目标比较狭隘</w:t>
              <w:tab/>
            </w:r>
            <w:r>
              <w:rPr>
                <w:rFonts w:ascii="Times New Roman" w:eastAsia="Times New Roman"/>
              </w:rPr>
              <w:t>60</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187">
            <w:r>
              <w:rPr/>
              <w:t>学校负责人对实施目标的认识不足</w:t>
              <w:tab/>
            </w:r>
            <w:r>
              <w:rPr>
                <w:rFonts w:ascii="Times New Roman" w:eastAsia="Times New Roman"/>
              </w:rPr>
              <w:t>60</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188">
            <w:r>
              <w:rPr/>
              <w:t>教师对实施目标的理解存在偏差</w:t>
              <w:tab/>
            </w:r>
            <w:r>
              <w:rPr>
                <w:rFonts w:ascii="Times New Roman" w:eastAsia="Times New Roman"/>
              </w:rPr>
              <w:t>62</w:t>
            </w:r>
          </w:hyperlink>
        </w:p>
        <w:p>
          <w:pPr>
            <w:pStyle w:val="TOC3"/>
            <w:numPr>
              <w:ilvl w:val="1"/>
              <w:numId w:val="1"/>
            </w:numPr>
            <w:tabs>
              <w:tab w:pos="2160" w:val="left" w:leader="none"/>
              <w:tab w:pos="9626" w:val="right" w:leader="dot"/>
            </w:tabs>
            <w:spacing w:line="240" w:lineRule="auto" w:before="160" w:after="0"/>
            <w:ind w:left="2160" w:right="0" w:hanging="420"/>
            <w:jc w:val="left"/>
            <w:rPr>
              <w:rFonts w:ascii="Times New Roman" w:eastAsia="Times New Roman"/>
            </w:rPr>
          </w:pPr>
          <w:hyperlink w:history="true" w:anchor="_bookmark189">
            <w:r>
              <w:rPr/>
              <w:t>生涯规划教育实施内容比较局限</w:t>
              <w:tab/>
            </w:r>
            <w:r>
              <w:rPr>
                <w:rFonts w:ascii="Times New Roman" w:eastAsia="Times New Roman"/>
              </w:rPr>
              <w:t>63</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189">
            <w:r>
              <w:rPr/>
              <w:t>实施内容偏重于职业指导</w:t>
              <w:tab/>
            </w:r>
            <w:r>
              <w:rPr>
                <w:rFonts w:ascii="Times New Roman" w:eastAsia="Times New Roman"/>
              </w:rPr>
              <w:t>63</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190">
            <w:r>
              <w:rPr/>
              <w:t>学生期待实施内容的多元化</w:t>
              <w:tab/>
            </w:r>
            <w:r>
              <w:rPr>
                <w:rFonts w:ascii="Times New Roman" w:eastAsia="Times New Roman"/>
              </w:rPr>
              <w:t>64</w:t>
            </w:r>
          </w:hyperlink>
        </w:p>
        <w:p>
          <w:pPr>
            <w:pStyle w:val="TOC3"/>
            <w:numPr>
              <w:ilvl w:val="1"/>
              <w:numId w:val="1"/>
            </w:numPr>
            <w:tabs>
              <w:tab w:pos="2160" w:val="left" w:leader="none"/>
              <w:tab w:pos="9626" w:val="right" w:leader="dot"/>
            </w:tabs>
            <w:spacing w:line="240" w:lineRule="auto" w:before="161" w:after="0"/>
            <w:ind w:left="2160" w:right="0" w:hanging="420"/>
            <w:jc w:val="left"/>
            <w:rPr>
              <w:rFonts w:ascii="Times New Roman" w:eastAsia="Times New Roman"/>
            </w:rPr>
          </w:pPr>
          <w:hyperlink w:history="true" w:anchor="_bookmark191">
            <w:r>
              <w:rPr/>
              <w:t>生涯规划教育实施方式较为单一</w:t>
              <w:tab/>
            </w:r>
            <w:r>
              <w:rPr>
                <w:rFonts w:ascii="Times New Roman" w:eastAsia="Times New Roman"/>
              </w:rPr>
              <w:t>67</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192">
            <w:r>
              <w:rPr/>
              <w:t>生涯规划教育校本课程占主导</w:t>
              <w:tab/>
            </w:r>
            <w:r>
              <w:rPr>
                <w:rFonts w:ascii="Times New Roman" w:eastAsia="Times New Roman"/>
              </w:rPr>
              <w:t>68</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193">
            <w:r>
              <w:rPr/>
              <w:t>学生期待实施方式的多样化</w:t>
              <w:tab/>
            </w:r>
            <w:r>
              <w:rPr>
                <w:rFonts w:ascii="Times New Roman" w:eastAsia="Times New Roman"/>
              </w:rPr>
              <w:t>70</w:t>
            </w:r>
          </w:hyperlink>
        </w:p>
        <w:p>
          <w:pPr>
            <w:pStyle w:val="TOC3"/>
            <w:numPr>
              <w:ilvl w:val="1"/>
              <w:numId w:val="1"/>
            </w:numPr>
            <w:tabs>
              <w:tab w:pos="2160" w:val="left" w:leader="none"/>
              <w:tab w:pos="9626" w:val="right" w:leader="dot"/>
            </w:tabs>
            <w:spacing w:line="240" w:lineRule="auto" w:before="160" w:after="0"/>
            <w:ind w:left="2160" w:right="0" w:hanging="420"/>
            <w:jc w:val="left"/>
            <w:rPr>
              <w:rFonts w:ascii="Times New Roman" w:eastAsia="Times New Roman"/>
            </w:rPr>
          </w:pPr>
          <w:hyperlink w:history="true" w:anchor="_bookmark194">
            <w:r>
              <w:rPr/>
              <w:t>生涯规划教育实施效果不甚理想</w:t>
              <w:tab/>
            </w:r>
            <w:r>
              <w:rPr>
                <w:rFonts w:ascii="Times New Roman" w:eastAsia="Times New Roman"/>
              </w:rPr>
              <w:t>71</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194">
            <w:r>
              <w:rPr/>
              <w:t>学校生涯规划教育实施未落到实处</w:t>
              <w:tab/>
            </w:r>
            <w:r>
              <w:rPr>
                <w:rFonts w:ascii="Times New Roman" w:eastAsia="Times New Roman"/>
              </w:rPr>
              <w:t>71</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195">
            <w:r>
              <w:rPr/>
              <w:t>普通高中学生生涯认知片面化</w:t>
              <w:tab/>
            </w:r>
            <w:r>
              <w:rPr>
                <w:rFonts w:ascii="Times New Roman" w:eastAsia="Times New Roman"/>
              </w:rPr>
              <w:t>74</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196">
            <w:r>
              <w:rPr/>
              <w:t>普通高中学生涯决策与规划情况不尽人意</w:t>
              <w:tab/>
            </w:r>
            <w:r>
              <w:rPr>
                <w:rFonts w:ascii="Times New Roman" w:eastAsia="Times New Roman"/>
              </w:rPr>
              <w:t>79</w:t>
            </w:r>
          </w:hyperlink>
        </w:p>
        <w:p>
          <w:pPr>
            <w:pStyle w:val="TOC1"/>
            <w:numPr>
              <w:ilvl w:val="0"/>
              <w:numId w:val="1"/>
            </w:numPr>
            <w:tabs>
              <w:tab w:pos="1560" w:val="left" w:leader="none"/>
              <w:tab w:pos="9626" w:val="right" w:leader="dot"/>
            </w:tabs>
            <w:spacing w:line="240" w:lineRule="auto" w:before="160" w:after="0"/>
            <w:ind w:left="1560" w:right="0" w:hanging="240"/>
            <w:jc w:val="left"/>
            <w:rPr>
              <w:rFonts w:ascii="Times New Roman" w:eastAsia="Times New Roman"/>
            </w:rPr>
          </w:pPr>
          <w:hyperlink w:history="true" w:anchor="_bookmark197">
            <w:r>
              <w:rPr/>
              <w:t>国内普通高中生涯规划教育问题成因分析</w:t>
              <w:tab/>
            </w:r>
            <w:r>
              <w:rPr>
                <w:rFonts w:ascii="Times New Roman" w:eastAsia="Times New Roman"/>
              </w:rPr>
              <w:t>81</w:t>
            </w:r>
          </w:hyperlink>
        </w:p>
        <w:p>
          <w:pPr>
            <w:pStyle w:val="TOC3"/>
            <w:numPr>
              <w:ilvl w:val="1"/>
              <w:numId w:val="1"/>
            </w:numPr>
            <w:tabs>
              <w:tab w:pos="2160" w:val="left" w:leader="none"/>
              <w:tab w:pos="9626" w:val="right" w:leader="dot"/>
            </w:tabs>
            <w:spacing w:line="240" w:lineRule="auto" w:before="161" w:after="0"/>
            <w:ind w:left="2160" w:right="0" w:hanging="420"/>
            <w:jc w:val="left"/>
            <w:rPr>
              <w:rFonts w:ascii="Times New Roman" w:eastAsia="Times New Roman"/>
            </w:rPr>
          </w:pPr>
          <w:hyperlink w:history="true" w:anchor="_bookmark197">
            <w:r>
              <w:rPr/>
              <w:t>我国生涯规划教育历史进程的断层</w:t>
              <w:tab/>
            </w:r>
            <w:r>
              <w:rPr>
                <w:rFonts w:ascii="Times New Roman" w:eastAsia="Times New Roman"/>
              </w:rPr>
              <w:t>81</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197">
            <w:r>
              <w:rPr/>
              <w:t>我国生涯规划教育的萌芽</w:t>
              <w:tab/>
            </w:r>
            <w:r>
              <w:rPr>
                <w:rFonts w:ascii="Times New Roman" w:eastAsia="Times New Roman"/>
              </w:rPr>
              <w:t>81</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01">
            <w:r>
              <w:rPr/>
              <w:t>我国生涯规划教育的停滞</w:t>
              <w:tab/>
            </w:r>
            <w:r>
              <w:rPr>
                <w:rFonts w:ascii="Times New Roman" w:eastAsia="Times New Roman"/>
              </w:rPr>
              <w:t>82</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206">
            <w:r>
              <w:rPr/>
              <w:t>我国生涯规划教育的恢复</w:t>
              <w:tab/>
            </w:r>
            <w:r>
              <w:rPr>
                <w:rFonts w:ascii="Times New Roman" w:eastAsia="Times New Roman"/>
              </w:rPr>
              <w:t>83</w:t>
            </w:r>
          </w:hyperlink>
        </w:p>
        <w:p>
          <w:pPr>
            <w:pStyle w:val="TOC3"/>
            <w:numPr>
              <w:ilvl w:val="1"/>
              <w:numId w:val="1"/>
            </w:numPr>
            <w:tabs>
              <w:tab w:pos="2160" w:val="left" w:leader="none"/>
              <w:tab w:pos="9626" w:val="right" w:leader="dot"/>
            </w:tabs>
            <w:spacing w:line="240" w:lineRule="auto" w:before="161" w:after="0"/>
            <w:ind w:left="2160" w:right="0" w:hanging="420"/>
            <w:jc w:val="left"/>
            <w:rPr>
              <w:rFonts w:ascii="Times New Roman" w:eastAsia="Times New Roman"/>
            </w:rPr>
          </w:pPr>
          <w:hyperlink w:history="true" w:anchor="_bookmark210">
            <w:r>
              <w:rPr/>
              <w:t>普通高中教育性质与价值定位的片面化</w:t>
              <w:tab/>
            </w:r>
            <w:r>
              <w:rPr>
                <w:rFonts w:ascii="Times New Roman" w:eastAsia="Times New Roman"/>
              </w:rPr>
              <w:t>84</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210">
            <w:r>
              <w:rPr/>
              <w:t>片面化定位的论争</w:t>
              <w:tab/>
            </w:r>
            <w:r>
              <w:rPr>
                <w:rFonts w:ascii="Times New Roman" w:eastAsia="Times New Roman"/>
              </w:rPr>
              <w:t>84</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14">
            <w:r>
              <w:rPr/>
              <w:t>片面化定位的现实</w:t>
              <w:tab/>
            </w:r>
            <w:r>
              <w:rPr>
                <w:rFonts w:ascii="Times New Roman" w:eastAsia="Times New Roman"/>
              </w:rPr>
              <w:t>85</w:t>
            </w:r>
          </w:hyperlink>
        </w:p>
        <w:p>
          <w:pPr>
            <w:pStyle w:val="TOC3"/>
            <w:numPr>
              <w:ilvl w:val="1"/>
              <w:numId w:val="1"/>
            </w:numPr>
            <w:tabs>
              <w:tab w:pos="2160" w:val="left" w:leader="none"/>
              <w:tab w:pos="9626" w:val="right" w:leader="dot"/>
            </w:tabs>
            <w:spacing w:line="240" w:lineRule="auto" w:before="160" w:after="0"/>
            <w:ind w:left="2160" w:right="0" w:hanging="420"/>
            <w:jc w:val="left"/>
            <w:rPr>
              <w:rFonts w:ascii="Times New Roman" w:eastAsia="Times New Roman"/>
            </w:rPr>
          </w:pPr>
          <w:hyperlink w:history="true" w:anchor="_bookmark220">
            <w:r>
              <w:rPr/>
              <w:t>应试教育根深蒂固</w:t>
              <w:tab/>
            </w:r>
            <w:r>
              <w:rPr>
                <w:rFonts w:ascii="Times New Roman" w:eastAsia="Times New Roman"/>
              </w:rPr>
              <w:t>86</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20">
            <w:r>
              <w:rPr/>
              <w:t>久远的应试教育传统</w:t>
              <w:tab/>
            </w:r>
            <w:r>
              <w:rPr>
                <w:rFonts w:ascii="Times New Roman" w:eastAsia="Times New Roman"/>
              </w:rPr>
              <w:t>86</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224">
            <w:r>
              <w:rPr/>
              <w:t>学校教育深受应试影响</w:t>
              <w:tab/>
            </w:r>
            <w:r>
              <w:rPr>
                <w:rFonts w:ascii="Times New Roman" w:eastAsia="Times New Roman"/>
              </w:rPr>
              <w:t>87</w:t>
            </w:r>
          </w:hyperlink>
        </w:p>
        <w:p>
          <w:pPr>
            <w:pStyle w:val="TOC3"/>
            <w:numPr>
              <w:ilvl w:val="1"/>
              <w:numId w:val="1"/>
            </w:numPr>
            <w:tabs>
              <w:tab w:pos="2160" w:val="left" w:leader="none"/>
              <w:tab w:pos="9626" w:val="right" w:leader="dot"/>
            </w:tabs>
            <w:spacing w:line="240" w:lineRule="auto" w:before="161" w:after="176"/>
            <w:ind w:left="2160" w:right="0" w:hanging="420"/>
            <w:jc w:val="left"/>
            <w:rPr>
              <w:rFonts w:ascii="Times New Roman" w:eastAsia="Times New Roman"/>
            </w:rPr>
          </w:pPr>
          <w:hyperlink w:history="true" w:anchor="_bookmark229">
            <w:r>
              <w:rPr/>
              <w:t>生涯规划教育保障机制欠完善</w:t>
              <w:tab/>
            </w:r>
            <w:r>
              <w:rPr>
                <w:rFonts w:ascii="Times New Roman" w:eastAsia="Times New Roman"/>
              </w:rPr>
              <w:t>89</w:t>
            </w:r>
          </w:hyperlink>
        </w:p>
        <w:p>
          <w:pPr>
            <w:pStyle w:val="TOC4"/>
            <w:numPr>
              <w:ilvl w:val="2"/>
              <w:numId w:val="1"/>
            </w:numPr>
            <w:tabs>
              <w:tab w:pos="2760" w:val="left" w:leader="none"/>
              <w:tab w:pos="9626" w:val="right" w:leader="dot"/>
            </w:tabs>
            <w:spacing w:line="240" w:lineRule="auto" w:before="210" w:after="0"/>
            <w:ind w:left="2760" w:right="0" w:hanging="600"/>
            <w:jc w:val="left"/>
            <w:rPr>
              <w:rFonts w:ascii="Times New Roman" w:eastAsia="Times New Roman"/>
            </w:rPr>
          </w:pPr>
          <w:hyperlink w:history="true" w:anchor="_bookmark229">
            <w:r>
              <w:rPr/>
              <w:t>缺乏法律与资金支持</w:t>
              <w:tab/>
            </w:r>
            <w:r>
              <w:rPr>
                <w:rFonts w:ascii="Times New Roman" w:eastAsia="Times New Roman"/>
              </w:rPr>
              <w:t>89</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231">
            <w:r>
              <w:rPr/>
              <w:t>专业的师资力量紧缺</w:t>
              <w:tab/>
            </w:r>
            <w:r>
              <w:rPr>
                <w:rFonts w:ascii="Times New Roman" w:eastAsia="Times New Roman"/>
              </w:rPr>
              <w:t>90</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35">
            <w:r>
              <w:rPr/>
              <w:t>生涯规划教育管理欠缺</w:t>
              <w:tab/>
            </w:r>
            <w:r>
              <w:rPr>
                <w:rFonts w:ascii="Times New Roman" w:eastAsia="Times New Roman"/>
              </w:rPr>
              <w:t>94</w:t>
            </w:r>
          </w:hyperlink>
        </w:p>
        <w:p>
          <w:pPr>
            <w:pStyle w:val="TOC1"/>
            <w:numPr>
              <w:ilvl w:val="0"/>
              <w:numId w:val="1"/>
            </w:numPr>
            <w:tabs>
              <w:tab w:pos="1560" w:val="left" w:leader="none"/>
              <w:tab w:pos="9626" w:val="right" w:leader="dot"/>
            </w:tabs>
            <w:spacing w:line="240" w:lineRule="auto" w:before="160" w:after="0"/>
            <w:ind w:left="1560" w:right="0" w:hanging="240"/>
            <w:jc w:val="left"/>
            <w:rPr>
              <w:rFonts w:ascii="Times New Roman" w:eastAsia="Times New Roman"/>
            </w:rPr>
          </w:pPr>
          <w:hyperlink w:history="true" w:anchor="_bookmark237">
            <w:r>
              <w:rPr/>
              <w:t>基于核心素养观的普通高中生涯规划教育实施建议</w:t>
              <w:tab/>
            </w:r>
            <w:r>
              <w:rPr>
                <w:rFonts w:ascii="Times New Roman" w:eastAsia="Times New Roman"/>
              </w:rPr>
              <w:t>98</w:t>
            </w:r>
          </w:hyperlink>
        </w:p>
        <w:p>
          <w:pPr>
            <w:pStyle w:val="TOC3"/>
            <w:numPr>
              <w:ilvl w:val="1"/>
              <w:numId w:val="1"/>
            </w:numPr>
            <w:tabs>
              <w:tab w:pos="2160" w:val="left" w:leader="none"/>
              <w:tab w:pos="9626" w:val="right" w:leader="dot"/>
            </w:tabs>
            <w:spacing w:line="240" w:lineRule="auto" w:before="161" w:after="0"/>
            <w:ind w:left="2160" w:right="0" w:hanging="420"/>
            <w:jc w:val="left"/>
            <w:rPr>
              <w:rFonts w:ascii="Times New Roman" w:eastAsia="Times New Roman"/>
            </w:rPr>
          </w:pPr>
          <w:hyperlink w:history="true" w:anchor="_bookmark237">
            <w:r>
              <w:rPr/>
              <w:t>转变普通高中性质与价值的定位</w:t>
              <w:tab/>
            </w:r>
            <w:r>
              <w:rPr>
                <w:rFonts w:ascii="Times New Roman" w:eastAsia="Times New Roman"/>
              </w:rPr>
              <w:t>98</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237">
            <w:r>
              <w:rPr/>
              <w:t>健全普通高中教育的工具价值</w:t>
              <w:tab/>
            </w:r>
            <w:r>
              <w:rPr>
                <w:rFonts w:ascii="Times New Roman" w:eastAsia="Times New Roman"/>
              </w:rPr>
              <w:t>98</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37">
            <w:r>
              <w:rPr/>
              <w:t>重视普通高中教育内在的育人价值</w:t>
              <w:tab/>
            </w:r>
            <w:r>
              <w:rPr>
                <w:rFonts w:ascii="Times New Roman" w:eastAsia="Times New Roman"/>
              </w:rPr>
              <w:t>98</w:t>
            </w:r>
          </w:hyperlink>
        </w:p>
        <w:p>
          <w:pPr>
            <w:pStyle w:val="TOC3"/>
            <w:numPr>
              <w:ilvl w:val="1"/>
              <w:numId w:val="1"/>
            </w:numPr>
            <w:tabs>
              <w:tab w:pos="2160" w:val="left" w:leader="none"/>
              <w:tab w:pos="9626" w:val="right" w:leader="dot"/>
            </w:tabs>
            <w:spacing w:line="240" w:lineRule="auto" w:before="160" w:after="0"/>
            <w:ind w:left="2160" w:right="0" w:hanging="420"/>
            <w:jc w:val="left"/>
            <w:rPr>
              <w:rFonts w:ascii="Times New Roman" w:eastAsia="Times New Roman"/>
            </w:rPr>
          </w:pPr>
          <w:hyperlink w:history="true" w:anchor="_bookmark241">
            <w:r>
              <w:rPr/>
              <w:t>明晰普通高中生涯规划教育的实施目标</w:t>
              <w:tab/>
            </w:r>
            <w:r>
              <w:rPr>
                <w:rFonts w:ascii="Times New Roman" w:eastAsia="Times New Roman"/>
              </w:rPr>
              <w:t>99</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41">
            <w:r>
              <w:rPr/>
              <w:t>定位生涯规划教育的实施维度</w:t>
              <w:tab/>
            </w:r>
            <w:r>
              <w:rPr>
                <w:rFonts w:ascii="Times New Roman" w:eastAsia="Times New Roman"/>
              </w:rPr>
              <w:t>99</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243">
            <w:r>
              <w:rPr/>
              <w:t>确立生涯规划素养</w:t>
              <w:tab/>
            </w:r>
            <w:r>
              <w:rPr>
                <w:rFonts w:ascii="Times New Roman" w:eastAsia="Times New Roman"/>
              </w:rPr>
              <w:t>100</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44">
            <w:r>
              <w:rPr/>
              <w:t>分解生涯规划素养</w:t>
              <w:tab/>
            </w:r>
            <w:r>
              <w:rPr>
                <w:rFonts w:ascii="Times New Roman" w:eastAsia="Times New Roman"/>
              </w:rPr>
              <w:t>101</w:t>
            </w:r>
          </w:hyperlink>
        </w:p>
        <w:p>
          <w:pPr>
            <w:pStyle w:val="TOC3"/>
            <w:numPr>
              <w:ilvl w:val="1"/>
              <w:numId w:val="1"/>
            </w:numPr>
            <w:tabs>
              <w:tab w:pos="2160" w:val="left" w:leader="none"/>
              <w:tab w:pos="9626" w:val="right" w:leader="dot"/>
            </w:tabs>
            <w:spacing w:line="240" w:lineRule="auto" w:before="160" w:after="0"/>
            <w:ind w:left="2160" w:right="0" w:hanging="420"/>
            <w:jc w:val="left"/>
            <w:rPr>
              <w:rFonts w:ascii="Times New Roman" w:eastAsia="Times New Roman"/>
            </w:rPr>
          </w:pPr>
          <w:hyperlink w:history="true" w:anchor="_bookmark245">
            <w:r>
              <w:rPr/>
              <w:t>丰富普通高中生涯规划教育的实施内容</w:t>
              <w:tab/>
            </w:r>
            <w:r>
              <w:rPr>
                <w:rFonts w:ascii="Times New Roman" w:eastAsia="Times New Roman"/>
              </w:rPr>
              <w:t>102</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45">
            <w:r>
              <w:rPr/>
              <w:t>自我认知</w:t>
              <w:tab/>
            </w:r>
            <w:r>
              <w:rPr>
                <w:rFonts w:ascii="Times New Roman" w:eastAsia="Times New Roman"/>
              </w:rPr>
              <w:t>102</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249">
            <w:r>
              <w:rPr/>
              <w:t>生活领域</w:t>
              <w:tab/>
            </w:r>
            <w:r>
              <w:rPr>
                <w:rFonts w:ascii="Times New Roman" w:eastAsia="Times New Roman"/>
              </w:rPr>
              <w:t>103</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53">
            <w:r>
              <w:rPr/>
              <w:t>职业领域</w:t>
              <w:tab/>
            </w:r>
            <w:r>
              <w:rPr>
                <w:rFonts w:ascii="Times New Roman" w:eastAsia="Times New Roman"/>
              </w:rPr>
              <w:t>104</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253">
            <w:r>
              <w:rPr/>
              <w:t>学习领域</w:t>
              <w:tab/>
            </w:r>
            <w:r>
              <w:rPr>
                <w:rFonts w:ascii="Times New Roman" w:eastAsia="Times New Roman"/>
              </w:rPr>
              <w:t>104</w:t>
            </w:r>
          </w:hyperlink>
        </w:p>
        <w:p>
          <w:pPr>
            <w:pStyle w:val="TOC3"/>
            <w:numPr>
              <w:ilvl w:val="1"/>
              <w:numId w:val="1"/>
            </w:numPr>
            <w:tabs>
              <w:tab w:pos="2160" w:val="left" w:leader="none"/>
              <w:tab w:pos="9626" w:val="right" w:leader="dot"/>
            </w:tabs>
            <w:spacing w:line="240" w:lineRule="auto" w:before="161" w:after="0"/>
            <w:ind w:left="2160" w:right="0" w:hanging="420"/>
            <w:jc w:val="left"/>
            <w:rPr>
              <w:rFonts w:ascii="Times New Roman" w:eastAsia="Times New Roman"/>
            </w:rPr>
          </w:pPr>
          <w:hyperlink w:history="true" w:anchor="_bookmark255">
            <w:r>
              <w:rPr/>
              <w:t>拓宽普通高中生涯规划教育的实施路径</w:t>
              <w:tab/>
            </w:r>
            <w:r>
              <w:rPr>
                <w:rFonts w:ascii="Times New Roman" w:eastAsia="Times New Roman"/>
              </w:rPr>
              <w:t>105</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255">
            <w:r>
              <w:rPr/>
              <w:t>完善生涯规划教育课程体系</w:t>
              <w:tab/>
            </w:r>
            <w:r>
              <w:rPr>
                <w:rFonts w:ascii="Times New Roman" w:eastAsia="Times New Roman"/>
              </w:rPr>
              <w:t>105</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58">
            <w:r>
              <w:rPr/>
              <w:t>增加并落实生涯体验活动</w:t>
              <w:tab/>
            </w:r>
            <w:r>
              <w:rPr>
                <w:rFonts w:ascii="Times New Roman" w:eastAsia="Times New Roman"/>
              </w:rPr>
              <w:t>107</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267">
            <w:r>
              <w:rPr/>
              <w:t>加强生涯规划指导的针对性与深入性</w:t>
              <w:tab/>
            </w:r>
            <w:r>
              <w:rPr>
                <w:rFonts w:ascii="Times New Roman" w:eastAsia="Times New Roman"/>
                <w:spacing w:val="-4"/>
              </w:rPr>
              <w:t>113</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69">
            <w:r>
              <w:rPr/>
              <w:t>开展学科教学渗透与整合</w:t>
              <w:tab/>
            </w:r>
            <w:r>
              <w:rPr>
                <w:rFonts w:ascii="Times New Roman" w:eastAsia="Times New Roman"/>
                <w:spacing w:val="-4"/>
              </w:rPr>
              <w:t>114</w:t>
            </w:r>
          </w:hyperlink>
        </w:p>
        <w:p>
          <w:pPr>
            <w:pStyle w:val="TOC3"/>
            <w:numPr>
              <w:ilvl w:val="1"/>
              <w:numId w:val="1"/>
            </w:numPr>
            <w:tabs>
              <w:tab w:pos="2160" w:val="left" w:leader="none"/>
              <w:tab w:pos="9626" w:val="right" w:leader="dot"/>
            </w:tabs>
            <w:spacing w:line="240" w:lineRule="auto" w:before="160" w:after="0"/>
            <w:ind w:left="2160" w:right="0" w:hanging="420"/>
            <w:jc w:val="left"/>
            <w:rPr>
              <w:rFonts w:ascii="Times New Roman" w:eastAsia="Times New Roman"/>
            </w:rPr>
          </w:pPr>
          <w:hyperlink w:history="true" w:anchor="_bookmark272">
            <w:r>
              <w:rPr/>
              <w:t>健全普通高中生涯规划教育的实施保障机制</w:t>
              <w:tab/>
            </w:r>
            <w:r>
              <w:rPr>
                <w:rFonts w:ascii="Times New Roman" w:eastAsia="Times New Roman"/>
                <w:spacing w:val="-4"/>
              </w:rPr>
              <w:t>115</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72">
            <w:r>
              <w:rPr/>
              <w:t>提供政策与财政保障</w:t>
              <w:tab/>
            </w:r>
            <w:r>
              <w:rPr>
                <w:rFonts w:ascii="Times New Roman" w:eastAsia="Times New Roman"/>
                <w:spacing w:val="-4"/>
              </w:rPr>
              <w:t>115</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274">
            <w:r>
              <w:rPr/>
              <w:t>建设专业化师资队伍</w:t>
              <w:tab/>
            </w:r>
            <w:r>
              <w:rPr>
                <w:rFonts w:ascii="Times New Roman" w:eastAsia="Times New Roman"/>
                <w:spacing w:val="-4"/>
              </w:rPr>
              <w:t>116</w:t>
            </w:r>
          </w:hyperlink>
        </w:p>
        <w:p>
          <w:pPr>
            <w:pStyle w:val="TOC4"/>
            <w:numPr>
              <w:ilvl w:val="2"/>
              <w:numId w:val="1"/>
            </w:numPr>
            <w:tabs>
              <w:tab w:pos="2760" w:val="left" w:leader="none"/>
              <w:tab w:pos="9626" w:val="right" w:leader="dot"/>
            </w:tabs>
            <w:spacing w:line="240" w:lineRule="auto" w:before="161" w:after="0"/>
            <w:ind w:left="2760" w:right="0" w:hanging="600"/>
            <w:jc w:val="left"/>
            <w:rPr>
              <w:rFonts w:ascii="Times New Roman" w:eastAsia="Times New Roman"/>
            </w:rPr>
          </w:pPr>
          <w:hyperlink w:history="true" w:anchor="_bookmark281">
            <w:r>
              <w:rPr/>
              <w:t>优化相关各级管理</w:t>
              <w:tab/>
            </w:r>
            <w:r>
              <w:rPr>
                <w:rFonts w:ascii="Times New Roman" w:eastAsia="Times New Roman"/>
                <w:spacing w:val="-4"/>
              </w:rPr>
              <w:t>119</w:t>
            </w:r>
          </w:hyperlink>
        </w:p>
        <w:p>
          <w:pPr>
            <w:pStyle w:val="TOC4"/>
            <w:numPr>
              <w:ilvl w:val="2"/>
              <w:numId w:val="1"/>
            </w:numPr>
            <w:tabs>
              <w:tab w:pos="2760" w:val="left" w:leader="none"/>
              <w:tab w:pos="9626" w:val="right" w:leader="dot"/>
            </w:tabs>
            <w:spacing w:line="240" w:lineRule="auto" w:before="160" w:after="0"/>
            <w:ind w:left="2760" w:right="0" w:hanging="600"/>
            <w:jc w:val="left"/>
            <w:rPr>
              <w:rFonts w:ascii="Times New Roman" w:eastAsia="Times New Roman"/>
            </w:rPr>
          </w:pPr>
          <w:hyperlink w:history="true" w:anchor="_bookmark284">
            <w:r>
              <w:rPr/>
              <w:t>形成相应社会支持体系</w:t>
              <w:tab/>
            </w:r>
            <w:r>
              <w:rPr>
                <w:rFonts w:ascii="Times New Roman" w:eastAsia="Times New Roman"/>
              </w:rPr>
              <w:t>121</w:t>
            </w:r>
          </w:hyperlink>
        </w:p>
        <w:p>
          <w:pPr>
            <w:pStyle w:val="TOC1"/>
            <w:tabs>
              <w:tab w:pos="9626" w:val="right" w:leader="dot"/>
            </w:tabs>
            <w:spacing w:before="161"/>
            <w:ind w:left="1320"/>
            <w:rPr>
              <w:rFonts w:ascii="Times New Roman" w:eastAsia="Times New Roman"/>
            </w:rPr>
          </w:pPr>
          <w:hyperlink w:history="true" w:anchor="_bookmark286">
            <w:r>
              <w:rPr/>
              <w:t>主要参考文献</w:t>
              <w:tab/>
            </w:r>
            <w:r>
              <w:rPr>
                <w:rFonts w:ascii="Times New Roman" w:eastAsia="Times New Roman"/>
              </w:rPr>
              <w:t>123</w:t>
            </w:r>
          </w:hyperlink>
        </w:p>
        <w:p>
          <w:pPr>
            <w:pStyle w:val="TOC1"/>
            <w:tabs>
              <w:tab w:pos="9626" w:val="right" w:leader="dot"/>
            </w:tabs>
            <w:ind w:left="1320"/>
            <w:rPr>
              <w:rFonts w:ascii="Times New Roman" w:eastAsia="Times New Roman"/>
            </w:rPr>
          </w:pPr>
          <w:hyperlink w:history="true" w:anchor="_bookmark287">
            <w:r>
              <w:rPr/>
              <w:t>附录</w:t>
              <w:tab/>
            </w:r>
            <w:r>
              <w:rPr>
                <w:rFonts w:ascii="Times New Roman" w:eastAsia="Times New Roman"/>
              </w:rPr>
              <w:t>127</w:t>
            </w:r>
          </w:hyperlink>
        </w:p>
        <w:p>
          <w:pPr>
            <w:pStyle w:val="TOC3"/>
            <w:tabs>
              <w:tab w:pos="9626" w:val="right" w:leader="dot"/>
            </w:tabs>
            <w:spacing w:after="176"/>
            <w:ind w:left="1740" w:firstLine="0"/>
            <w:rPr>
              <w:rFonts w:ascii="Times New Roman" w:eastAsia="Times New Roman"/>
            </w:rPr>
          </w:pPr>
          <w:hyperlink w:history="true" w:anchor="_bookmark288">
            <w:r>
              <w:rPr/>
              <w:t>附录</w:t>
            </w:r>
            <w:r>
              <w:rPr>
                <w:spacing w:val="-60"/>
              </w:rPr>
              <w:t> </w:t>
            </w:r>
            <w:r>
              <w:rPr>
                <w:rFonts w:ascii="Times New Roman" w:eastAsia="Times New Roman"/>
              </w:rPr>
              <w:t>1</w:t>
            </w:r>
            <w:r>
              <w:rPr/>
              <w:t>：教师访谈提纲</w:t>
              <w:tab/>
            </w:r>
            <w:r>
              <w:rPr>
                <w:rFonts w:ascii="Times New Roman" w:eastAsia="Times New Roman"/>
              </w:rPr>
              <w:t>127</w:t>
            </w:r>
          </w:hyperlink>
        </w:p>
        <w:p>
          <w:pPr>
            <w:pStyle w:val="TOC3"/>
            <w:tabs>
              <w:tab w:pos="9626" w:val="right" w:leader="dot"/>
            </w:tabs>
            <w:spacing w:before="210"/>
            <w:ind w:left="1740" w:firstLine="0"/>
            <w:rPr>
              <w:rFonts w:ascii="Times New Roman" w:eastAsia="Times New Roman"/>
            </w:rPr>
          </w:pPr>
          <w:bookmarkStart w:name="_bookmark4" w:id="5"/>
          <w:bookmarkEnd w:id="5"/>
          <w:r>
            <w:rPr/>
          </w:r>
          <w:hyperlink w:history="true" w:anchor="_bookmark289">
            <w:r>
              <w:rPr/>
              <w:t>附录</w:t>
            </w:r>
            <w:r>
              <w:rPr>
                <w:spacing w:val="-60"/>
              </w:rPr>
              <w:t> </w:t>
            </w:r>
            <w:r>
              <w:rPr>
                <w:rFonts w:ascii="Times New Roman" w:eastAsia="Times New Roman"/>
              </w:rPr>
              <w:t>2</w:t>
            </w:r>
            <w:r>
              <w:rPr/>
              <w:t>：学校领导访谈提纲</w:t>
              <w:tab/>
            </w:r>
            <w:r>
              <w:rPr>
                <w:rFonts w:ascii="Times New Roman" w:eastAsia="Times New Roman"/>
              </w:rPr>
              <w:t>128</w:t>
            </w:r>
          </w:hyperlink>
        </w:p>
        <w:p>
          <w:pPr>
            <w:pStyle w:val="TOC3"/>
            <w:tabs>
              <w:tab w:pos="9626" w:val="right" w:leader="dot"/>
            </w:tabs>
            <w:spacing w:before="160"/>
            <w:ind w:left="1740" w:firstLine="0"/>
            <w:rPr>
              <w:rFonts w:ascii="Times New Roman" w:eastAsia="Times New Roman"/>
            </w:rPr>
          </w:pPr>
          <w:hyperlink w:history="true" w:anchor="_bookmark290">
            <w:r>
              <w:rPr/>
              <w:t>附录</w:t>
            </w:r>
            <w:r>
              <w:rPr>
                <w:spacing w:val="-60"/>
              </w:rPr>
              <w:t> </w:t>
            </w:r>
            <w:r>
              <w:rPr>
                <w:rFonts w:ascii="Times New Roman" w:eastAsia="Times New Roman"/>
              </w:rPr>
              <w:t>3</w:t>
            </w:r>
            <w:r>
              <w:rPr/>
              <w:t>：普通高中生涯规划教育实施现状调查问卷（学生）</w:t>
              <w:tab/>
            </w:r>
            <w:r>
              <w:rPr>
                <w:rFonts w:ascii="Times New Roman" w:eastAsia="Times New Roman"/>
              </w:rPr>
              <w:t>129</w:t>
            </w:r>
          </w:hyperlink>
        </w:p>
        <w:p>
          <w:pPr>
            <w:pStyle w:val="TOC3"/>
            <w:tabs>
              <w:tab w:pos="9626" w:val="right" w:leader="dot"/>
            </w:tabs>
            <w:ind w:left="1740" w:firstLine="0"/>
            <w:rPr>
              <w:rFonts w:ascii="Times New Roman" w:eastAsia="Times New Roman"/>
            </w:rPr>
          </w:pPr>
          <w:hyperlink w:history="true" w:anchor="_bookmark291">
            <w:r>
              <w:rPr/>
              <w:t>附录</w:t>
            </w:r>
            <w:r>
              <w:rPr>
                <w:spacing w:val="-60"/>
              </w:rPr>
              <w:t> </w:t>
            </w:r>
            <w:r>
              <w:rPr>
                <w:rFonts w:ascii="Times New Roman" w:eastAsia="Times New Roman"/>
              </w:rPr>
              <w:t>4</w:t>
            </w:r>
            <w:r>
              <w:rPr/>
              <w:t>：普通高中教师生涯规划教育实施现状调查（教师）</w:t>
              <w:tab/>
            </w:r>
            <w:r>
              <w:rPr>
                <w:rFonts w:ascii="Times New Roman" w:eastAsia="Times New Roman"/>
              </w:rPr>
              <w:t>134</w:t>
            </w:r>
          </w:hyperlink>
        </w:p>
        <w:p>
          <w:pPr>
            <w:pStyle w:val="TOC1"/>
            <w:tabs>
              <w:tab w:pos="9626" w:val="right" w:leader="dot"/>
            </w:tabs>
            <w:ind w:left="1320"/>
            <w:rPr>
              <w:rFonts w:ascii="Times New Roman" w:eastAsia="Times New Roman"/>
            </w:rPr>
          </w:pPr>
          <w:hyperlink w:history="true" w:anchor="_bookmark292">
            <w:r>
              <w:rPr/>
              <w:t>个人简历</w:t>
              <w:tab/>
            </w:r>
            <w:r>
              <w:rPr>
                <w:rFonts w:ascii="Times New Roman" w:eastAsia="Times New Roman"/>
              </w:rPr>
              <w:t>137</w:t>
            </w:r>
          </w:hyperlink>
        </w:p>
      </w:sdtContent>
    </w:sdt>
    <w:p>
      <w:pPr>
        <w:spacing w:after="0"/>
        <w:rPr>
          <w:rFonts w:ascii="Times New Roman" w:eastAsia="Times New Roman"/>
        </w:rPr>
        <w:sectPr>
          <w:type w:val="continuous"/>
          <w:pgSz w:w="11910" w:h="16840"/>
          <w:pgMar w:top="1312" w:bottom="1730" w:left="480" w:right="220"/>
        </w:sectPr>
      </w:pPr>
    </w:p>
    <w:p>
      <w:pPr>
        <w:pStyle w:val="Heading1"/>
        <w:numPr>
          <w:ilvl w:val="0"/>
          <w:numId w:val="2"/>
        </w:numPr>
        <w:tabs>
          <w:tab w:pos="1620" w:val="left" w:leader="none"/>
        </w:tabs>
        <w:spacing w:line="240" w:lineRule="auto" w:before="224" w:after="0"/>
        <w:ind w:left="1620" w:right="0" w:hanging="300"/>
        <w:jc w:val="left"/>
      </w:pPr>
      <w:bookmarkStart w:name="_bookmark5" w:id="6"/>
      <w:bookmarkEnd w:id="6"/>
      <w:r>
        <w:rPr>
          <w:b w:val="0"/>
        </w:rPr>
      </w:r>
      <w:bookmarkStart w:name="_bookmark5" w:id="7"/>
      <w:bookmarkEnd w:id="7"/>
      <w:r>
        <w:rPr/>
        <w:t>绪论</w:t>
      </w:r>
    </w:p>
    <w:p>
      <w:pPr>
        <w:pStyle w:val="BodyText"/>
        <w:spacing w:before="7"/>
        <w:rPr>
          <w:rFonts w:ascii="Microsoft JhengHei"/>
          <w:b/>
          <w:sz w:val="26"/>
        </w:rPr>
      </w:pPr>
    </w:p>
    <w:p>
      <w:pPr>
        <w:pStyle w:val="Heading2"/>
        <w:numPr>
          <w:ilvl w:val="1"/>
          <w:numId w:val="2"/>
        </w:numPr>
        <w:tabs>
          <w:tab w:pos="1810" w:val="left" w:leader="none"/>
        </w:tabs>
        <w:spacing w:line="240" w:lineRule="auto" w:before="0" w:after="0"/>
        <w:ind w:left="1809" w:right="0" w:hanging="490"/>
        <w:jc w:val="left"/>
        <w:rPr>
          <w:rFonts w:ascii="Times New Roman" w:eastAsia="Times New Roman"/>
        </w:rPr>
      </w:pPr>
      <w:r>
        <w:rPr/>
        <w:t>研究背景</w:t>
      </w:r>
    </w:p>
    <w:p>
      <w:pPr>
        <w:pStyle w:val="BodyText"/>
        <w:spacing w:before="5"/>
        <w:rPr>
          <w:rFonts w:ascii="Microsoft JhengHei"/>
          <w:b/>
          <w:sz w:val="22"/>
        </w:rPr>
      </w:pPr>
    </w:p>
    <w:p>
      <w:pPr>
        <w:pStyle w:val="ListParagraph"/>
        <w:numPr>
          <w:ilvl w:val="2"/>
          <w:numId w:val="2"/>
        </w:numPr>
        <w:tabs>
          <w:tab w:pos="1920" w:val="left" w:leader="none"/>
        </w:tabs>
        <w:spacing w:line="240" w:lineRule="auto" w:before="0" w:after="0"/>
        <w:ind w:left="1920" w:right="0" w:hanging="600"/>
        <w:jc w:val="left"/>
        <w:rPr>
          <w:sz w:val="24"/>
        </w:rPr>
      </w:pPr>
      <w:r>
        <w:rPr>
          <w:sz w:val="24"/>
        </w:rPr>
        <w:t>国际背景</w:t>
      </w:r>
    </w:p>
    <w:p>
      <w:pPr>
        <w:pStyle w:val="BodyText"/>
        <w:spacing w:before="12"/>
        <w:rPr>
          <w:sz w:val="32"/>
        </w:rPr>
      </w:pPr>
    </w:p>
    <w:p>
      <w:pPr>
        <w:pStyle w:val="ListParagraph"/>
        <w:numPr>
          <w:ilvl w:val="3"/>
          <w:numId w:val="2"/>
        </w:numPr>
        <w:tabs>
          <w:tab w:pos="2100" w:val="left" w:leader="none"/>
        </w:tabs>
        <w:spacing w:line="240" w:lineRule="auto" w:before="0" w:after="0"/>
        <w:ind w:left="2100" w:right="0" w:hanging="780"/>
        <w:jc w:val="both"/>
        <w:rPr>
          <w:sz w:val="24"/>
        </w:rPr>
      </w:pPr>
      <w:r>
        <w:rPr>
          <w:sz w:val="24"/>
        </w:rPr>
        <w:t>核心素养引领世界基础教育改革</w:t>
      </w:r>
    </w:p>
    <w:p>
      <w:pPr>
        <w:pStyle w:val="BodyText"/>
        <w:spacing w:line="364" w:lineRule="auto" w:before="161"/>
        <w:ind w:left="1320" w:right="1577" w:firstLine="480"/>
        <w:jc w:val="both"/>
      </w:pPr>
      <w:r>
        <w:rPr>
          <w:rFonts w:ascii="Times New Roman" w:hAnsi="Times New Roman" w:eastAsia="Times New Roman"/>
        </w:rPr>
        <w:t>21 </w:t>
      </w:r>
      <w:r>
        <w:rPr/>
        <w:t>世纪以来，随着知识经济、全球化和信息时代的到来，人们的生活、工</w:t>
      </w:r>
      <w:r>
        <w:rPr>
          <w:spacing w:val="-7"/>
        </w:rPr>
        <w:t>作和学习方式不断改变。在日趋复杂的时代，只有明晰新世纪要“培养什么样的</w:t>
      </w:r>
      <w:r>
        <w:rPr>
          <w:spacing w:val="-12"/>
        </w:rPr>
        <w:t>人”，即学生需要具备怎样的品质，国家才能在教育领域开展适当的教育教学变</w:t>
      </w:r>
      <w:r>
        <w:rPr>
          <w:spacing w:val="-10"/>
        </w:rPr>
        <w:t>革，培养能应对新世纪挑战的人才，从而促进国家竞争力的提升、实现社会的整</w:t>
      </w:r>
      <w:r>
        <w:rPr>
          <w:spacing w:val="-9"/>
        </w:rPr>
        <w:t>体发展和进步。这是全球面临的共同挑战，也是当前许多国家与地区、国际组织</w:t>
      </w:r>
      <w:r>
        <w:rPr>
          <w:spacing w:val="-10"/>
        </w:rPr>
        <w:t>广为热议的主题。此后，核心素养应运而生，教育领域掀起了基于核心素养的变</w:t>
      </w:r>
      <w:r>
        <w:rPr/>
        <w:t>革。教育从关注“教学内容”转向对“学生学习结果”的关注。</w:t>
      </w:r>
    </w:p>
    <w:p>
      <w:pPr>
        <w:pStyle w:val="BodyText"/>
        <w:spacing w:before="4"/>
        <w:ind w:left="724" w:right="525"/>
        <w:jc w:val="center"/>
        <w:rPr>
          <w:rFonts w:ascii="Times New Roman" w:eastAsia="Times New Roman"/>
        </w:rPr>
      </w:pPr>
      <w:r>
        <w:rPr/>
        <w:t>经济合作与发展组织（</w:t>
      </w:r>
      <w:r>
        <w:rPr>
          <w:rFonts w:ascii="Times New Roman" w:eastAsia="Times New Roman"/>
        </w:rPr>
        <w:t>Organization</w:t>
      </w:r>
      <w:r>
        <w:rPr>
          <w:rFonts w:ascii="Times New Roman" w:eastAsia="Times New Roman"/>
          <w:spacing w:val="56"/>
        </w:rPr>
        <w:t> </w:t>
      </w:r>
      <w:r>
        <w:rPr>
          <w:rFonts w:ascii="Times New Roman" w:eastAsia="Times New Roman"/>
        </w:rPr>
        <w:t>for Economic</w:t>
      </w:r>
      <w:r>
        <w:rPr>
          <w:rFonts w:ascii="Times New Roman" w:eastAsia="Times New Roman"/>
          <w:spacing w:val="58"/>
        </w:rPr>
        <w:t> </w:t>
      </w:r>
      <w:r>
        <w:rPr>
          <w:rFonts w:ascii="Times New Roman" w:eastAsia="Times New Roman"/>
        </w:rPr>
        <w:t>Co-operation</w:t>
      </w:r>
      <w:r>
        <w:rPr>
          <w:rFonts w:ascii="Times New Roman" w:eastAsia="Times New Roman"/>
          <w:spacing w:val="59"/>
        </w:rPr>
        <w:t> </w:t>
      </w:r>
      <w:r>
        <w:rPr>
          <w:rFonts w:ascii="Times New Roman" w:eastAsia="Times New Roman"/>
        </w:rPr>
        <w:t>and</w:t>
      </w:r>
      <w:r>
        <w:rPr>
          <w:rFonts w:ascii="Times New Roman" w:eastAsia="Times New Roman"/>
          <w:spacing w:val="59"/>
        </w:rPr>
        <w:t> </w:t>
      </w:r>
      <w:r>
        <w:rPr>
          <w:rFonts w:ascii="Times New Roman" w:eastAsia="Times New Roman"/>
        </w:rPr>
        <w:t>Develo</w:t>
      </w:r>
    </w:p>
    <w:p>
      <w:pPr>
        <w:pStyle w:val="BodyText"/>
        <w:spacing w:line="364" w:lineRule="auto" w:before="160"/>
        <w:ind w:left="1320" w:right="1485"/>
      </w:pPr>
      <w:r>
        <w:rPr>
          <w:rFonts w:ascii="Times New Roman" w:eastAsia="Times New Roman"/>
        </w:rPr>
        <w:t>-pment</w:t>
      </w:r>
      <w:r>
        <w:rPr>
          <w:spacing w:val="-10"/>
        </w:rPr>
        <w:t>，以下简称为 </w:t>
      </w:r>
      <w:r>
        <w:rPr>
          <w:rFonts w:ascii="Times New Roman" w:eastAsia="Times New Roman"/>
          <w:spacing w:val="-3"/>
        </w:rPr>
        <w:t>OECD</w:t>
      </w:r>
      <w:r>
        <w:rPr>
          <w:spacing w:val="-3"/>
        </w:rPr>
        <w:t>）</w:t>
      </w:r>
      <w:r>
        <w:rPr>
          <w:spacing w:val="-5"/>
        </w:rPr>
        <w:t>、欧盟、美国等重要国际组织和国家均从理论和实</w:t>
      </w:r>
      <w:r>
        <w:rPr>
          <w:spacing w:val="-10"/>
        </w:rPr>
        <w:t>践两方面展开了对核心素养的研究，确立了各自的核心素养框架。这些核心素养</w:t>
      </w:r>
      <w:r>
        <w:rPr>
          <w:spacing w:val="-14"/>
        </w:rPr>
        <w:t>框架对世界范围内的核心素养研究产生了深刻的影响。构建学生核心素养模型来</w:t>
      </w:r>
      <w:r>
        <w:rPr>
          <w:spacing w:val="-15"/>
        </w:rPr>
        <w:t>培养学生的综合素质，已经成为当前国际上推进教育改革的重要方式。从英国、</w:t>
      </w:r>
      <w:r>
        <w:rPr>
          <w:spacing w:val="-10"/>
        </w:rPr>
        <w:t>德国、瑞士、澳大利亚等发达国家新近开展的教育变革来看，都毫无例外地采用</w:t>
      </w:r>
      <w:r>
        <w:rPr>
          <w:spacing w:val="-13"/>
        </w:rPr>
        <w:t>了这种模式。可以说，核心素养概念的提出与发展在一定程度上引领了世界范围内的教育变革。</w:t>
      </w:r>
    </w:p>
    <w:p>
      <w:pPr>
        <w:pStyle w:val="BodyText"/>
        <w:spacing w:line="364" w:lineRule="auto" w:before="4"/>
        <w:ind w:left="1320" w:right="1577" w:firstLine="480"/>
        <w:jc w:val="both"/>
      </w:pPr>
      <w:r>
        <w:rPr>
          <w:spacing w:val="2"/>
        </w:rPr>
        <w:t>核心素养理念也促进了我国在素质教育成果的基础上进一步思考人的培养</w:t>
      </w:r>
      <w:r>
        <w:rPr>
          <w:spacing w:val="-10"/>
        </w:rPr>
        <w:t>与发展问题。自“十八大”将立德树人作为教育的根本任务后，我国也组建专家</w:t>
      </w:r>
      <w:r>
        <w:rPr>
          <w:spacing w:val="-6"/>
        </w:rPr>
        <w:t>团队研究我国的学生发展核心素养，并成立了高中课程标准修订专家组，集中研</w:t>
      </w:r>
      <w:r>
        <w:rPr/>
        <w:t>究各学科核心素养，旨在以核心素养理念重构课程体系，推进基础教育变革。</w:t>
      </w:r>
    </w:p>
    <w:p>
      <w:pPr>
        <w:pStyle w:val="ListParagraph"/>
        <w:numPr>
          <w:ilvl w:val="3"/>
          <w:numId w:val="2"/>
        </w:numPr>
        <w:tabs>
          <w:tab w:pos="2100" w:val="left" w:leader="none"/>
        </w:tabs>
        <w:spacing w:line="240" w:lineRule="auto" w:before="3" w:after="0"/>
        <w:ind w:left="2100" w:right="0" w:hanging="780"/>
        <w:jc w:val="both"/>
        <w:rPr>
          <w:sz w:val="24"/>
        </w:rPr>
      </w:pPr>
      <w:r>
        <w:rPr>
          <w:sz w:val="24"/>
        </w:rPr>
        <w:t>国外高度重视生涯规划教育</w:t>
      </w:r>
    </w:p>
    <w:p>
      <w:pPr>
        <w:pStyle w:val="BodyText"/>
        <w:spacing w:before="160"/>
        <w:ind w:left="745" w:right="525"/>
        <w:jc w:val="center"/>
      </w:pPr>
      <w:r>
        <w:rPr/>
        <w:t>一方面，发达国家作为生涯规划教育的发源地与先行者，早已将生涯规划教</w:t>
      </w:r>
    </w:p>
    <w:p>
      <w:pPr>
        <w:spacing w:after="0"/>
        <w:jc w:val="center"/>
        <w:sectPr>
          <w:headerReference w:type="default" r:id="rId13"/>
          <w:footerReference w:type="default" r:id="rId14"/>
          <w:pgSz w:w="11910" w:h="16840"/>
          <w:pgMar w:header="878" w:footer="1191" w:top="1300" w:bottom="1380" w:left="480" w:right="220"/>
          <w:pgNumType w:start="1"/>
        </w:sectPr>
      </w:pPr>
    </w:p>
    <w:p>
      <w:pPr>
        <w:pStyle w:val="BodyText"/>
        <w:spacing w:before="1"/>
        <w:rPr>
          <w:sz w:val="10"/>
        </w:rPr>
      </w:pPr>
    </w:p>
    <w:p>
      <w:pPr>
        <w:pStyle w:val="BodyText"/>
        <w:spacing w:line="364" w:lineRule="auto" w:before="81"/>
        <w:ind w:left="1320" w:right="1455"/>
        <w:jc w:val="both"/>
      </w:pPr>
      <w:bookmarkStart w:name="_bookmark6" w:id="8"/>
      <w:bookmarkEnd w:id="8"/>
      <w:r>
        <w:rPr/>
      </w:r>
      <w:r>
        <w:rPr>
          <w:spacing w:val="-11"/>
        </w:rPr>
        <w:t>育纳入了学校教育体系，将其作为基础教育主要教育内容之一，</w:t>
      </w:r>
      <w:r>
        <w:rPr>
          <w:rFonts w:ascii="Times New Roman" w:eastAsia="Times New Roman"/>
          <w:spacing w:val="-2"/>
          <w:w w:val="104"/>
          <w:position w:val="8"/>
          <w:sz w:val="15"/>
        </w:rPr>
        <w:t>[</w:t>
      </w:r>
      <w:hyperlink w:history="true" w:anchor="_bookmark7">
        <w:r>
          <w:rPr>
            <w:rFonts w:ascii="Times New Roman" w:eastAsia="Times New Roman"/>
            <w:spacing w:val="-2"/>
            <w:w w:val="104"/>
            <w:position w:val="8"/>
            <w:sz w:val="15"/>
          </w:rPr>
          <w:t>1</w:t>
        </w:r>
      </w:hyperlink>
      <w:r>
        <w:rPr>
          <w:rFonts w:ascii="Times New Roman" w:eastAsia="Times New Roman"/>
          <w:w w:val="104"/>
          <w:position w:val="8"/>
          <w:sz w:val="15"/>
        </w:rPr>
        <w:t>]</w:t>
      </w:r>
      <w:r>
        <w:rPr>
          <w:spacing w:val="-3"/>
        </w:rPr>
        <w:t>并建立了系统、</w:t>
      </w:r>
      <w:r>
        <w:rPr>
          <w:spacing w:val="2"/>
        </w:rPr>
        <w:t>连贯的生涯规划教育体系。自上世纪 </w:t>
      </w:r>
      <w:r>
        <w:rPr>
          <w:rFonts w:ascii="Times New Roman" w:eastAsia="Times New Roman"/>
        </w:rPr>
        <w:t>70 </w:t>
      </w:r>
      <w:r>
        <w:rPr>
          <w:spacing w:val="6"/>
        </w:rPr>
        <w:t>年代，时任美国教育总署署长的马兰</w:t>
      </w:r>
    </w:p>
    <w:p>
      <w:pPr>
        <w:pStyle w:val="BodyText"/>
        <w:spacing w:line="364" w:lineRule="auto" w:before="1"/>
        <w:ind w:left="1320" w:right="1575"/>
        <w:jc w:val="both"/>
      </w:pPr>
      <w:r>
        <w:rPr/>
        <w:t>（</w:t>
      </w:r>
      <w:r>
        <w:rPr>
          <w:rFonts w:ascii="Times New Roman" w:hAnsi="Times New Roman" w:eastAsia="Times New Roman"/>
        </w:rPr>
        <w:t>Marland</w:t>
      </w:r>
      <w:r>
        <w:rPr/>
        <w:t>）提出“生涯规划教育”概念后，生涯规划教育在美国得到了社会各</w:t>
      </w:r>
      <w:r>
        <w:rPr>
          <w:spacing w:val="-8"/>
        </w:rPr>
        <w:t>界的广泛认可与支持，逐渐成为教育系统中不可缺少的部分，现已贯穿于幼儿园至大学的各个阶段。受美国影响，英国、加拿大、日本等发达国家纷纷进行教育</w:t>
      </w:r>
      <w:r>
        <w:rPr/>
        <w:t>改革，</w:t>
      </w:r>
      <w:r>
        <w:rPr>
          <w:rFonts w:ascii="Times New Roman" w:hAnsi="Times New Roman" w:eastAsia="Times New Roman"/>
          <w:position w:val="8"/>
          <w:sz w:val="15"/>
        </w:rPr>
        <w:t>[</w:t>
      </w:r>
      <w:hyperlink w:history="true" w:anchor="_bookmark8">
        <w:r>
          <w:rPr>
            <w:rFonts w:ascii="Times New Roman" w:hAnsi="Times New Roman" w:eastAsia="Times New Roman"/>
            <w:position w:val="8"/>
            <w:sz w:val="15"/>
          </w:rPr>
          <w:t>2</w:t>
        </w:r>
      </w:hyperlink>
      <w:r>
        <w:rPr>
          <w:rFonts w:ascii="Times New Roman" w:hAnsi="Times New Roman" w:eastAsia="Times New Roman"/>
          <w:position w:val="8"/>
          <w:sz w:val="15"/>
        </w:rPr>
        <w:t>]</w:t>
      </w:r>
      <w:r>
        <w:rPr/>
        <w:t>推进生涯规划教育的实施，逐步建立起各国的生涯规划教育体系。</w:t>
      </w:r>
    </w:p>
    <w:p>
      <w:pPr>
        <w:pStyle w:val="BodyText"/>
        <w:spacing w:line="364" w:lineRule="auto" w:before="2"/>
        <w:ind w:left="1320" w:right="1455" w:firstLine="480"/>
      </w:pPr>
      <w:r>
        <w:rPr>
          <w:spacing w:val="-5"/>
        </w:rPr>
        <w:t>另一方面，中学阶段的生涯规划教育历来是各国重点关注的内容。</w:t>
      </w:r>
      <w:r>
        <w:rPr>
          <w:rFonts w:ascii="Times New Roman" w:eastAsia="Times New Roman"/>
        </w:rPr>
        <w:t>1984</w:t>
      </w:r>
      <w:r>
        <w:rPr>
          <w:rFonts w:ascii="Times New Roman" w:eastAsia="Times New Roman"/>
          <w:spacing w:val="-1"/>
        </w:rPr>
        <w:t> </w:t>
      </w:r>
      <w:r>
        <w:rPr>
          <w:spacing w:val="-7"/>
        </w:rPr>
        <w:t>年， </w:t>
      </w:r>
      <w:r>
        <w:rPr>
          <w:spacing w:val="-17"/>
        </w:rPr>
        <w:t>英国在《雇佣和训练法》中指出，中学阶段有义务向所有学生提供生涯规划教育， </w:t>
      </w:r>
      <w:r>
        <w:rPr/>
        <w:t>又在《</w:t>
      </w:r>
      <w:r>
        <w:rPr>
          <w:rFonts w:ascii="Times New Roman" w:eastAsia="Times New Roman"/>
        </w:rPr>
        <w:t>1997</w:t>
      </w:r>
      <w:r>
        <w:rPr>
          <w:rFonts w:ascii="Times New Roman" w:eastAsia="Times New Roman"/>
          <w:spacing w:val="18"/>
        </w:rPr>
        <w:t> </w:t>
      </w:r>
      <w:r>
        <w:rPr/>
        <w:t>年教育法案》中强调公立中学必须为九至十一年级的学生提供适宜</w:t>
      </w:r>
      <w:r>
        <w:rPr>
          <w:spacing w:val="-7"/>
        </w:rPr>
        <w:t>的生涯规划教育计划，确保让所有学生接受生涯规划教育。此后，英国又颁布了</w:t>
      </w:r>
    </w:p>
    <w:p>
      <w:pPr>
        <w:pStyle w:val="BodyText"/>
        <w:spacing w:line="364" w:lineRule="auto" w:before="3"/>
        <w:ind w:left="1320" w:right="1450"/>
        <w:rPr>
          <w:rFonts w:ascii="Times New Roman" w:hAnsi="Times New Roman" w:eastAsia="Times New Roman"/>
          <w:sz w:val="15"/>
        </w:rPr>
      </w:pPr>
      <w:r>
        <w:rPr>
          <w:spacing w:val="-8"/>
        </w:rPr>
        <w:t>《新课程中的生涯发展教育》和《全国教育框架》等一系列生涯规划教育相关的指导文件，使生涯规划教育在课程体系中的地位更加明确。</w:t>
      </w:r>
      <w:hyperlink w:history="true" w:anchor="_bookmark9">
        <w:r>
          <w:rPr>
            <w:rFonts w:ascii="Times New Roman" w:hAnsi="Times New Roman" w:eastAsia="Times New Roman"/>
            <w:position w:val="8"/>
            <w:sz w:val="15"/>
          </w:rPr>
          <w:t>[3</w:t>
        </w:r>
      </w:hyperlink>
      <w:r>
        <w:rPr>
          <w:rFonts w:ascii="Times New Roman" w:hAnsi="Times New Roman" w:eastAsia="Times New Roman"/>
          <w:position w:val="8"/>
          <w:sz w:val="15"/>
        </w:rPr>
        <w:t>]</w:t>
      </w:r>
      <w:r>
        <w:rPr>
          <w:spacing w:val="-3"/>
        </w:rPr>
        <w:t>在日本，生涯规划</w:t>
      </w:r>
      <w:r>
        <w:rPr>
          <w:spacing w:val="-8"/>
        </w:rPr>
        <w:t>教育是普通高中教育的重要组成部分，日本学生必须参加“进路指导”活动，学</w:t>
      </w:r>
      <w:r>
        <w:rPr>
          <w:spacing w:val="-7"/>
        </w:rPr>
        <w:t>习“进路指导”课程</w:t>
      </w:r>
      <w:r>
        <w:rPr/>
        <w:t>（</w:t>
      </w:r>
      <w:r>
        <w:rPr>
          <w:spacing w:val="-5"/>
        </w:rPr>
        <w:t>即“生涯规划教育</w:t>
      </w:r>
      <w:r>
        <w:rPr>
          <w:spacing w:val="-17"/>
        </w:rPr>
        <w:t>”）。</w:t>
      </w:r>
      <w:r>
        <w:rPr>
          <w:rFonts w:ascii="Times New Roman" w:hAnsi="Times New Roman" w:eastAsia="Times New Roman"/>
          <w:position w:val="8"/>
          <w:sz w:val="15"/>
        </w:rPr>
        <w:t>[</w:t>
      </w:r>
      <w:hyperlink w:history="true" w:anchor="_bookmark10">
        <w:r>
          <w:rPr>
            <w:rFonts w:ascii="Times New Roman" w:hAnsi="Times New Roman" w:eastAsia="Times New Roman"/>
            <w:position w:val="8"/>
            <w:sz w:val="15"/>
          </w:rPr>
          <w:t>4</w:t>
        </w:r>
      </w:hyperlink>
      <w:r>
        <w:rPr>
          <w:rFonts w:ascii="Times New Roman" w:hAnsi="Times New Roman" w:eastAsia="Times New Roman"/>
          <w:position w:val="8"/>
          <w:sz w:val="15"/>
        </w:rPr>
        <w:t>]</w:t>
      </w:r>
      <w:r>
        <w:rPr>
          <w:spacing w:val="-7"/>
        </w:rPr>
        <w:t>日本的《学校教育法》中规定， </w:t>
      </w:r>
      <w:r>
        <w:rPr>
          <w:spacing w:val="-5"/>
        </w:rPr>
        <w:t>中学阶段除了让学生掌握必要的文化知识外，还要培养学生掌握社会相关职业的</w:t>
      </w:r>
      <w:r>
        <w:rPr>
          <w:spacing w:val="-9"/>
        </w:rPr>
        <w:t>基础知识和技能。</w:t>
      </w:r>
      <w:r>
        <w:rPr>
          <w:rFonts w:ascii="Times New Roman" w:hAnsi="Times New Roman" w:eastAsia="Times New Roman"/>
          <w:position w:val="8"/>
          <w:sz w:val="15"/>
        </w:rPr>
        <w:t>[</w:t>
      </w:r>
      <w:hyperlink w:history="true" w:anchor="_bookmark11">
        <w:r>
          <w:rPr>
            <w:rFonts w:ascii="Times New Roman" w:hAnsi="Times New Roman" w:eastAsia="Times New Roman"/>
            <w:position w:val="8"/>
            <w:sz w:val="15"/>
          </w:rPr>
          <w:t>5</w:t>
        </w:r>
      </w:hyperlink>
      <w:r>
        <w:rPr>
          <w:rFonts w:ascii="Times New Roman" w:hAnsi="Times New Roman" w:eastAsia="Times New Roman"/>
          <w:position w:val="8"/>
          <w:sz w:val="15"/>
        </w:rPr>
        <w:t>]</w:t>
      </w:r>
      <w:r>
        <w:rPr>
          <w:spacing w:val="-9"/>
        </w:rPr>
        <w:t>加拿大安大略省在《生涯教育与指导》</w:t>
      </w:r>
      <w:r>
        <w:rPr/>
        <w:t>（</w:t>
      </w:r>
      <w:r>
        <w:rPr>
          <w:rFonts w:ascii="Times New Roman" w:hAnsi="Times New Roman" w:eastAsia="Times New Roman"/>
        </w:rPr>
        <w:t>Guidance</w:t>
      </w:r>
      <w:r>
        <w:rPr>
          <w:rFonts w:ascii="Times New Roman" w:hAnsi="Times New Roman" w:eastAsia="Times New Roman"/>
          <w:spacing w:val="1"/>
        </w:rPr>
        <w:t> </w:t>
      </w:r>
      <w:r>
        <w:rPr>
          <w:rFonts w:ascii="Times New Roman" w:hAnsi="Times New Roman" w:eastAsia="Times New Roman"/>
        </w:rPr>
        <w:t>and</w:t>
      </w:r>
      <w:r>
        <w:rPr>
          <w:rFonts w:ascii="Times New Roman" w:hAnsi="Times New Roman" w:eastAsia="Times New Roman"/>
          <w:spacing w:val="1"/>
        </w:rPr>
        <w:t> </w:t>
      </w:r>
      <w:r>
        <w:rPr>
          <w:rFonts w:ascii="Times New Roman" w:hAnsi="Times New Roman" w:eastAsia="Times New Roman"/>
        </w:rPr>
        <w:t>Career Education</w:t>
      </w:r>
      <w:r>
        <w:rPr/>
        <w:t>）</w:t>
      </w:r>
      <w:r>
        <w:rPr>
          <w:spacing w:val="-3"/>
        </w:rPr>
        <w:t>课程指南中明确指出，生涯规划教育应处于中学课程的核心地位。</w:t>
      </w:r>
      <w:r>
        <w:rPr>
          <w:rFonts w:ascii="Times New Roman" w:hAnsi="Times New Roman" w:eastAsia="Times New Roman"/>
          <w:position w:val="8"/>
          <w:sz w:val="15"/>
        </w:rPr>
        <w:t>[</w:t>
      </w:r>
      <w:hyperlink w:history="true" w:anchor="_bookmark12">
        <w:r>
          <w:rPr>
            <w:rFonts w:ascii="Times New Roman" w:hAnsi="Times New Roman" w:eastAsia="Times New Roman"/>
            <w:position w:val="8"/>
            <w:sz w:val="15"/>
          </w:rPr>
          <w:t>6</w:t>
        </w:r>
      </w:hyperlink>
      <w:r>
        <w:rPr>
          <w:rFonts w:ascii="Times New Roman" w:hAnsi="Times New Roman" w:eastAsia="Times New Roman"/>
          <w:position w:val="8"/>
          <w:sz w:val="15"/>
        </w:rPr>
        <w:t>]</w:t>
      </w:r>
    </w:p>
    <w:p>
      <w:pPr>
        <w:pStyle w:val="BodyText"/>
        <w:spacing w:line="364" w:lineRule="auto" w:before="4"/>
        <w:ind w:left="1319" w:right="1485" w:firstLine="480"/>
        <w:jc w:val="both"/>
      </w:pPr>
      <w:r>
        <w:rPr/>
        <w:t>可见，生涯规划教育已在发达国家的基础教育中占据重要地位。反观国内， 在我国的基础教育体系中，生涯规划教育长期以来并未得到应有的重视。因此， 有必要重新审视生涯规划教育在我国基础教育中的地位和作用。</w:t>
      </w:r>
    </w:p>
    <w:p>
      <w:pPr>
        <w:pStyle w:val="BodyText"/>
        <w:spacing w:before="5"/>
        <w:rPr>
          <w:sz w:val="23"/>
        </w:rPr>
      </w:pPr>
    </w:p>
    <w:p>
      <w:pPr>
        <w:pStyle w:val="ListParagraph"/>
        <w:numPr>
          <w:ilvl w:val="2"/>
          <w:numId w:val="2"/>
        </w:numPr>
        <w:tabs>
          <w:tab w:pos="1920" w:val="left" w:leader="none"/>
        </w:tabs>
        <w:spacing w:line="240" w:lineRule="auto" w:before="0" w:after="0"/>
        <w:ind w:left="1920" w:right="0" w:hanging="601"/>
        <w:jc w:val="left"/>
        <w:rPr>
          <w:sz w:val="24"/>
        </w:rPr>
      </w:pPr>
      <w:r>
        <w:rPr>
          <w:sz w:val="24"/>
        </w:rPr>
        <w:t>国内背景</w:t>
      </w:r>
    </w:p>
    <w:p>
      <w:pPr>
        <w:pStyle w:val="BodyText"/>
        <w:spacing w:before="7"/>
        <w:rPr>
          <w:sz w:val="35"/>
        </w:rPr>
      </w:pPr>
    </w:p>
    <w:p>
      <w:pPr>
        <w:pStyle w:val="ListParagraph"/>
        <w:numPr>
          <w:ilvl w:val="3"/>
          <w:numId w:val="2"/>
        </w:numPr>
        <w:tabs>
          <w:tab w:pos="2100" w:val="left" w:leader="none"/>
        </w:tabs>
        <w:spacing w:line="240" w:lineRule="auto" w:before="0" w:after="0"/>
        <w:ind w:left="2100" w:right="0" w:hanging="781"/>
        <w:jc w:val="left"/>
        <w:rPr>
          <w:sz w:val="24"/>
        </w:rPr>
      </w:pPr>
      <w:r>
        <w:rPr>
          <w:sz w:val="24"/>
        </w:rPr>
        <w:t>高考改革迫切要求普通高中开展生涯规划教育</w:t>
      </w:r>
    </w:p>
    <w:p>
      <w:pPr>
        <w:pStyle w:val="BodyText"/>
        <w:rPr>
          <w:sz w:val="20"/>
        </w:rPr>
      </w:pPr>
    </w:p>
    <w:p>
      <w:pPr>
        <w:pStyle w:val="BodyText"/>
        <w:spacing w:before="9"/>
        <w:rPr>
          <w:sz w:val="13"/>
        </w:rPr>
      </w:pPr>
      <w:r>
        <w:rPr/>
        <w:pict>
          <v:shape style="position:absolute;margin-left:90pt;margin-top:10.728359pt;width:144pt;height:.1pt;mso-position-horizontal-relative:page;mso-position-vertical-relative:paragraph;z-index:-251642880;mso-wrap-distance-left:0;mso-wrap-distance-right:0" coordorigin="1800,215" coordsize="2880,0" path="m1800,215l4680,215e" filled="false" stroked="true" strokeweight="0pt" strokecolor="#000000">
            <v:path arrowok="t"/>
            <v:stroke dashstyle="solid"/>
            <w10:wrap type="topAndBottom"/>
          </v:shape>
        </w:pict>
      </w:r>
    </w:p>
    <w:p>
      <w:pPr>
        <w:spacing w:before="98"/>
        <w:ind w:left="1320" w:right="0" w:firstLine="0"/>
        <w:jc w:val="left"/>
        <w:rPr>
          <w:rFonts w:ascii="Times New Roman" w:eastAsia="Times New Roman"/>
          <w:sz w:val="18"/>
        </w:rPr>
      </w:pPr>
      <w:bookmarkStart w:name="_bookmark7" w:id="9"/>
      <w:bookmarkEnd w:id="9"/>
      <w:r>
        <w:rPr/>
      </w:r>
      <w:r>
        <w:rPr>
          <w:rFonts w:ascii="Times New Roman" w:eastAsia="Times New Roman"/>
          <w:position w:val="7"/>
          <w:sz w:val="13"/>
        </w:rPr>
        <w:t>[1] </w:t>
      </w:r>
      <w:r>
        <w:rPr>
          <w:sz w:val="18"/>
        </w:rPr>
        <w:t>李金碧</w:t>
      </w:r>
      <w:r>
        <w:rPr>
          <w:rFonts w:ascii="Times New Roman" w:eastAsia="Times New Roman"/>
          <w:sz w:val="18"/>
        </w:rPr>
        <w:t>.</w:t>
      </w:r>
      <w:r>
        <w:rPr>
          <w:sz w:val="18"/>
        </w:rPr>
        <w:t>生涯教育：基础教育不可或缺的领域</w:t>
      </w:r>
      <w:r>
        <w:rPr>
          <w:rFonts w:ascii="Times New Roman" w:eastAsia="Times New Roman"/>
          <w:sz w:val="18"/>
        </w:rPr>
        <w:t>.[J].</w:t>
      </w:r>
      <w:r>
        <w:rPr>
          <w:sz w:val="18"/>
        </w:rPr>
        <w:t>教育理论与实践</w:t>
      </w:r>
      <w:r>
        <w:rPr>
          <w:rFonts w:ascii="Times New Roman" w:eastAsia="Times New Roman"/>
          <w:sz w:val="18"/>
        </w:rPr>
        <w:t>.2015</w:t>
      </w:r>
      <w:r>
        <w:rPr>
          <w:sz w:val="18"/>
        </w:rPr>
        <w:t>（</w:t>
      </w:r>
      <w:r>
        <w:rPr>
          <w:rFonts w:ascii="Times New Roman" w:eastAsia="Times New Roman"/>
          <w:sz w:val="18"/>
        </w:rPr>
        <w:t>4</w:t>
      </w:r>
      <w:r>
        <w:rPr>
          <w:sz w:val="18"/>
        </w:rPr>
        <w:t>）：</w:t>
      </w:r>
      <w:r>
        <w:rPr>
          <w:rFonts w:ascii="Times New Roman" w:eastAsia="Times New Roman"/>
          <w:sz w:val="18"/>
        </w:rPr>
        <w:t>17.</w:t>
      </w:r>
    </w:p>
    <w:p>
      <w:pPr>
        <w:spacing w:before="128"/>
        <w:ind w:left="1320" w:right="0" w:firstLine="0"/>
        <w:jc w:val="left"/>
        <w:rPr>
          <w:rFonts w:ascii="Times New Roman" w:eastAsia="Times New Roman"/>
          <w:sz w:val="18"/>
        </w:rPr>
      </w:pPr>
      <w:bookmarkStart w:name="_bookmark8" w:id="10"/>
      <w:bookmarkEnd w:id="10"/>
      <w:r>
        <w:rPr/>
      </w:r>
      <w:r>
        <w:rPr>
          <w:rFonts w:ascii="Times New Roman" w:eastAsia="Times New Roman"/>
          <w:position w:val="7"/>
          <w:sz w:val="13"/>
        </w:rPr>
        <w:t>[2] </w:t>
      </w:r>
      <w:r>
        <w:rPr>
          <w:sz w:val="18"/>
        </w:rPr>
        <w:t>郑瑞新</w:t>
      </w:r>
      <w:r>
        <w:rPr>
          <w:rFonts w:ascii="Times New Roman" w:eastAsia="Times New Roman"/>
          <w:sz w:val="18"/>
        </w:rPr>
        <w:t>.</w:t>
      </w:r>
      <w:r>
        <w:rPr>
          <w:sz w:val="18"/>
        </w:rPr>
        <w:t>普通高中职业生涯规划教育研究</w:t>
      </w:r>
      <w:r>
        <w:rPr>
          <w:rFonts w:ascii="Times New Roman" w:eastAsia="Times New Roman"/>
          <w:sz w:val="18"/>
        </w:rPr>
        <w:t>.[D].</w:t>
      </w:r>
      <w:r>
        <w:rPr>
          <w:sz w:val="18"/>
        </w:rPr>
        <w:t>合肥：河北师范大学硕士论文，</w:t>
      </w:r>
      <w:r>
        <w:rPr>
          <w:rFonts w:ascii="Times New Roman" w:eastAsia="Times New Roman"/>
          <w:sz w:val="18"/>
        </w:rPr>
        <w:t>2009</w:t>
      </w:r>
      <w:r>
        <w:rPr>
          <w:sz w:val="18"/>
        </w:rPr>
        <w:t>：</w:t>
      </w:r>
      <w:r>
        <w:rPr>
          <w:rFonts w:ascii="Times New Roman" w:eastAsia="Times New Roman"/>
          <w:sz w:val="18"/>
        </w:rPr>
        <w:t>2.</w:t>
      </w:r>
    </w:p>
    <w:p>
      <w:pPr>
        <w:spacing w:before="127"/>
        <w:ind w:left="1319" w:right="0" w:firstLine="0"/>
        <w:jc w:val="left"/>
        <w:rPr>
          <w:rFonts w:ascii="Times New Roman" w:eastAsia="Times New Roman"/>
          <w:sz w:val="18"/>
        </w:rPr>
      </w:pPr>
      <w:bookmarkStart w:name="_bookmark9" w:id="11"/>
      <w:bookmarkEnd w:id="11"/>
      <w:r>
        <w:rPr/>
      </w:r>
      <w:r>
        <w:rPr>
          <w:rFonts w:ascii="Times New Roman" w:eastAsia="Times New Roman"/>
          <w:position w:val="7"/>
          <w:sz w:val="13"/>
        </w:rPr>
        <w:t>[3] </w:t>
      </w:r>
      <w:r>
        <w:rPr>
          <w:sz w:val="18"/>
        </w:rPr>
        <w:t>王雅文</w:t>
      </w:r>
      <w:r>
        <w:rPr>
          <w:rFonts w:ascii="Times New Roman" w:eastAsia="Times New Roman"/>
          <w:sz w:val="18"/>
        </w:rPr>
        <w:t>.</w:t>
      </w:r>
      <w:r>
        <w:rPr>
          <w:sz w:val="18"/>
        </w:rPr>
        <w:t>普通高中职业生涯教育现状和对策研究</w:t>
      </w:r>
      <w:r>
        <w:rPr>
          <w:rFonts w:ascii="Times New Roman" w:eastAsia="Times New Roman"/>
          <w:sz w:val="18"/>
        </w:rPr>
        <w:t>.[D].</w:t>
      </w:r>
      <w:r>
        <w:rPr>
          <w:sz w:val="18"/>
        </w:rPr>
        <w:t>上海：华东师范大学硕士论文，</w:t>
      </w:r>
      <w:r>
        <w:rPr>
          <w:rFonts w:ascii="Times New Roman" w:eastAsia="Times New Roman"/>
          <w:sz w:val="18"/>
        </w:rPr>
        <w:t>2014</w:t>
      </w:r>
      <w:r>
        <w:rPr>
          <w:sz w:val="18"/>
        </w:rPr>
        <w:t>：</w:t>
      </w:r>
      <w:r>
        <w:rPr>
          <w:rFonts w:ascii="Times New Roman" w:eastAsia="Times New Roman"/>
          <w:sz w:val="18"/>
        </w:rPr>
        <w:t>5.</w:t>
      </w:r>
    </w:p>
    <w:p>
      <w:pPr>
        <w:spacing w:before="126"/>
        <w:ind w:left="1319" w:right="0" w:firstLine="0"/>
        <w:jc w:val="left"/>
        <w:rPr>
          <w:rFonts w:ascii="Times New Roman" w:eastAsia="Times New Roman"/>
          <w:sz w:val="18"/>
        </w:rPr>
      </w:pPr>
      <w:bookmarkStart w:name="_bookmark10" w:id="12"/>
      <w:bookmarkEnd w:id="12"/>
      <w:r>
        <w:rPr/>
      </w:r>
      <w:r>
        <w:rPr>
          <w:rFonts w:ascii="Times New Roman" w:eastAsia="Times New Roman"/>
          <w:position w:val="7"/>
          <w:sz w:val="13"/>
        </w:rPr>
        <w:t>[4] </w:t>
      </w:r>
      <w:r>
        <w:rPr>
          <w:sz w:val="18"/>
        </w:rPr>
        <w:t>李金碧</w:t>
      </w:r>
      <w:r>
        <w:rPr>
          <w:rFonts w:ascii="Times New Roman" w:eastAsia="Times New Roman"/>
          <w:sz w:val="18"/>
        </w:rPr>
        <w:t>.</w:t>
      </w:r>
      <w:r>
        <w:rPr>
          <w:sz w:val="18"/>
        </w:rPr>
        <w:t>生涯教育：基础教育不可或缺的领域</w:t>
      </w:r>
      <w:r>
        <w:rPr>
          <w:rFonts w:ascii="Times New Roman" w:eastAsia="Times New Roman"/>
          <w:sz w:val="18"/>
        </w:rPr>
        <w:t>.[J].</w:t>
      </w:r>
      <w:r>
        <w:rPr>
          <w:sz w:val="18"/>
        </w:rPr>
        <w:t>教育理论与实践</w:t>
      </w:r>
      <w:r>
        <w:rPr>
          <w:rFonts w:ascii="Times New Roman" w:eastAsia="Times New Roman"/>
          <w:sz w:val="18"/>
        </w:rPr>
        <w:t>.2015</w:t>
      </w:r>
      <w:r>
        <w:rPr>
          <w:sz w:val="18"/>
        </w:rPr>
        <w:t>（</w:t>
      </w:r>
      <w:r>
        <w:rPr>
          <w:rFonts w:ascii="Times New Roman" w:eastAsia="Times New Roman"/>
          <w:sz w:val="18"/>
        </w:rPr>
        <w:t>4</w:t>
      </w:r>
      <w:r>
        <w:rPr>
          <w:sz w:val="18"/>
        </w:rPr>
        <w:t>）：</w:t>
      </w:r>
      <w:r>
        <w:rPr>
          <w:rFonts w:ascii="Times New Roman" w:eastAsia="Times New Roman"/>
          <w:sz w:val="18"/>
        </w:rPr>
        <w:t>17.</w:t>
      </w:r>
    </w:p>
    <w:p>
      <w:pPr>
        <w:spacing w:before="127"/>
        <w:ind w:left="1319" w:right="0" w:firstLine="0"/>
        <w:jc w:val="left"/>
        <w:rPr>
          <w:rFonts w:ascii="Times New Roman" w:eastAsia="Times New Roman"/>
          <w:sz w:val="18"/>
        </w:rPr>
      </w:pPr>
      <w:bookmarkStart w:name="_bookmark11" w:id="13"/>
      <w:bookmarkEnd w:id="13"/>
      <w:r>
        <w:rPr/>
      </w:r>
      <w:r>
        <w:rPr>
          <w:rFonts w:ascii="Times New Roman" w:eastAsia="Times New Roman"/>
          <w:position w:val="7"/>
          <w:sz w:val="13"/>
        </w:rPr>
        <w:t>[5] </w:t>
      </w:r>
      <w:r>
        <w:rPr>
          <w:sz w:val="18"/>
        </w:rPr>
        <w:t>张越</w:t>
      </w:r>
      <w:r>
        <w:rPr>
          <w:rFonts w:ascii="Times New Roman" w:eastAsia="Times New Roman"/>
          <w:sz w:val="18"/>
        </w:rPr>
        <w:t>.</w:t>
      </w:r>
      <w:r>
        <w:rPr>
          <w:sz w:val="18"/>
        </w:rPr>
        <w:t>普通高中生涯教育的实施经验及推进策略</w:t>
      </w:r>
      <w:r>
        <w:rPr>
          <w:rFonts w:ascii="Times New Roman" w:eastAsia="Times New Roman"/>
          <w:sz w:val="18"/>
        </w:rPr>
        <w:t>.[D].</w:t>
      </w:r>
      <w:r>
        <w:rPr>
          <w:sz w:val="18"/>
        </w:rPr>
        <w:t>长春市：东北师范大学硕士论文，</w:t>
      </w:r>
      <w:r>
        <w:rPr>
          <w:rFonts w:ascii="Times New Roman" w:eastAsia="Times New Roman"/>
          <w:sz w:val="18"/>
        </w:rPr>
        <w:t>2011</w:t>
      </w:r>
      <w:r>
        <w:rPr>
          <w:sz w:val="18"/>
        </w:rPr>
        <w:t>：</w:t>
      </w:r>
      <w:r>
        <w:rPr>
          <w:rFonts w:ascii="Times New Roman" w:eastAsia="Times New Roman"/>
          <w:sz w:val="18"/>
        </w:rPr>
        <w:t>4.</w:t>
      </w:r>
    </w:p>
    <w:p>
      <w:pPr>
        <w:spacing w:line="388" w:lineRule="auto" w:before="125"/>
        <w:ind w:left="1319" w:right="1485" w:firstLine="0"/>
        <w:jc w:val="left"/>
        <w:rPr>
          <w:rFonts w:ascii="Times New Roman" w:hAnsi="Times New Roman" w:eastAsia="Times New Roman"/>
          <w:sz w:val="18"/>
        </w:rPr>
      </w:pPr>
      <w:bookmarkStart w:name="_bookmark12" w:id="14"/>
      <w:bookmarkEnd w:id="14"/>
      <w:r>
        <w:rPr/>
      </w:r>
      <w:r>
        <w:rPr>
          <w:rFonts w:ascii="Times New Roman" w:hAnsi="Times New Roman" w:eastAsia="Times New Roman"/>
          <w:position w:val="7"/>
          <w:sz w:val="13"/>
        </w:rPr>
        <w:t>[6] </w:t>
      </w:r>
      <w:r>
        <w:rPr>
          <w:rFonts w:ascii="Times New Roman" w:hAnsi="Times New Roman" w:eastAsia="Times New Roman"/>
          <w:sz w:val="18"/>
        </w:rPr>
        <w:t>Ontario Ministry of Educaiton.The Ontario Curriculum Guidance Grades and 12.Guidance and Career Education.[M].Ontario:Queen’s Printer for Ontario</w:t>
      </w:r>
      <w:r>
        <w:rPr>
          <w:sz w:val="18"/>
        </w:rPr>
        <w:t>，</w:t>
      </w:r>
      <w:r>
        <w:rPr>
          <w:rFonts w:ascii="Times New Roman" w:hAnsi="Times New Roman" w:eastAsia="Times New Roman"/>
          <w:sz w:val="18"/>
        </w:rPr>
        <w:t>2016</w:t>
      </w:r>
      <w:r>
        <w:rPr>
          <w:sz w:val="18"/>
        </w:rPr>
        <w:t>：</w:t>
      </w:r>
      <w:r>
        <w:rPr>
          <w:rFonts w:ascii="Times New Roman" w:hAnsi="Times New Roman" w:eastAsia="Times New Roman"/>
          <w:sz w:val="18"/>
        </w:rPr>
        <w:t>3.</w:t>
      </w:r>
    </w:p>
    <w:p>
      <w:pPr>
        <w:spacing w:after="0" w:line="388" w:lineRule="auto"/>
        <w:jc w:val="left"/>
        <w:rPr>
          <w:rFonts w:ascii="Times New Roman" w:hAns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485" w:firstLine="448"/>
      </w:pPr>
      <w:r>
        <w:rPr/>
        <w:t>高考作为一项国家教育考试制度，在我国教育体系中占有举足轻重的地位， </w:t>
      </w:r>
      <w:r>
        <w:rPr>
          <w:spacing w:val="-6"/>
        </w:rPr>
        <w:t>也是我国各类考试中最重要、影响最大的考试。高考改革牵一发而动全身，是所</w:t>
      </w:r>
      <w:r>
        <w:rPr>
          <w:spacing w:val="-10"/>
        </w:rPr>
        <w:t>有改革中的一项“最复杂、最敏感”的系统工程。</w:t>
      </w:r>
      <w:r>
        <w:rPr>
          <w:rFonts w:ascii="Times New Roman" w:hAnsi="Times New Roman" w:eastAsia="Times New Roman"/>
          <w:position w:val="8"/>
          <w:sz w:val="15"/>
        </w:rPr>
        <w:t>[</w:t>
      </w:r>
      <w:hyperlink w:history="true" w:anchor="_bookmark13">
        <w:r>
          <w:rPr>
            <w:rFonts w:ascii="Times New Roman" w:hAnsi="Times New Roman" w:eastAsia="Times New Roman"/>
            <w:position w:val="8"/>
            <w:sz w:val="15"/>
          </w:rPr>
          <w:t>1</w:t>
        </w:r>
      </w:hyperlink>
      <w:r>
        <w:rPr>
          <w:rFonts w:ascii="Times New Roman" w:hAnsi="Times New Roman" w:eastAsia="Times New Roman"/>
          <w:position w:val="8"/>
          <w:sz w:val="15"/>
        </w:rPr>
        <w:t>]</w:t>
      </w:r>
      <w:r>
        <w:rPr>
          <w:rFonts w:ascii="Times New Roman" w:hAnsi="Times New Roman" w:eastAsia="Times New Roman"/>
        </w:rPr>
        <w:t>2014 </w:t>
      </w:r>
      <w:r>
        <w:rPr>
          <w:spacing w:val="-30"/>
        </w:rPr>
        <w:t>年 </w:t>
      </w:r>
      <w:r>
        <w:rPr>
          <w:rFonts w:ascii="Times New Roman" w:hAnsi="Times New Roman" w:eastAsia="Times New Roman"/>
        </w:rPr>
        <w:t>9 </w:t>
      </w:r>
      <w:r>
        <w:rPr>
          <w:spacing w:val="-6"/>
        </w:rPr>
        <w:t>月，随着《国务院</w:t>
      </w:r>
      <w:r>
        <w:rPr>
          <w:spacing w:val="-11"/>
        </w:rPr>
        <w:t>关于深化考试招生制度改革的实施意见》的出台，新一轮高考改革方案终于尘埃落定。本轮高考改革旨在通过优化招生制度，深化普通高中课程改革，深入推进</w:t>
      </w:r>
      <w:r>
        <w:rPr>
          <w:spacing w:val="-12"/>
        </w:rPr>
        <w:t>素质教育，改变以往“一考定终身”的应试教育现象，促进学生的成长和发展。</w:t>
      </w:r>
      <w:r>
        <w:rPr>
          <w:spacing w:val="-4"/>
        </w:rPr>
        <w:t>其核心要义是“增加学生选择权”，</w:t>
      </w:r>
      <w:r>
        <w:rPr>
          <w:rFonts w:ascii="Times New Roman" w:hAnsi="Times New Roman" w:eastAsia="Times New Roman"/>
          <w:spacing w:val="-4"/>
          <w:position w:val="8"/>
          <w:sz w:val="15"/>
        </w:rPr>
        <w:t>[</w:t>
      </w:r>
      <w:hyperlink w:history="true" w:anchor="_bookmark14">
        <w:r>
          <w:rPr>
            <w:rFonts w:ascii="Times New Roman" w:hAnsi="Times New Roman" w:eastAsia="Times New Roman"/>
            <w:spacing w:val="-4"/>
            <w:position w:val="8"/>
            <w:sz w:val="15"/>
          </w:rPr>
          <w:t>2</w:t>
        </w:r>
      </w:hyperlink>
      <w:r>
        <w:rPr>
          <w:rFonts w:ascii="Times New Roman" w:hAnsi="Times New Roman" w:eastAsia="Times New Roman"/>
          <w:spacing w:val="-4"/>
          <w:position w:val="8"/>
          <w:sz w:val="15"/>
        </w:rPr>
        <w:t>]</w:t>
      </w:r>
      <w:r>
        <w:rPr>
          <w:spacing w:val="-3"/>
        </w:rPr>
        <w:t>“坚持自主选择，为每个学生提供更多的</w:t>
      </w:r>
      <w:r>
        <w:rPr>
          <w:spacing w:val="-7"/>
        </w:rPr>
        <w:t>选择机会，促进学生发展学科兴趣与个性特长”。</w:t>
      </w:r>
      <w:r>
        <w:rPr>
          <w:rFonts w:ascii="Times New Roman" w:hAnsi="Times New Roman" w:eastAsia="Times New Roman"/>
          <w:position w:val="8"/>
          <w:sz w:val="15"/>
        </w:rPr>
        <w:t>[</w:t>
      </w:r>
      <w:hyperlink w:history="true" w:anchor="_bookmark15">
        <w:r>
          <w:rPr>
            <w:rFonts w:ascii="Times New Roman" w:hAnsi="Times New Roman" w:eastAsia="Times New Roman"/>
            <w:position w:val="8"/>
            <w:sz w:val="15"/>
          </w:rPr>
          <w:t>3</w:t>
        </w:r>
      </w:hyperlink>
      <w:r>
        <w:rPr>
          <w:rFonts w:ascii="Times New Roman" w:hAnsi="Times New Roman" w:eastAsia="Times New Roman"/>
          <w:position w:val="8"/>
          <w:sz w:val="15"/>
        </w:rPr>
        <w:t>]</w:t>
      </w:r>
      <w:r>
        <w:rPr>
          <w:spacing w:val="-1"/>
        </w:rPr>
        <w:t>为扩大学生的选择权，新高</w:t>
      </w:r>
      <w:r>
        <w:rPr>
          <w:spacing w:val="-2"/>
        </w:rPr>
        <w:t>考“不分文理科”。学生需依据自身特征，结合高校招生要求，在历史、地理、</w:t>
      </w:r>
      <w:r>
        <w:rPr/>
        <w:t>政治、物理、化学、生物等科目中自主选择。截止目前（</w:t>
      </w:r>
      <w:r>
        <w:rPr>
          <w:rFonts w:ascii="Times New Roman" w:hAnsi="Times New Roman" w:eastAsia="Times New Roman"/>
        </w:rPr>
        <w:t>2016</w:t>
      </w:r>
      <w:r>
        <w:rPr>
          <w:rFonts w:ascii="Times New Roman" w:hAnsi="Times New Roman" w:eastAsia="Times New Roman"/>
          <w:spacing w:val="9"/>
        </w:rPr>
        <w:t> </w:t>
      </w:r>
      <w:r>
        <w:rPr>
          <w:spacing w:val="-26"/>
        </w:rPr>
        <w:t>年 </w:t>
      </w:r>
      <w:r>
        <w:rPr>
          <w:rFonts w:ascii="Times New Roman" w:hAnsi="Times New Roman" w:eastAsia="Times New Roman"/>
        </w:rPr>
        <w:t>4</w:t>
      </w:r>
      <w:r>
        <w:rPr>
          <w:rFonts w:ascii="Times New Roman" w:hAnsi="Times New Roman" w:eastAsia="Times New Roman"/>
          <w:spacing w:val="9"/>
        </w:rPr>
        <w:t> </w:t>
      </w:r>
      <w:r>
        <w:rPr>
          <w:spacing w:val="-26"/>
        </w:rPr>
        <w:t>月 </w:t>
      </w:r>
      <w:r>
        <w:rPr>
          <w:rFonts w:ascii="Times New Roman" w:hAnsi="Times New Roman" w:eastAsia="Times New Roman"/>
        </w:rPr>
        <w:t>3</w:t>
      </w:r>
      <w:r>
        <w:rPr>
          <w:rFonts w:ascii="Times New Roman" w:hAnsi="Times New Roman" w:eastAsia="Times New Roman"/>
          <w:spacing w:val="9"/>
        </w:rPr>
        <w:t> </w:t>
      </w:r>
      <w:r>
        <w:rPr/>
        <w:t>日），</w:t>
      </w:r>
    </w:p>
    <w:p>
      <w:pPr>
        <w:pStyle w:val="BodyText"/>
        <w:spacing w:before="6"/>
        <w:ind w:left="1320"/>
      </w:pPr>
      <w:r>
        <w:rPr>
          <w:spacing w:val="-6"/>
        </w:rPr>
        <w:t>全国已有 </w:t>
      </w:r>
      <w:r>
        <w:rPr>
          <w:rFonts w:ascii="Times New Roman" w:eastAsia="Times New Roman"/>
        </w:rPr>
        <w:t>16</w:t>
      </w:r>
      <w:r>
        <w:rPr>
          <w:rFonts w:ascii="Times New Roman" w:eastAsia="Times New Roman"/>
          <w:spacing w:val="32"/>
        </w:rPr>
        <w:t> </w:t>
      </w:r>
      <w:r>
        <w:rPr/>
        <w:t>省份</w:t>
      </w:r>
      <w:hyperlink w:history="true" w:anchor="_bookmark16">
        <w:r>
          <w:rPr>
            <w:rFonts w:ascii="Times New Roman" w:eastAsia="Times New Roman"/>
            <w:position w:val="8"/>
            <w:sz w:val="15"/>
          </w:rPr>
          <w:t>[4</w:t>
        </w:r>
      </w:hyperlink>
      <w:r>
        <w:rPr>
          <w:rFonts w:ascii="Times New Roman" w:eastAsia="Times New Roman"/>
          <w:position w:val="8"/>
          <w:sz w:val="15"/>
        </w:rPr>
        <w:t>]</w:t>
      </w:r>
      <w:r>
        <w:rPr/>
        <w:t>先后出台了本地区高考改革方案，基本上采用文理不分科、</w:t>
      </w:r>
    </w:p>
    <w:p>
      <w:pPr>
        <w:pStyle w:val="BodyText"/>
        <w:spacing w:before="160"/>
        <w:ind w:left="1319"/>
        <w:jc w:val="both"/>
      </w:pPr>
      <w:r>
        <w:rPr/>
        <w:t>“</w:t>
      </w:r>
      <w:r>
        <w:rPr>
          <w:rFonts w:ascii="Times New Roman" w:hAnsi="Times New Roman" w:eastAsia="Times New Roman"/>
        </w:rPr>
        <w:t>3+3</w:t>
      </w:r>
      <w:r>
        <w:rPr>
          <w:spacing w:val="-3"/>
        </w:rPr>
        <w:t>”高考模式——高考总成绩语文、数学、外语 </w:t>
      </w:r>
      <w:r>
        <w:rPr/>
        <w:t>3</w:t>
      </w:r>
      <w:r>
        <w:rPr>
          <w:spacing w:val="-8"/>
        </w:rPr>
        <w:t> 门必考科目的成绩和从思</w:t>
      </w:r>
    </w:p>
    <w:p>
      <w:pPr>
        <w:pStyle w:val="BodyText"/>
        <w:spacing w:line="364" w:lineRule="auto" w:before="161"/>
        <w:ind w:left="1320" w:right="1577"/>
        <w:jc w:val="both"/>
      </w:pPr>
      <w:r>
        <w:rPr>
          <w:spacing w:val="-13"/>
        </w:rPr>
        <w:t>想政治、历史、地理、物理、化学、生物等科目中任选 </w:t>
      </w:r>
      <w:r>
        <w:rPr>
          <w:rFonts w:ascii="Times New Roman" w:eastAsia="Times New Roman"/>
        </w:rPr>
        <w:t>3 </w:t>
      </w:r>
      <w:r>
        <w:rPr>
          <w:spacing w:val="-2"/>
        </w:rPr>
        <w:t>门作为高中学业水平考</w:t>
      </w:r>
      <w:r>
        <w:rPr>
          <w:spacing w:val="-10"/>
        </w:rPr>
        <w:t>试成绩组成，并计划在近三年内启动高考改革。此次高考改革力度之大，可见一</w:t>
      </w:r>
      <w:r>
        <w:rPr/>
        <w:t>斑。</w:t>
      </w:r>
    </w:p>
    <w:p>
      <w:pPr>
        <w:pStyle w:val="BodyText"/>
        <w:spacing w:line="364" w:lineRule="auto" w:before="2"/>
        <w:ind w:left="1320" w:right="1455" w:firstLine="480"/>
      </w:pPr>
      <w:r>
        <w:rPr>
          <w:spacing w:val="-4"/>
        </w:rPr>
        <w:t>高考改革带给学生最直接的变化是解放了学生的选择权。无论是三门学业水</w:t>
      </w:r>
      <w:r>
        <w:rPr>
          <w:spacing w:val="-11"/>
        </w:rPr>
        <w:t>平考试科目的选择，还是考试时间的选择，以及大学专业与未来职业的选择，都</w:t>
      </w:r>
      <w:r>
        <w:rPr>
          <w:spacing w:val="-15"/>
        </w:rPr>
        <w:t>是对学生选择能力的挑战。如何针对高中生的特点与需求指导学生做出恰当的选</w:t>
      </w:r>
      <w:r>
        <w:rPr>
          <w:spacing w:val="-16"/>
        </w:rPr>
        <w:t>择，让学生能够合理、有效地规划高中三年的学习，应对高考，成为了摆在学生、</w:t>
      </w:r>
      <w:r>
        <w:rPr/>
        <w:t>教师和家长面前的迫切问题。生涯规划教育具有培养学生选择能力的重要功能， 迎合了当前高考改革的需要，也因此站在了教育改革的前端。</w:t>
      </w:r>
    </w:p>
    <w:p>
      <w:pPr>
        <w:pStyle w:val="ListParagraph"/>
        <w:numPr>
          <w:ilvl w:val="3"/>
          <w:numId w:val="2"/>
        </w:numPr>
        <w:tabs>
          <w:tab w:pos="2100" w:val="left" w:leader="none"/>
        </w:tabs>
        <w:spacing w:line="240" w:lineRule="auto" w:before="3" w:after="0"/>
        <w:ind w:left="2100" w:right="0" w:hanging="780"/>
        <w:jc w:val="left"/>
        <w:rPr>
          <w:sz w:val="24"/>
        </w:rPr>
      </w:pPr>
      <w:r>
        <w:rPr>
          <w:sz w:val="24"/>
        </w:rPr>
        <w:t>现阶段我国普通高中的生涯规划教育存在误区</w:t>
      </w:r>
    </w:p>
    <w:p>
      <w:pPr>
        <w:pStyle w:val="BodyText"/>
        <w:rPr>
          <w:sz w:val="20"/>
        </w:rPr>
      </w:pPr>
    </w:p>
    <w:p>
      <w:pPr>
        <w:pStyle w:val="BodyText"/>
        <w:rPr>
          <w:sz w:val="14"/>
        </w:rPr>
      </w:pPr>
      <w:r>
        <w:rPr/>
        <w:pict>
          <v:shape style="position:absolute;margin-left:90pt;margin-top:10.936445pt;width:144pt;height:.1pt;mso-position-horizontal-relative:page;mso-position-vertical-relative:paragraph;z-index:-251641856;mso-wrap-distance-left:0;mso-wrap-distance-right:0" coordorigin="1800,219" coordsize="2880,0" path="m1800,219l4680,219e" filled="false" stroked="true" strokeweight="0pt" strokecolor="#000000">
            <v:path arrowok="t"/>
            <v:stroke dashstyle="solid"/>
            <w10:wrap type="topAndBottom"/>
          </v:shape>
        </w:pict>
      </w:r>
    </w:p>
    <w:p>
      <w:pPr>
        <w:spacing w:before="99"/>
        <w:ind w:left="1320" w:right="0" w:firstLine="0"/>
        <w:jc w:val="both"/>
        <w:rPr>
          <w:rFonts w:ascii="Times New Roman" w:eastAsia="Times New Roman"/>
          <w:sz w:val="18"/>
        </w:rPr>
      </w:pPr>
      <w:bookmarkStart w:name="_bookmark13" w:id="15"/>
      <w:bookmarkEnd w:id="15"/>
      <w:r>
        <w:rPr/>
      </w:r>
      <w:r>
        <w:rPr>
          <w:rFonts w:ascii="Times New Roman" w:eastAsia="Times New Roman"/>
          <w:position w:val="7"/>
          <w:sz w:val="13"/>
        </w:rPr>
        <w:t>[1] </w:t>
      </w:r>
      <w:r>
        <w:rPr>
          <w:sz w:val="18"/>
        </w:rPr>
        <w:t>于世洁，徐宁汉等</w:t>
      </w:r>
      <w:r>
        <w:rPr>
          <w:rFonts w:ascii="Times New Roman" w:eastAsia="Times New Roman"/>
          <w:sz w:val="18"/>
        </w:rPr>
        <w:t>.</w:t>
      </w:r>
      <w:r>
        <w:rPr>
          <w:sz w:val="18"/>
        </w:rPr>
        <w:t>新高考改革下高校选考科目的制定</w:t>
      </w:r>
      <w:r>
        <w:rPr>
          <w:rFonts w:ascii="Times New Roman" w:eastAsia="Times New Roman"/>
          <w:sz w:val="18"/>
        </w:rPr>
        <w:t>[J].</w:t>
      </w:r>
      <w:r>
        <w:rPr>
          <w:sz w:val="18"/>
        </w:rPr>
        <w:t>清华大学教育研究，</w:t>
      </w:r>
      <w:r>
        <w:rPr>
          <w:rFonts w:ascii="Times New Roman" w:eastAsia="Times New Roman"/>
          <w:sz w:val="18"/>
        </w:rPr>
        <w:t>2015</w:t>
      </w:r>
      <w:r>
        <w:rPr>
          <w:sz w:val="18"/>
        </w:rPr>
        <w:t>（</w:t>
      </w:r>
      <w:r>
        <w:rPr>
          <w:rFonts w:ascii="Times New Roman" w:eastAsia="Times New Roman"/>
          <w:sz w:val="18"/>
        </w:rPr>
        <w:t>2</w:t>
      </w:r>
      <w:r>
        <w:rPr>
          <w:sz w:val="18"/>
        </w:rPr>
        <w:t>）：</w:t>
      </w:r>
      <w:r>
        <w:rPr>
          <w:rFonts w:ascii="Times New Roman" w:eastAsia="Times New Roman"/>
          <w:sz w:val="18"/>
        </w:rPr>
        <w:t>32-63.</w:t>
      </w:r>
    </w:p>
    <w:p>
      <w:pPr>
        <w:spacing w:line="367" w:lineRule="auto" w:before="125"/>
        <w:ind w:left="1320" w:right="1636" w:firstLine="0"/>
        <w:jc w:val="both"/>
        <w:rPr>
          <w:rFonts w:ascii="Times New Roman" w:eastAsia="Times New Roman"/>
          <w:sz w:val="18"/>
        </w:rPr>
      </w:pPr>
      <w:bookmarkStart w:name="_bookmark14" w:id="16"/>
      <w:bookmarkEnd w:id="16"/>
      <w:r>
        <w:rPr/>
      </w:r>
      <w:r>
        <w:rPr>
          <w:rFonts w:ascii="Times New Roman" w:eastAsia="Times New Roman"/>
          <w:position w:val="7"/>
          <w:sz w:val="13"/>
        </w:rPr>
        <w:t>[2] </w:t>
      </w:r>
      <w:r>
        <w:rPr>
          <w:sz w:val="18"/>
        </w:rPr>
        <w:t>国务院</w:t>
      </w:r>
      <w:r>
        <w:rPr>
          <w:rFonts w:ascii="Times New Roman" w:eastAsia="Times New Roman"/>
          <w:sz w:val="18"/>
        </w:rPr>
        <w:t>.</w:t>
      </w:r>
      <w:r>
        <w:rPr>
          <w:sz w:val="18"/>
        </w:rPr>
        <w:t>国务院关于深化考试招生制度改革的实施意见</w:t>
      </w:r>
      <w:r>
        <w:rPr>
          <w:rFonts w:ascii="Times New Roman" w:eastAsia="Times New Roman"/>
          <w:sz w:val="18"/>
        </w:rPr>
        <w:t>.[EB/OL]</w:t>
      </w:r>
      <w:hyperlink r:id="rId15">
        <w:r>
          <w:rPr>
            <w:rFonts w:ascii="Times New Roman" w:eastAsia="Times New Roman"/>
            <w:sz w:val="18"/>
          </w:rPr>
          <w:t>.http://www.gov.cn/zhengce/content/2014-0</w:t>
        </w:r>
      </w:hyperlink>
      <w:r>
        <w:rPr>
          <w:rFonts w:ascii="Times New Roman" w:eastAsia="Times New Roman"/>
          <w:sz w:val="18"/>
        </w:rPr>
        <w:t> 9/04/content_9065.htm.2016-3-5.</w:t>
      </w:r>
    </w:p>
    <w:p>
      <w:pPr>
        <w:spacing w:line="240" w:lineRule="exact" w:before="0"/>
        <w:ind w:left="1320" w:right="0" w:firstLine="0"/>
        <w:jc w:val="both"/>
        <w:rPr>
          <w:rFonts w:ascii="Times New Roman" w:eastAsia="Times New Roman"/>
          <w:sz w:val="18"/>
        </w:rPr>
      </w:pPr>
      <w:bookmarkStart w:name="_bookmark15" w:id="17"/>
      <w:bookmarkEnd w:id="17"/>
      <w:r>
        <w:rPr/>
      </w:r>
      <w:r>
        <w:rPr>
          <w:rFonts w:ascii="Times New Roman" w:eastAsia="Times New Roman"/>
          <w:position w:val="7"/>
          <w:sz w:val="13"/>
        </w:rPr>
        <w:t>[3] </w:t>
      </w:r>
      <w:r>
        <w:rPr>
          <w:sz w:val="18"/>
        </w:rPr>
        <w:t>教育部</w:t>
      </w:r>
      <w:r>
        <w:rPr>
          <w:rFonts w:ascii="Times New Roman" w:eastAsia="Times New Roman"/>
          <w:sz w:val="18"/>
        </w:rPr>
        <w:t>.</w:t>
      </w:r>
      <w:r>
        <w:rPr>
          <w:sz w:val="18"/>
        </w:rPr>
        <w:t>教育部关于普通高中学业水平考试的实施意见</w:t>
      </w:r>
      <w:r>
        <w:rPr>
          <w:rFonts w:ascii="Times New Roman" w:eastAsia="Times New Roman"/>
          <w:sz w:val="18"/>
        </w:rPr>
        <w:t>.[EB/OL]</w:t>
      </w:r>
      <w:hyperlink r:id="rId16">
        <w:r>
          <w:rPr>
            <w:rFonts w:ascii="Times New Roman" w:eastAsia="Times New Roman"/>
            <w:sz w:val="18"/>
          </w:rPr>
          <w:t>.http://www.moe.edu.cn/publicfiles/business</w:t>
        </w:r>
      </w:hyperlink>
    </w:p>
    <w:p>
      <w:pPr>
        <w:spacing w:before="122"/>
        <w:ind w:left="1320" w:right="0" w:firstLine="0"/>
        <w:jc w:val="left"/>
        <w:rPr>
          <w:rFonts w:ascii="Times New Roman"/>
          <w:sz w:val="18"/>
        </w:rPr>
      </w:pPr>
      <w:r>
        <w:rPr>
          <w:rFonts w:ascii="Times New Roman"/>
          <w:sz w:val="18"/>
        </w:rPr>
        <w:t>/htmlfiles/moe/s4559/201412/181664.html.2016-3-5.</w:t>
      </w:r>
    </w:p>
    <w:p>
      <w:pPr>
        <w:spacing w:line="364" w:lineRule="auto" w:before="109"/>
        <w:ind w:left="1319" w:right="1558" w:firstLine="0"/>
        <w:jc w:val="both"/>
        <w:rPr>
          <w:sz w:val="18"/>
        </w:rPr>
      </w:pPr>
      <w:bookmarkStart w:name="_bookmark16" w:id="18"/>
      <w:bookmarkEnd w:id="18"/>
      <w:r>
        <w:rPr/>
      </w:r>
      <w:r>
        <w:rPr>
          <w:rFonts w:ascii="Times New Roman" w:eastAsia="Times New Roman"/>
          <w:position w:val="7"/>
          <w:sz w:val="13"/>
        </w:rPr>
        <w:t>[4</w:t>
      </w:r>
      <w:r>
        <w:rPr>
          <w:rFonts w:ascii="Times New Roman" w:eastAsia="Times New Roman"/>
          <w:spacing w:val="3"/>
          <w:position w:val="7"/>
          <w:sz w:val="13"/>
        </w:rPr>
        <w:t>] </w:t>
      </w:r>
      <w:r>
        <w:rPr>
          <w:spacing w:val="-1"/>
          <w:sz w:val="18"/>
        </w:rPr>
        <w:t>包括首批高考综合改革试点的上海和浙江，以及北京、河北、江苏、江西、山东、广东、海南、甘肃、</w:t>
      </w:r>
      <w:r>
        <w:rPr>
          <w:spacing w:val="-10"/>
          <w:sz w:val="18"/>
        </w:rPr>
        <w:t>青海、广西、宁夏、湖南、贵州和西藏，共 </w:t>
      </w:r>
      <w:r>
        <w:rPr>
          <w:rFonts w:ascii="Times New Roman" w:eastAsia="Times New Roman"/>
          <w:sz w:val="18"/>
        </w:rPr>
        <w:t>16 </w:t>
      </w:r>
      <w:r>
        <w:rPr>
          <w:spacing w:val="-3"/>
          <w:sz w:val="18"/>
        </w:rPr>
        <w:t>个省份公布了高考改革方案。其中北京、湖南、辽宁等省份</w:t>
      </w:r>
      <w:r>
        <w:rPr>
          <w:spacing w:val="-17"/>
          <w:sz w:val="18"/>
        </w:rPr>
        <w:t>将于 </w:t>
      </w:r>
      <w:r>
        <w:rPr>
          <w:rFonts w:ascii="Times New Roman" w:eastAsia="Times New Roman"/>
          <w:sz w:val="18"/>
        </w:rPr>
        <w:t>2017 </w:t>
      </w:r>
      <w:r>
        <w:rPr>
          <w:spacing w:val="-3"/>
          <w:sz w:val="18"/>
        </w:rPr>
        <w:t>年启动高考综合改革；江苏、内蒙古、安徽将从 </w:t>
      </w:r>
      <w:r>
        <w:rPr>
          <w:rFonts w:ascii="Times New Roman" w:eastAsia="Times New Roman"/>
          <w:sz w:val="18"/>
        </w:rPr>
        <w:t>2018 </w:t>
      </w:r>
      <w:r>
        <w:rPr>
          <w:sz w:val="18"/>
        </w:rPr>
        <w:t>年高一新生开始执行；部分西部省份将于</w:t>
      </w:r>
      <w:r>
        <w:rPr>
          <w:rFonts w:ascii="Times New Roman" w:eastAsia="Times New Roman"/>
          <w:sz w:val="18"/>
        </w:rPr>
        <w:t>2019 </w:t>
      </w:r>
      <w:r>
        <w:rPr>
          <w:sz w:val="18"/>
        </w:rPr>
        <w:t>年执行，如宁夏、甘肃等。</w:t>
      </w:r>
    </w:p>
    <w:p>
      <w:pPr>
        <w:spacing w:after="0" w:line="364" w:lineRule="auto"/>
        <w:jc w:val="both"/>
        <w:rPr>
          <w:sz w:val="18"/>
        </w:rPr>
        <w:sectPr>
          <w:pgSz w:w="11910" w:h="16840"/>
          <w:pgMar w:header="878" w:footer="1191" w:top="1300" w:bottom="1380" w:left="480" w:right="220"/>
        </w:sectPr>
      </w:pPr>
    </w:p>
    <w:p>
      <w:pPr>
        <w:pStyle w:val="BodyText"/>
        <w:spacing w:before="8"/>
        <w:rPr>
          <w:sz w:val="10"/>
        </w:rPr>
      </w:pPr>
    </w:p>
    <w:p>
      <w:pPr>
        <w:pStyle w:val="BodyText"/>
        <w:spacing w:line="364" w:lineRule="auto" w:before="74"/>
        <w:ind w:left="1319" w:right="1455" w:firstLine="480"/>
      </w:pPr>
      <w:bookmarkStart w:name="_bookmark17" w:id="19"/>
      <w:bookmarkEnd w:id="19"/>
      <w:r>
        <w:rPr/>
      </w:r>
      <w:r>
        <w:rPr/>
        <w:t>事实上，我国生涯规划教育起步并不晚，</w:t>
      </w:r>
      <w:r>
        <w:rPr>
          <w:rFonts w:ascii="Times New Roman" w:hAnsi="Times New Roman" w:eastAsia="Times New Roman"/>
        </w:rPr>
        <w:t>20 </w:t>
      </w:r>
      <w:r>
        <w:rPr/>
        <w:t>世纪初，我国已展开对生涯规</w:t>
      </w:r>
      <w:r>
        <w:rPr>
          <w:spacing w:val="-2"/>
        </w:rPr>
        <w:t>划教育的研究</w:t>
      </w:r>
      <w:r>
        <w:rPr/>
        <w:t>（</w:t>
      </w:r>
      <w:r>
        <w:rPr>
          <w:spacing w:val="-3"/>
        </w:rPr>
        <w:t>当时称“职业指导</w:t>
      </w:r>
      <w:r>
        <w:rPr>
          <w:spacing w:val="-8"/>
        </w:rPr>
        <w:t>”）。</w:t>
      </w:r>
      <w:r>
        <w:rPr>
          <w:rFonts w:ascii="Times New Roman" w:hAnsi="Times New Roman" w:eastAsia="Times New Roman"/>
          <w:position w:val="8"/>
          <w:sz w:val="15"/>
        </w:rPr>
        <w:t>[</w:t>
      </w:r>
      <w:hyperlink w:history="true" w:anchor="_bookmark18">
        <w:r>
          <w:rPr>
            <w:rFonts w:ascii="Times New Roman" w:hAnsi="Times New Roman" w:eastAsia="Times New Roman"/>
            <w:position w:val="8"/>
            <w:sz w:val="15"/>
          </w:rPr>
          <w:t>1</w:t>
        </w:r>
      </w:hyperlink>
      <w:r>
        <w:rPr>
          <w:rFonts w:ascii="Times New Roman" w:hAnsi="Times New Roman" w:eastAsia="Times New Roman"/>
          <w:position w:val="8"/>
          <w:sz w:val="15"/>
        </w:rPr>
        <w:t>]</w:t>
      </w:r>
      <w:r>
        <w:rPr/>
        <w:t>但我国生涯规划教育经历了一段时间</w:t>
      </w:r>
      <w:r>
        <w:rPr>
          <w:spacing w:val="-10"/>
        </w:rPr>
        <w:t>的停滞，进程较为缓慢，现今仍处于一个相当粗浅的水平。普通高中阶段的生涯</w:t>
      </w:r>
      <w:r>
        <w:rPr>
          <w:spacing w:val="-13"/>
        </w:rPr>
        <w:t>规划教育，基本上处于起步阶段。因此，部分学校对生涯规划教育的内涵解读仍存在误区，窄化了生涯规划教育的内涵，将生涯规划教育理解成指导学生选课和</w:t>
      </w:r>
      <w:r>
        <w:rPr>
          <w:spacing w:val="-35"/>
        </w:rPr>
        <w:t>选考，</w:t>
      </w:r>
      <w:r>
        <w:rPr>
          <w:rFonts w:ascii="Times New Roman" w:hAnsi="Times New Roman" w:eastAsia="Times New Roman"/>
          <w:spacing w:val="-2"/>
          <w:w w:val="104"/>
          <w:position w:val="8"/>
          <w:sz w:val="15"/>
        </w:rPr>
        <w:t>[</w:t>
      </w:r>
      <w:hyperlink w:history="true" w:anchor="_bookmark19">
        <w:r>
          <w:rPr>
            <w:rFonts w:ascii="Times New Roman" w:hAnsi="Times New Roman" w:eastAsia="Times New Roman"/>
            <w:spacing w:val="-2"/>
            <w:w w:val="104"/>
            <w:position w:val="8"/>
            <w:sz w:val="15"/>
          </w:rPr>
          <w:t>2</w:t>
        </w:r>
      </w:hyperlink>
      <w:r>
        <w:rPr>
          <w:rFonts w:ascii="Times New Roman" w:hAnsi="Times New Roman" w:eastAsia="Times New Roman"/>
          <w:w w:val="104"/>
          <w:position w:val="8"/>
          <w:sz w:val="15"/>
        </w:rPr>
        <w:t>]</w:t>
      </w:r>
      <w:r>
        <w:rPr>
          <w:spacing w:val="-7"/>
        </w:rPr>
        <w:t>即为学生的升学和就业服务。这种观点强调了生涯规划教育的外在价值，</w:t>
      </w:r>
      <w:r>
        <w:rPr>
          <w:spacing w:val="-8"/>
        </w:rPr>
        <w:t>而忽视了其内在的育人价值。这一部分学校将开展生涯规划教育的目的直指高考</w:t>
      </w:r>
      <w:r>
        <w:rPr>
          <w:spacing w:val="-10"/>
        </w:rPr>
        <w:t>改革的学生硬需求，开设相关课程或一些活动。</w:t>
      </w:r>
      <w:r>
        <w:rPr>
          <w:rFonts w:ascii="Times New Roman" w:hAnsi="Times New Roman" w:eastAsia="Times New Roman"/>
          <w:position w:val="8"/>
          <w:sz w:val="15"/>
        </w:rPr>
        <w:t>[</w:t>
      </w:r>
      <w:hyperlink w:history="true" w:anchor="_bookmark20">
        <w:r>
          <w:rPr>
            <w:rFonts w:ascii="Times New Roman" w:hAnsi="Times New Roman" w:eastAsia="Times New Roman"/>
            <w:position w:val="8"/>
            <w:sz w:val="15"/>
          </w:rPr>
          <w:t>3</w:t>
        </w:r>
      </w:hyperlink>
      <w:r>
        <w:rPr>
          <w:rFonts w:ascii="Times New Roman" w:hAnsi="Times New Roman" w:eastAsia="Times New Roman"/>
          <w:position w:val="8"/>
          <w:sz w:val="15"/>
        </w:rPr>
        <w:t>]</w:t>
      </w:r>
      <w:r>
        <w:rPr/>
        <w:t>由于学校对生涯规划教育的狭义解读，导致生涯规划教育在实施过程中也难以落到实处，成效甚微。</w:t>
      </w:r>
    </w:p>
    <w:p>
      <w:pPr>
        <w:pStyle w:val="BodyText"/>
        <w:spacing w:line="364" w:lineRule="auto" w:before="5"/>
        <w:ind w:left="1319" w:right="1577" w:firstLine="480"/>
        <w:jc w:val="both"/>
        <w:rPr>
          <w:rFonts w:ascii="Times New Roman" w:eastAsia="Times New Roman"/>
          <w:sz w:val="15"/>
        </w:rPr>
      </w:pPr>
      <w:r>
        <w:rPr>
          <w:spacing w:val="-11"/>
        </w:rPr>
        <w:t>另外，还有部分学生、教师和家长缺乏对生涯规划教育的正确认识。在他们</w:t>
      </w:r>
      <w:r>
        <w:rPr>
          <w:spacing w:val="-10"/>
        </w:rPr>
        <w:t>看来，生涯规划教育完全是浪费时间，与其开展生涯规划教育，不如把时间用在</w:t>
      </w:r>
      <w:r>
        <w:rPr>
          <w:spacing w:val="-9"/>
        </w:rPr>
        <w:t>提高成绩上，让学生多做几道题，多考几次试，提高考试分数，考上重点大学才</w:t>
      </w:r>
      <w:r>
        <w:rPr>
          <w:spacing w:val="-10"/>
        </w:rPr>
        <w:t>是至关重要的。他们的思想深受应试教育束缚，并未认识到生涯规划教育对于学</w:t>
      </w:r>
      <w:r>
        <w:rPr/>
        <w:t>生终身发展的重要意义。</w:t>
      </w:r>
      <w:r>
        <w:rPr>
          <w:rFonts w:ascii="Times New Roman" w:eastAsia="Times New Roman"/>
          <w:position w:val="8"/>
          <w:sz w:val="15"/>
        </w:rPr>
        <w:t>[</w:t>
      </w:r>
      <w:hyperlink w:history="true" w:anchor="_bookmark21">
        <w:r>
          <w:rPr>
            <w:rFonts w:ascii="Times New Roman" w:eastAsia="Times New Roman"/>
            <w:position w:val="8"/>
            <w:sz w:val="15"/>
          </w:rPr>
          <w:t>4</w:t>
        </w:r>
      </w:hyperlink>
      <w:r>
        <w:rPr>
          <w:rFonts w:ascii="Times New Roman" w:eastAsia="Times New Roman"/>
          <w:position w:val="8"/>
          <w:sz w:val="15"/>
        </w:rPr>
        <w:t>]</w:t>
      </w:r>
    </w:p>
    <w:p>
      <w:pPr>
        <w:pStyle w:val="BodyText"/>
        <w:spacing w:line="364" w:lineRule="auto" w:before="3"/>
        <w:ind w:left="1319" w:right="1485" w:firstLine="480"/>
      </w:pPr>
      <w:r>
        <w:rPr/>
        <w:t>因此，探讨基于核心素养观的普通高中生涯规划教育生涯规划教育的实施， 对于推动我国普通高中生涯规划教育的开展具有深刻的现实意义。</w:t>
      </w:r>
    </w:p>
    <w:p>
      <w:pPr>
        <w:pStyle w:val="BodyText"/>
        <w:spacing w:before="4"/>
        <w:rPr>
          <w:sz w:val="17"/>
        </w:rPr>
      </w:pPr>
    </w:p>
    <w:p>
      <w:pPr>
        <w:pStyle w:val="Heading2"/>
        <w:numPr>
          <w:ilvl w:val="1"/>
          <w:numId w:val="3"/>
        </w:numPr>
        <w:tabs>
          <w:tab w:pos="1810" w:val="left" w:leader="none"/>
        </w:tabs>
        <w:spacing w:line="240" w:lineRule="auto" w:before="0" w:after="0"/>
        <w:ind w:left="1809" w:right="0" w:hanging="491"/>
        <w:jc w:val="left"/>
      </w:pPr>
      <w:r>
        <w:rPr/>
        <w:t>研究意义</w:t>
      </w:r>
    </w:p>
    <w:p>
      <w:pPr>
        <w:pStyle w:val="BodyText"/>
        <w:spacing w:before="5"/>
        <w:rPr>
          <w:rFonts w:ascii="Microsoft JhengHei"/>
          <w:b/>
          <w:sz w:val="22"/>
        </w:rPr>
      </w:pPr>
    </w:p>
    <w:p>
      <w:pPr>
        <w:pStyle w:val="BodyText"/>
        <w:spacing w:line="364" w:lineRule="auto"/>
        <w:ind w:left="1319" w:right="1485" w:firstLine="480"/>
      </w:pPr>
      <w:r>
        <w:rPr>
          <w:spacing w:val="-9"/>
        </w:rPr>
        <w:t>现阶段，我国普通高中教育中普遍缺乏生涯规划教育的元素，现有的生涯规</w:t>
      </w:r>
      <w:r>
        <w:rPr>
          <w:spacing w:val="-10"/>
        </w:rPr>
        <w:t>划教育停留于对学生的就业指导或升学指导，不仅缩小了生涯规划教育的范围， </w:t>
      </w:r>
      <w:r>
        <w:rPr>
          <w:spacing w:val="-1"/>
        </w:rPr>
        <w:t>而且忽视了学生未来发展的需要。高考改革对普通高中教育带来了一系列挑战， </w:t>
      </w:r>
      <w:r>
        <w:rPr>
          <w:spacing w:val="-5"/>
        </w:rPr>
        <w:t>更是将生涯规划教育提上了议事日程。从国际教育变革趋势来看，核心素养引领</w:t>
      </w:r>
      <w:r>
        <w:rPr>
          <w:spacing w:val="-10"/>
        </w:rPr>
        <w:t>着世界范围内的教育改革，我国也正基于核心素养重构课程体系。因此，如何将</w:t>
      </w:r>
      <w:r>
        <w:rPr>
          <w:spacing w:val="-15"/>
        </w:rPr>
        <w:t>核心素养的理念与我国的现实需求相结合，真正地落实普通高中生涯规划教育的</w:t>
      </w:r>
    </w:p>
    <w:p>
      <w:pPr>
        <w:pStyle w:val="BodyText"/>
        <w:spacing w:before="12"/>
        <w:rPr>
          <w:sz w:val="13"/>
        </w:rPr>
      </w:pPr>
      <w:r>
        <w:rPr/>
        <w:pict>
          <v:shape style="position:absolute;margin-left:90pt;margin-top:11.144805pt;width:144pt;height:.1pt;mso-position-horizontal-relative:page;mso-position-vertical-relative:paragraph;z-index:-251640832;mso-wrap-distance-left:0;mso-wrap-distance-right:0" coordorigin="1800,223" coordsize="2880,0" path="m1800,223l4680,223e" filled="false" stroked="true" strokeweight=".402pt" strokecolor="#000000">
            <v:path arrowok="t"/>
            <v:stroke dashstyle="solid"/>
            <w10:wrap type="topAndBottom"/>
          </v:shape>
        </w:pict>
      </w:r>
    </w:p>
    <w:p>
      <w:pPr>
        <w:spacing w:before="93"/>
        <w:ind w:left="1320" w:right="0" w:firstLine="0"/>
        <w:jc w:val="left"/>
        <w:rPr>
          <w:rFonts w:ascii="Times New Roman" w:eastAsia="Times New Roman"/>
          <w:sz w:val="18"/>
        </w:rPr>
      </w:pPr>
      <w:bookmarkStart w:name="_bookmark18" w:id="20"/>
      <w:bookmarkEnd w:id="20"/>
      <w:r>
        <w:rPr/>
      </w:r>
      <w:r>
        <w:rPr>
          <w:rFonts w:ascii="Times New Roman" w:eastAsia="Times New Roman"/>
          <w:position w:val="7"/>
          <w:sz w:val="13"/>
        </w:rPr>
        <w:t>[1] </w:t>
      </w:r>
      <w:r>
        <w:rPr>
          <w:sz w:val="18"/>
        </w:rPr>
        <w:t>张兀</w:t>
      </w:r>
      <w:r>
        <w:rPr>
          <w:rFonts w:ascii="Times New Roman" w:eastAsia="Times New Roman"/>
          <w:sz w:val="18"/>
        </w:rPr>
        <w:t>.</w:t>
      </w:r>
      <w:r>
        <w:rPr>
          <w:sz w:val="18"/>
        </w:rPr>
        <w:t>李兴军论职业指导概念的形成与发展</w:t>
      </w:r>
      <w:r>
        <w:rPr>
          <w:rFonts w:ascii="Times New Roman" w:eastAsia="Times New Roman"/>
          <w:sz w:val="18"/>
        </w:rPr>
        <w:t>.[J].</w:t>
      </w:r>
      <w:r>
        <w:rPr>
          <w:sz w:val="18"/>
        </w:rPr>
        <w:t>教育与职业，</w:t>
      </w:r>
      <w:r>
        <w:rPr>
          <w:rFonts w:ascii="Times New Roman" w:eastAsia="Times New Roman"/>
          <w:sz w:val="18"/>
        </w:rPr>
        <w:t>2008</w:t>
      </w:r>
      <w:r>
        <w:rPr>
          <w:sz w:val="18"/>
        </w:rPr>
        <w:t>（</w:t>
      </w:r>
      <w:r>
        <w:rPr>
          <w:rFonts w:ascii="Times New Roman" w:eastAsia="Times New Roman"/>
          <w:sz w:val="18"/>
        </w:rPr>
        <w:t>21</w:t>
      </w:r>
      <w:r>
        <w:rPr>
          <w:sz w:val="18"/>
        </w:rPr>
        <w:t>）：</w:t>
      </w:r>
      <w:r>
        <w:rPr>
          <w:rFonts w:ascii="Times New Roman" w:eastAsia="Times New Roman"/>
          <w:sz w:val="18"/>
        </w:rPr>
        <w:t>32.</w:t>
      </w:r>
    </w:p>
    <w:p>
      <w:pPr>
        <w:spacing w:line="364" w:lineRule="auto" w:before="128"/>
        <w:ind w:left="1320" w:right="1604" w:firstLine="0"/>
        <w:jc w:val="left"/>
        <w:rPr>
          <w:rFonts w:ascii="Times New Roman" w:eastAsia="Times New Roman"/>
          <w:sz w:val="18"/>
        </w:rPr>
      </w:pPr>
      <w:bookmarkStart w:name="_bookmark19" w:id="21"/>
      <w:bookmarkEnd w:id="21"/>
      <w:r>
        <w:rPr/>
      </w:r>
      <w:r>
        <w:rPr>
          <w:rFonts w:ascii="Times New Roman" w:eastAsia="Times New Roman"/>
          <w:position w:val="7"/>
          <w:sz w:val="13"/>
        </w:rPr>
        <w:t>[2</w:t>
      </w:r>
      <w:r>
        <w:rPr>
          <w:rFonts w:ascii="Times New Roman" w:eastAsia="Times New Roman"/>
          <w:spacing w:val="1"/>
          <w:position w:val="7"/>
          <w:sz w:val="13"/>
        </w:rPr>
        <w:t>] </w:t>
      </w:r>
      <w:r>
        <w:rPr>
          <w:sz w:val="18"/>
        </w:rPr>
        <w:t>方红峰</w:t>
      </w:r>
      <w:r>
        <w:rPr>
          <w:rFonts w:ascii="Times New Roman" w:eastAsia="Times New Roman"/>
          <w:sz w:val="18"/>
        </w:rPr>
        <w:t>.</w:t>
      </w:r>
      <w:r>
        <w:rPr>
          <w:sz w:val="18"/>
        </w:rPr>
        <w:t>生涯规划教育：一项贯穿高中阶段的综合性工作</w:t>
      </w:r>
      <w:r>
        <w:rPr>
          <w:rFonts w:ascii="Times New Roman" w:eastAsia="Times New Roman"/>
          <w:sz w:val="18"/>
        </w:rPr>
        <w:t>.[EB/OL]</w:t>
      </w:r>
      <w:hyperlink r:id="rId17">
        <w:r>
          <w:rPr>
            <w:rFonts w:ascii="Times New Roman" w:eastAsia="Times New Roman"/>
            <w:sz w:val="18"/>
          </w:rPr>
          <w:t>.http://www.zjjyb.cn/jyb/qygc/8276.html.</w:t>
        </w:r>
      </w:hyperlink>
      <w:r>
        <w:rPr>
          <w:rFonts w:ascii="Times New Roman" w:eastAsia="Times New Roman"/>
          <w:sz w:val="18"/>
        </w:rPr>
        <w:t> 2017-1-5.</w:t>
      </w:r>
    </w:p>
    <w:p>
      <w:pPr>
        <w:spacing w:line="364" w:lineRule="auto" w:before="2"/>
        <w:ind w:left="1320" w:right="1604" w:firstLine="0"/>
        <w:jc w:val="left"/>
        <w:rPr>
          <w:rFonts w:ascii="Times New Roman" w:eastAsia="Times New Roman"/>
          <w:sz w:val="18"/>
        </w:rPr>
      </w:pPr>
      <w:bookmarkStart w:name="_bookmark20" w:id="22"/>
      <w:bookmarkEnd w:id="22"/>
      <w:r>
        <w:rPr/>
      </w:r>
      <w:r>
        <w:rPr>
          <w:rFonts w:ascii="Times New Roman" w:eastAsia="Times New Roman"/>
          <w:position w:val="7"/>
          <w:sz w:val="13"/>
        </w:rPr>
        <w:t>[3</w:t>
      </w:r>
      <w:r>
        <w:rPr>
          <w:rFonts w:ascii="Times New Roman" w:eastAsia="Times New Roman"/>
          <w:spacing w:val="1"/>
          <w:position w:val="7"/>
          <w:sz w:val="13"/>
        </w:rPr>
        <w:t>] </w:t>
      </w:r>
      <w:r>
        <w:rPr>
          <w:sz w:val="18"/>
        </w:rPr>
        <w:t>方红峰</w:t>
      </w:r>
      <w:r>
        <w:rPr>
          <w:rFonts w:ascii="Times New Roman" w:eastAsia="Times New Roman"/>
          <w:sz w:val="18"/>
        </w:rPr>
        <w:t>.</w:t>
      </w:r>
      <w:r>
        <w:rPr>
          <w:sz w:val="18"/>
        </w:rPr>
        <w:t>生涯规划教育：一项贯穿高中阶段的综合性工作</w:t>
      </w:r>
      <w:r>
        <w:rPr>
          <w:rFonts w:ascii="Times New Roman" w:eastAsia="Times New Roman"/>
          <w:sz w:val="18"/>
        </w:rPr>
        <w:t>.[EB/OL]</w:t>
      </w:r>
      <w:hyperlink r:id="rId17">
        <w:r>
          <w:rPr>
            <w:rFonts w:ascii="Times New Roman" w:eastAsia="Times New Roman"/>
            <w:sz w:val="18"/>
          </w:rPr>
          <w:t>.http://www.zjjyb.cn/jyb/qygc/8276.html.</w:t>
        </w:r>
      </w:hyperlink>
      <w:r>
        <w:rPr>
          <w:rFonts w:ascii="Times New Roman" w:eastAsia="Times New Roman"/>
          <w:sz w:val="18"/>
        </w:rPr>
        <w:t> 2017-1-5.</w:t>
      </w:r>
    </w:p>
    <w:p>
      <w:pPr>
        <w:spacing w:before="3"/>
        <w:ind w:left="1320" w:right="0" w:firstLine="0"/>
        <w:jc w:val="left"/>
        <w:rPr>
          <w:rFonts w:ascii="Times New Roman" w:eastAsia="Times New Roman"/>
          <w:sz w:val="18"/>
        </w:rPr>
      </w:pPr>
      <w:bookmarkStart w:name="_bookmark21" w:id="23"/>
      <w:bookmarkEnd w:id="23"/>
      <w:r>
        <w:rPr/>
      </w:r>
      <w:r>
        <w:rPr>
          <w:rFonts w:ascii="Times New Roman" w:eastAsia="Times New Roman"/>
          <w:position w:val="7"/>
          <w:sz w:val="13"/>
        </w:rPr>
        <w:t>[4] </w:t>
      </w:r>
      <w:r>
        <w:rPr>
          <w:sz w:val="18"/>
        </w:rPr>
        <w:t>赵佳</w:t>
      </w:r>
      <w:r>
        <w:rPr>
          <w:rFonts w:ascii="Times New Roman" w:eastAsia="Times New Roman"/>
          <w:sz w:val="18"/>
        </w:rPr>
        <w:t>.</w:t>
      </w:r>
      <w:r>
        <w:rPr>
          <w:sz w:val="18"/>
        </w:rPr>
        <w:t>我国普通高中生涯规划教育的问题研究</w:t>
      </w:r>
      <w:r>
        <w:rPr>
          <w:rFonts w:ascii="Times New Roman" w:eastAsia="Times New Roman"/>
          <w:sz w:val="18"/>
        </w:rPr>
        <w:t>.[D].</w:t>
      </w:r>
      <w:r>
        <w:rPr>
          <w:sz w:val="18"/>
        </w:rPr>
        <w:t>沈阳市：沈阳师范大学硕士论文，</w:t>
      </w:r>
      <w:r>
        <w:rPr>
          <w:rFonts w:ascii="Times New Roman" w:eastAsia="Times New Roman"/>
          <w:sz w:val="18"/>
        </w:rPr>
        <w:t>2012</w:t>
      </w:r>
      <w:r>
        <w:rPr>
          <w:sz w:val="18"/>
        </w:rPr>
        <w:t>：</w:t>
      </w:r>
      <w:r>
        <w:rPr>
          <w:rFonts w:ascii="Times New Roman" w:eastAsia="Times New Roman"/>
          <w:sz w:val="18"/>
        </w:rPr>
        <w:t>24.</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before="66"/>
        <w:ind w:left="1320"/>
      </w:pPr>
      <w:bookmarkStart w:name="_bookmark22" w:id="24"/>
      <w:bookmarkEnd w:id="24"/>
      <w:r>
        <w:rPr/>
      </w:r>
      <w:r>
        <w:rPr/>
        <w:t>实施成为了一个亟待解决的课题。</w:t>
      </w:r>
    </w:p>
    <w:p>
      <w:pPr>
        <w:pStyle w:val="BodyText"/>
        <w:spacing w:before="9"/>
        <w:rPr>
          <w:sz w:val="35"/>
        </w:rPr>
      </w:pPr>
    </w:p>
    <w:p>
      <w:pPr>
        <w:pStyle w:val="ListParagraph"/>
        <w:numPr>
          <w:ilvl w:val="2"/>
          <w:numId w:val="3"/>
        </w:numPr>
        <w:tabs>
          <w:tab w:pos="1920" w:val="left" w:leader="none"/>
        </w:tabs>
        <w:spacing w:line="240" w:lineRule="auto" w:before="1" w:after="0"/>
        <w:ind w:left="1920" w:right="0" w:hanging="600"/>
        <w:jc w:val="left"/>
        <w:rPr>
          <w:sz w:val="24"/>
        </w:rPr>
      </w:pPr>
      <w:r>
        <w:rPr>
          <w:sz w:val="24"/>
        </w:rPr>
        <w:t>理论意义</w:t>
      </w:r>
    </w:p>
    <w:p>
      <w:pPr>
        <w:pStyle w:val="BodyText"/>
        <w:spacing w:before="7"/>
        <w:rPr>
          <w:sz w:val="35"/>
        </w:rPr>
      </w:pPr>
    </w:p>
    <w:p>
      <w:pPr>
        <w:pStyle w:val="BodyText"/>
        <w:spacing w:line="364" w:lineRule="auto"/>
        <w:ind w:left="1320" w:right="1485" w:firstLine="480"/>
        <w:jc w:val="both"/>
      </w:pPr>
      <w:r>
        <w:rPr>
          <w:spacing w:val="-8"/>
        </w:rPr>
        <w:t>从理论层面来看，将核心素养的理念与生涯规划教育的内涵结合，在核心素</w:t>
      </w:r>
      <w:r>
        <w:rPr>
          <w:spacing w:val="-13"/>
        </w:rPr>
        <w:t>养观下探讨普通高中生涯规划教育的实施，是一种新的实施思路。生涯规划教育</w:t>
      </w:r>
      <w:r>
        <w:rPr>
          <w:spacing w:val="-25"/>
        </w:rPr>
        <w:t>起源于 </w:t>
      </w:r>
      <w:r>
        <w:rPr>
          <w:rFonts w:ascii="Times New Roman" w:eastAsia="Times New Roman"/>
        </w:rPr>
        <w:t>20 </w:t>
      </w:r>
      <w:r>
        <w:rPr/>
        <w:t>世纪初美国帕森斯（</w:t>
      </w:r>
      <w:r>
        <w:rPr>
          <w:rFonts w:ascii="Times New Roman" w:eastAsia="Times New Roman"/>
        </w:rPr>
        <w:t>Parsons</w:t>
      </w:r>
      <w:r>
        <w:rPr/>
        <w:t>）提出的就业指导理论。多年来，经各国</w:t>
      </w:r>
      <w:r>
        <w:rPr>
          <w:spacing w:val="-8"/>
        </w:rPr>
        <w:t>的不断充实与丰富，至今已完成了从就业指导到生涯规划教育的嬗变。在全球化</w:t>
      </w:r>
      <w:r>
        <w:rPr>
          <w:spacing w:val="-10"/>
        </w:rPr>
        <w:t>时代，当生涯规划教育与现实需求碰撞时，又焕发出新的魅力。相比之下，我国</w:t>
      </w:r>
      <w:r>
        <w:rPr>
          <w:spacing w:val="-14"/>
        </w:rPr>
        <w:t>的核心素养与普通高中生涯规划教育研究均处于探索阶段。因此，本研究通过对</w:t>
      </w:r>
      <w:r>
        <w:rPr/>
        <w:t>核心素养的源起、发展及其对发达国家生涯规划教育产生的影响等方面进行梳</w:t>
      </w:r>
      <w:r>
        <w:rPr>
          <w:spacing w:val="-9"/>
        </w:rPr>
        <w:t>理，试图把核心素养的理念整合至普通高中生涯规划教育中，把握核心素养观下</w:t>
      </w:r>
      <w:r>
        <w:rPr>
          <w:spacing w:val="-10"/>
        </w:rPr>
        <w:t>生涯规划教育的特点与趋势，以期为普通高中生涯规划教育的研究提供新视角。</w:t>
      </w:r>
    </w:p>
    <w:p>
      <w:pPr>
        <w:pStyle w:val="BodyText"/>
        <w:spacing w:before="6"/>
        <w:rPr>
          <w:sz w:val="23"/>
        </w:rPr>
      </w:pPr>
    </w:p>
    <w:p>
      <w:pPr>
        <w:pStyle w:val="ListParagraph"/>
        <w:numPr>
          <w:ilvl w:val="2"/>
          <w:numId w:val="3"/>
        </w:numPr>
        <w:tabs>
          <w:tab w:pos="1920" w:val="left" w:leader="none"/>
        </w:tabs>
        <w:spacing w:line="240" w:lineRule="auto" w:before="0" w:after="0"/>
        <w:ind w:left="1920" w:right="0" w:hanging="600"/>
        <w:jc w:val="left"/>
        <w:rPr>
          <w:sz w:val="24"/>
        </w:rPr>
      </w:pPr>
      <w:r>
        <w:rPr>
          <w:sz w:val="24"/>
        </w:rPr>
        <w:t>实践意义</w:t>
      </w:r>
    </w:p>
    <w:p>
      <w:pPr>
        <w:pStyle w:val="BodyText"/>
        <w:spacing w:before="9"/>
        <w:rPr>
          <w:sz w:val="35"/>
        </w:rPr>
      </w:pPr>
    </w:p>
    <w:p>
      <w:pPr>
        <w:pStyle w:val="BodyText"/>
        <w:spacing w:line="364" w:lineRule="auto"/>
        <w:ind w:left="1320" w:right="1577" w:firstLine="480"/>
        <w:jc w:val="both"/>
      </w:pPr>
      <w:r>
        <w:rPr>
          <w:spacing w:val="-8"/>
        </w:rPr>
        <w:t>在我国新一轮基础教育改革中，培养学生的职业意识和人生规划能力也是普</w:t>
      </w:r>
      <w:r>
        <w:rPr>
          <w:spacing w:val="-7"/>
        </w:rPr>
        <w:t>通高中育人的重要目标之一。本研究通过对核心素养的分析，审思我国普通高中</w:t>
      </w:r>
      <w:r>
        <w:rPr>
          <w:spacing w:val="-5"/>
        </w:rPr>
        <w:t>基于核心素养观实施生涯规划教育的必要性和可能性，探讨国际上核心素养观对</w:t>
      </w:r>
      <w:r>
        <w:rPr>
          <w:spacing w:val="-8"/>
        </w:rPr>
        <w:t>生涯规划教育实施目标、实施内容、实施方式的影响，结合我国普通高中生涯规</w:t>
      </w:r>
      <w:r>
        <w:rPr>
          <w:spacing w:val="-10"/>
        </w:rPr>
        <w:t>划教育的现状，希冀为普通高中生涯规划教育的实施提供可操作性建议，从而促</w:t>
      </w:r>
      <w:r>
        <w:rPr/>
        <w:t>进高中教育发展，深化普通高中课程改革。</w:t>
      </w:r>
    </w:p>
    <w:p>
      <w:pPr>
        <w:pStyle w:val="BodyText"/>
        <w:spacing w:line="364" w:lineRule="auto" w:before="4"/>
        <w:ind w:left="1320" w:right="1485" w:firstLine="480"/>
      </w:pPr>
      <w:r>
        <w:rPr>
          <w:spacing w:val="-1"/>
        </w:rPr>
        <w:t>对学生而言，从现实需求来看，通过生涯规划教育的开展，能解决其选课、</w:t>
      </w:r>
      <w:r>
        <w:rPr>
          <w:spacing w:val="-8"/>
        </w:rPr>
        <w:t>选考问题，帮助学生将高中学习与大学专业选择有效衔接；从未来发展来看，学</w:t>
      </w:r>
      <w:r>
        <w:rPr>
          <w:spacing w:val="-13"/>
        </w:rPr>
        <w:t>生通过生涯规划教育，深化对自我的认知，了解并探索相关职业，把握社会发展</w:t>
      </w:r>
      <w:r>
        <w:rPr>
          <w:spacing w:val="-10"/>
        </w:rPr>
        <w:t>趋势，能够将自身的生涯规划发展与社会发展相结合，树立生涯发展意识，获得生涯规划素养。</w:t>
      </w:r>
    </w:p>
    <w:p>
      <w:pPr>
        <w:spacing w:after="0" w:line="364" w:lineRule="auto"/>
        <w:sectPr>
          <w:pgSz w:w="11910" w:h="16840"/>
          <w:pgMar w:header="878" w:footer="1191" w:top="1300" w:bottom="1380" w:left="480" w:right="220"/>
        </w:sectPr>
      </w:pPr>
    </w:p>
    <w:p>
      <w:pPr>
        <w:pStyle w:val="BodyText"/>
        <w:spacing w:before="11"/>
        <w:rPr>
          <w:sz w:val="14"/>
        </w:rPr>
      </w:pPr>
    </w:p>
    <w:p>
      <w:pPr>
        <w:pStyle w:val="Heading2"/>
        <w:numPr>
          <w:ilvl w:val="1"/>
          <w:numId w:val="3"/>
        </w:numPr>
        <w:tabs>
          <w:tab w:pos="1810" w:val="left" w:leader="none"/>
        </w:tabs>
        <w:spacing w:line="496" w:lineRule="exact" w:before="0" w:after="0"/>
        <w:ind w:left="1809" w:right="0" w:hanging="490"/>
        <w:jc w:val="left"/>
      </w:pPr>
      <w:bookmarkStart w:name="_bookmark23" w:id="25"/>
      <w:bookmarkEnd w:id="25"/>
      <w:r>
        <w:rPr>
          <w:b w:val="0"/>
        </w:rPr>
      </w:r>
      <w:bookmarkStart w:name="_bookmark23" w:id="26"/>
      <w:bookmarkEnd w:id="26"/>
      <w:r>
        <w:rPr/>
        <w:t>文献综述</w:t>
      </w:r>
    </w:p>
    <w:p>
      <w:pPr>
        <w:pStyle w:val="BodyText"/>
        <w:spacing w:before="4"/>
        <w:rPr>
          <w:rFonts w:ascii="Microsoft JhengHei"/>
          <w:b/>
        </w:rPr>
      </w:pPr>
    </w:p>
    <w:p>
      <w:pPr>
        <w:pStyle w:val="ListParagraph"/>
        <w:numPr>
          <w:ilvl w:val="2"/>
          <w:numId w:val="3"/>
        </w:numPr>
        <w:tabs>
          <w:tab w:pos="1920" w:val="left" w:leader="none"/>
        </w:tabs>
        <w:spacing w:line="240" w:lineRule="auto" w:before="0" w:after="0"/>
        <w:ind w:left="1920" w:right="0" w:hanging="600"/>
        <w:jc w:val="left"/>
        <w:rPr>
          <w:sz w:val="24"/>
        </w:rPr>
      </w:pPr>
      <w:r>
        <w:rPr>
          <w:sz w:val="24"/>
        </w:rPr>
        <w:t>关于生涯规划教育的研究</w:t>
      </w:r>
    </w:p>
    <w:p>
      <w:pPr>
        <w:pStyle w:val="BodyText"/>
        <w:spacing w:before="7"/>
        <w:rPr>
          <w:sz w:val="35"/>
        </w:rPr>
      </w:pPr>
    </w:p>
    <w:p>
      <w:pPr>
        <w:pStyle w:val="ListParagraph"/>
        <w:numPr>
          <w:ilvl w:val="3"/>
          <w:numId w:val="3"/>
        </w:numPr>
        <w:tabs>
          <w:tab w:pos="2100" w:val="left" w:leader="none"/>
        </w:tabs>
        <w:spacing w:line="240" w:lineRule="auto" w:before="0" w:after="0"/>
        <w:ind w:left="2100" w:right="0" w:hanging="780"/>
        <w:jc w:val="left"/>
        <w:rPr>
          <w:sz w:val="24"/>
        </w:rPr>
      </w:pPr>
      <w:r>
        <w:rPr>
          <w:sz w:val="24"/>
        </w:rPr>
        <w:t>国外关于生涯规划教育的研究综述</w:t>
      </w:r>
    </w:p>
    <w:p>
      <w:pPr>
        <w:pStyle w:val="ListParagraph"/>
        <w:numPr>
          <w:ilvl w:val="4"/>
          <w:numId w:val="3"/>
        </w:numPr>
        <w:tabs>
          <w:tab w:pos="2280" w:val="left" w:leader="none"/>
        </w:tabs>
        <w:spacing w:line="240" w:lineRule="auto" w:before="161" w:after="0"/>
        <w:ind w:left="2280" w:right="0" w:hanging="960"/>
        <w:jc w:val="left"/>
        <w:rPr>
          <w:sz w:val="24"/>
        </w:rPr>
      </w:pPr>
      <w:r>
        <w:rPr>
          <w:sz w:val="24"/>
        </w:rPr>
        <w:t>关于生涯的概念研究</w:t>
      </w:r>
    </w:p>
    <w:p>
      <w:pPr>
        <w:pStyle w:val="BodyText"/>
        <w:spacing w:line="364" w:lineRule="auto" w:before="160"/>
        <w:ind w:left="1320" w:right="1572" w:firstLine="480"/>
        <w:jc w:val="both"/>
        <w:rPr>
          <w:rFonts w:ascii="Times New Roman" w:hAnsi="Times New Roman" w:eastAsia="Times New Roman"/>
          <w:sz w:val="15"/>
        </w:rPr>
      </w:pPr>
      <w:r>
        <w:rPr>
          <w:spacing w:val="-11"/>
        </w:rPr>
        <w:t>生涯，英文为 </w:t>
      </w:r>
      <w:r>
        <w:rPr>
          <w:rFonts w:ascii="Times New Roman" w:hAnsi="Times New Roman" w:eastAsia="Times New Roman"/>
        </w:rPr>
        <w:t>career</w:t>
      </w:r>
      <w:r>
        <w:rPr>
          <w:spacing w:val="-4"/>
        </w:rPr>
        <w:t>，表示“疯狂竞赛精神”，后逐渐引申为人生发展的道</w:t>
      </w:r>
      <w:r>
        <w:rPr>
          <w:spacing w:val="-10"/>
        </w:rPr>
        <w:t>路，也指人或事物所经历的途径，或一个人一生的发展历程，或一个人一生所扮</w:t>
      </w:r>
      <w:r>
        <w:rPr>
          <w:spacing w:val="-2"/>
        </w:rPr>
        <w:t>演的系列角色等。</w:t>
      </w:r>
      <w:hyperlink w:history="true" w:anchor="_bookmark24">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3"/>
        </w:rPr>
        <w:t>由于研究者所处的时代背景、视角和观点的差异，对生涯的</w:t>
      </w:r>
      <w:r>
        <w:rPr>
          <w:spacing w:val="-12"/>
        </w:rPr>
        <w:t>定义也不同，但总体看来，多数学者比较认同生涯是指个人历经一生所从事的职</w:t>
      </w:r>
      <w:r>
        <w:rPr>
          <w:spacing w:val="-4"/>
        </w:rPr>
        <w:t>业或工作等有关活动的过程。例如，沙特尔</w:t>
      </w:r>
      <w:r>
        <w:rPr>
          <w:spacing w:val="-3"/>
        </w:rPr>
        <w:t>（</w:t>
      </w:r>
      <w:r>
        <w:rPr>
          <w:rFonts w:ascii="Times New Roman" w:hAnsi="Times New Roman" w:eastAsia="Times New Roman"/>
          <w:spacing w:val="-3"/>
        </w:rPr>
        <w:t>Shartle</w:t>
      </w:r>
      <w:r>
        <w:rPr>
          <w:spacing w:val="-3"/>
        </w:rPr>
        <w:t>）</w:t>
      </w:r>
      <w:r>
        <w:rPr>
          <w:spacing w:val="-2"/>
        </w:rPr>
        <w:t>将生涯视为个人从年轻至</w:t>
      </w:r>
      <w:r>
        <w:rPr/>
        <w:t>退休期间所从事的职业；麦克法兰德（</w:t>
      </w:r>
      <w:r>
        <w:rPr>
          <w:rFonts w:ascii="Times New Roman" w:hAnsi="Times New Roman" w:eastAsia="Times New Roman"/>
        </w:rPr>
        <w:t>McFarland</w:t>
      </w:r>
      <w:r>
        <w:rPr/>
        <w:t>）强调生涯囊括了一个人所有</w:t>
      </w:r>
      <w:r>
        <w:rPr>
          <w:spacing w:val="-10"/>
        </w:rPr>
        <w:t>的职业或职位；韦伯斯特则认为生涯不仅包括了个人的职业，还包括社会与人际</w:t>
      </w:r>
      <w:r>
        <w:rPr/>
        <w:t>关系，是个人终身发展的历程。</w:t>
      </w:r>
      <w:r>
        <w:rPr>
          <w:rFonts w:ascii="Times New Roman" w:hAnsi="Times New Roman" w:eastAsia="Times New Roman"/>
          <w:position w:val="8"/>
          <w:sz w:val="15"/>
        </w:rPr>
        <w:t>[</w:t>
      </w:r>
      <w:hyperlink w:history="true" w:anchor="_bookmark25">
        <w:r>
          <w:rPr>
            <w:rFonts w:ascii="Times New Roman" w:hAnsi="Times New Roman" w:eastAsia="Times New Roman"/>
            <w:position w:val="8"/>
            <w:sz w:val="15"/>
          </w:rPr>
          <w:t>2</w:t>
        </w:r>
      </w:hyperlink>
      <w:r>
        <w:rPr>
          <w:rFonts w:ascii="Times New Roman" w:hAnsi="Times New Roman" w:eastAsia="Times New Roman"/>
          <w:position w:val="8"/>
          <w:sz w:val="15"/>
        </w:rPr>
        <w:t>]</w:t>
      </w:r>
    </w:p>
    <w:p>
      <w:pPr>
        <w:pStyle w:val="BodyText"/>
        <w:spacing w:line="364" w:lineRule="auto" w:before="5"/>
        <w:ind w:left="1319" w:right="1455" w:firstLine="480"/>
        <w:rPr>
          <w:rFonts w:ascii="Times New Roman" w:hAnsi="Times New Roman" w:eastAsia="Times New Roman"/>
          <w:sz w:val="15"/>
        </w:rPr>
      </w:pPr>
      <w:r>
        <w:rPr/>
        <w:t>目前使用最广，也最为众多学者认同的概念是舒伯（</w:t>
      </w:r>
      <w:r>
        <w:rPr>
          <w:rFonts w:ascii="Times New Roman" w:hAnsi="Times New Roman" w:eastAsia="Times New Roman"/>
        </w:rPr>
        <w:t>Super</w:t>
      </w:r>
      <w:r>
        <w:rPr/>
        <w:t>）在《生涯教育和工作的意义》（1976</w:t>
      </w:r>
      <w:r>
        <w:rPr>
          <w:spacing w:val="-21"/>
        </w:rPr>
        <w:t> 年</w:t>
      </w:r>
      <w:r>
        <w:rPr/>
        <w:t>）一文中提出的：“生涯是生活里各种事件的演进方</w:t>
      </w:r>
      <w:r>
        <w:rPr>
          <w:spacing w:val="-9"/>
        </w:rPr>
        <w:t>向和历程，它统合了一生中各种职业和生活的角色，由此表露出个人独特的自我</w:t>
      </w:r>
      <w:r>
        <w:rPr>
          <w:spacing w:val="-13"/>
        </w:rPr>
        <w:t>发展组型。一个人一生中所扮演的角色包括：儿女、学生、休闲者、公民、工作</w:t>
      </w:r>
      <w:r>
        <w:rPr>
          <w:spacing w:val="-6"/>
        </w:rPr>
        <w:t>者、配偶、父母、退休者等”。</w:t>
      </w:r>
      <w:hyperlink w:history="true" w:anchor="_bookmark26">
        <w:r>
          <w:rPr>
            <w:rFonts w:ascii="Times New Roman" w:hAnsi="Times New Roman" w:eastAsia="Times New Roman"/>
            <w:position w:val="8"/>
            <w:sz w:val="15"/>
          </w:rPr>
          <w:t>[3</w:t>
        </w:r>
      </w:hyperlink>
      <w:r>
        <w:rPr>
          <w:rFonts w:ascii="Times New Roman" w:hAnsi="Times New Roman" w:eastAsia="Times New Roman"/>
          <w:position w:val="8"/>
          <w:sz w:val="15"/>
        </w:rPr>
        <w:t>]</w:t>
      </w:r>
      <w:r>
        <w:rPr>
          <w:spacing w:val="-1"/>
        </w:rPr>
        <w:t>从舒伯对生涯的定义来看，生涯整合了个人一</w:t>
      </w:r>
      <w:r>
        <w:rPr>
          <w:spacing w:val="-9"/>
        </w:rPr>
        <w:t>生中经历的各种角色和职业，而非局限于某个特定时间段个体所特有的职业或角</w:t>
      </w:r>
      <w:r>
        <w:rPr>
          <w:spacing w:val="-16"/>
        </w:rPr>
        <w:t>色，生涯是一个终身且持续发展的过程，包含了生命的整个历程。在“人生旅程” </w:t>
      </w:r>
      <w:r>
        <w:rPr>
          <w:spacing w:val="-9"/>
        </w:rPr>
        <w:t>中，随着不同生命阶段的不同追求，个人将不断获得成长与发展。另外，个人作</w:t>
      </w:r>
      <w:r>
        <w:rPr>
          <w:spacing w:val="-13"/>
        </w:rPr>
        <w:t>为生涯的主动塑造者，每个人的生涯都是独一无二的，即使形式上可能相同，但</w:t>
      </w:r>
      <w:r>
        <w:rPr>
          <w:spacing w:val="-16"/>
        </w:rPr>
        <w:t>实质上却存在较大差异。可见，生涯具有统整性、持续性、发展性、独特性等特</w:t>
      </w:r>
      <w:r>
        <w:rPr>
          <w:spacing w:val="-16"/>
          <w:position w:val="-7"/>
        </w:rPr>
        <w:t>征。</w:t>
      </w:r>
      <w:r>
        <w:rPr>
          <w:rFonts w:ascii="Times New Roman" w:hAnsi="Times New Roman" w:eastAsia="Times New Roman"/>
          <w:spacing w:val="-16"/>
          <w:sz w:val="15"/>
        </w:rPr>
        <w:t>[</w:t>
      </w:r>
      <w:hyperlink w:history="true" w:anchor="_bookmark27">
        <w:r>
          <w:rPr>
            <w:rFonts w:ascii="Times New Roman" w:hAnsi="Times New Roman" w:eastAsia="Times New Roman"/>
            <w:spacing w:val="-16"/>
            <w:sz w:val="15"/>
          </w:rPr>
          <w:t>4</w:t>
        </w:r>
      </w:hyperlink>
      <w:r>
        <w:rPr>
          <w:rFonts w:ascii="Times New Roman" w:hAnsi="Times New Roman" w:eastAsia="Times New Roman"/>
          <w:spacing w:val="-16"/>
          <w:sz w:val="15"/>
        </w:rPr>
        <w:t>]</w:t>
      </w:r>
    </w:p>
    <w:p>
      <w:pPr>
        <w:pStyle w:val="ListParagraph"/>
        <w:numPr>
          <w:ilvl w:val="4"/>
          <w:numId w:val="3"/>
        </w:numPr>
        <w:tabs>
          <w:tab w:pos="2280" w:val="left" w:leader="none"/>
        </w:tabs>
        <w:spacing w:line="240" w:lineRule="auto" w:before="7" w:after="0"/>
        <w:ind w:left="2280" w:right="0" w:hanging="961"/>
        <w:jc w:val="left"/>
        <w:rPr>
          <w:sz w:val="24"/>
        </w:rPr>
      </w:pPr>
      <w:r>
        <w:rPr>
          <w:sz w:val="24"/>
        </w:rPr>
        <w:t>生涯规划教育思想内涵的历史发展</w:t>
      </w:r>
    </w:p>
    <w:p>
      <w:pPr>
        <w:pStyle w:val="BodyText"/>
        <w:rPr>
          <w:sz w:val="20"/>
        </w:rPr>
      </w:pPr>
    </w:p>
    <w:p>
      <w:pPr>
        <w:pStyle w:val="BodyText"/>
        <w:spacing w:before="5"/>
        <w:rPr>
          <w:sz w:val="12"/>
        </w:rPr>
      </w:pPr>
      <w:r>
        <w:rPr/>
        <w:pict>
          <v:shape style="position:absolute;margin-left:90pt;margin-top:10.156194pt;width:144pt;height:.1pt;mso-position-horizontal-relative:page;mso-position-vertical-relative:paragraph;z-index:-251639808;mso-wrap-distance-left:0;mso-wrap-distance-right:0" coordorigin="1800,203" coordsize="2880,0" path="m1800,203l4680,203e" filled="false" stroked="true" strokeweight=".402pt" strokecolor="#000000">
            <v:path arrowok="t"/>
            <v:stroke dashstyle="solid"/>
            <w10:wrap type="topAndBottom"/>
          </v:shape>
        </w:pict>
      </w:r>
    </w:p>
    <w:p>
      <w:pPr>
        <w:spacing w:before="92"/>
        <w:ind w:left="1320" w:right="0" w:firstLine="0"/>
        <w:jc w:val="left"/>
        <w:rPr>
          <w:rFonts w:ascii="Times New Roman" w:eastAsia="Times New Roman"/>
          <w:sz w:val="18"/>
        </w:rPr>
      </w:pPr>
      <w:bookmarkStart w:name="_bookmark24" w:id="27"/>
      <w:bookmarkEnd w:id="27"/>
      <w:r>
        <w:rPr/>
      </w:r>
      <w:r>
        <w:rPr>
          <w:rFonts w:ascii="Times New Roman" w:eastAsia="Times New Roman"/>
          <w:position w:val="7"/>
          <w:sz w:val="13"/>
        </w:rPr>
        <w:t>[1] </w:t>
      </w:r>
      <w:r>
        <w:rPr>
          <w:sz w:val="18"/>
        </w:rPr>
        <w:t>沈之菲</w:t>
      </w:r>
      <w:r>
        <w:rPr>
          <w:rFonts w:ascii="Times New Roman" w:eastAsia="Times New Roman"/>
          <w:sz w:val="18"/>
        </w:rPr>
        <w:t>.</w:t>
      </w:r>
      <w:r>
        <w:rPr>
          <w:sz w:val="18"/>
        </w:rPr>
        <w:t>生涯心理辅导</w:t>
      </w:r>
      <w:r>
        <w:rPr>
          <w:rFonts w:ascii="Times New Roman" w:eastAsia="Times New Roman"/>
          <w:sz w:val="18"/>
        </w:rPr>
        <w:t>[M].</w:t>
      </w:r>
      <w:r>
        <w:rPr>
          <w:sz w:val="18"/>
        </w:rPr>
        <w:t>上海</w:t>
      </w:r>
      <w:r>
        <w:rPr>
          <w:rFonts w:ascii="Times New Roman" w:eastAsia="Times New Roman"/>
          <w:sz w:val="18"/>
        </w:rPr>
        <w:t>:</w:t>
      </w:r>
      <w:r>
        <w:rPr>
          <w:sz w:val="18"/>
        </w:rPr>
        <w:t>上海教育出版社，</w:t>
      </w:r>
      <w:r>
        <w:rPr>
          <w:rFonts w:ascii="Times New Roman" w:eastAsia="Times New Roman"/>
          <w:sz w:val="18"/>
        </w:rPr>
        <w:t>2003:3.</w:t>
      </w:r>
    </w:p>
    <w:p>
      <w:pPr>
        <w:spacing w:before="128"/>
        <w:ind w:left="1320" w:right="0" w:firstLine="0"/>
        <w:jc w:val="left"/>
        <w:rPr>
          <w:rFonts w:ascii="Times New Roman" w:hAnsi="Times New Roman" w:eastAsia="Times New Roman"/>
          <w:sz w:val="18"/>
        </w:rPr>
      </w:pPr>
      <w:bookmarkStart w:name="_bookmark25" w:id="28"/>
      <w:bookmarkEnd w:id="28"/>
      <w:r>
        <w:rPr/>
      </w:r>
      <w:r>
        <w:rPr>
          <w:rFonts w:ascii="Times New Roman" w:hAnsi="Times New Roman" w:eastAsia="Times New Roman"/>
          <w:position w:val="7"/>
          <w:sz w:val="13"/>
        </w:rPr>
        <w:t>[2] </w:t>
      </w:r>
      <w:r>
        <w:rPr>
          <w:sz w:val="18"/>
        </w:rPr>
        <w:t>黄天中</w:t>
      </w:r>
      <w:r>
        <w:rPr>
          <w:rFonts w:ascii="Times New Roman" w:hAnsi="Times New Roman" w:eastAsia="Times New Roman"/>
          <w:sz w:val="18"/>
        </w:rPr>
        <w:t>.</w:t>
      </w:r>
      <w:r>
        <w:rPr>
          <w:sz w:val="18"/>
        </w:rPr>
        <w:t>生涯规划</w:t>
      </w:r>
      <w:r>
        <w:rPr>
          <w:rFonts w:ascii="Times New Roman" w:hAnsi="Times New Roman" w:eastAsia="Times New Roman"/>
          <w:sz w:val="18"/>
        </w:rPr>
        <w:t>——</w:t>
      </w:r>
      <w:r>
        <w:rPr>
          <w:sz w:val="18"/>
        </w:rPr>
        <w:t>体验式学习</w:t>
      </w:r>
      <w:r>
        <w:rPr>
          <w:rFonts w:ascii="Times New Roman" w:hAnsi="Times New Roman" w:eastAsia="Times New Roman"/>
          <w:sz w:val="18"/>
        </w:rPr>
        <w:t>[M].</w:t>
      </w:r>
      <w:r>
        <w:rPr>
          <w:sz w:val="18"/>
        </w:rPr>
        <w:t>北京</w:t>
      </w:r>
      <w:r>
        <w:rPr>
          <w:rFonts w:ascii="Times New Roman" w:hAnsi="Times New Roman" w:eastAsia="Times New Roman"/>
          <w:sz w:val="18"/>
        </w:rPr>
        <w:t>:</w:t>
      </w:r>
      <w:r>
        <w:rPr>
          <w:sz w:val="18"/>
        </w:rPr>
        <w:t>高等教育出版社，</w:t>
      </w:r>
      <w:r>
        <w:rPr>
          <w:rFonts w:ascii="Times New Roman" w:hAnsi="Times New Roman" w:eastAsia="Times New Roman"/>
          <w:sz w:val="18"/>
        </w:rPr>
        <w:t>2009</w:t>
      </w:r>
      <w:r>
        <w:rPr>
          <w:sz w:val="18"/>
        </w:rPr>
        <w:t>：</w:t>
      </w:r>
      <w:r>
        <w:rPr>
          <w:rFonts w:ascii="Times New Roman" w:hAnsi="Times New Roman" w:eastAsia="Times New Roman"/>
          <w:sz w:val="18"/>
        </w:rPr>
        <w:t>9-11.</w:t>
      </w:r>
    </w:p>
    <w:p>
      <w:pPr>
        <w:spacing w:before="127"/>
        <w:ind w:left="1320" w:right="0" w:firstLine="0"/>
        <w:jc w:val="left"/>
        <w:rPr>
          <w:rFonts w:ascii="Times New Roman" w:hAnsi="Times New Roman" w:eastAsia="Times New Roman"/>
          <w:sz w:val="18"/>
        </w:rPr>
      </w:pPr>
      <w:bookmarkStart w:name="_bookmark26" w:id="29"/>
      <w:bookmarkEnd w:id="29"/>
      <w:r>
        <w:rPr/>
      </w:r>
      <w:r>
        <w:rPr>
          <w:rFonts w:ascii="Times New Roman" w:hAnsi="Times New Roman" w:eastAsia="Times New Roman"/>
          <w:position w:val="7"/>
          <w:sz w:val="13"/>
        </w:rPr>
        <w:t>[3] </w:t>
      </w:r>
      <w:r>
        <w:rPr>
          <w:sz w:val="18"/>
        </w:rPr>
        <w:t>黄天中</w:t>
      </w:r>
      <w:r>
        <w:rPr>
          <w:rFonts w:ascii="Times New Roman" w:hAnsi="Times New Roman" w:eastAsia="Times New Roman"/>
          <w:sz w:val="18"/>
        </w:rPr>
        <w:t>.</w:t>
      </w:r>
      <w:r>
        <w:rPr>
          <w:sz w:val="18"/>
        </w:rPr>
        <w:t>生涯规划</w:t>
      </w:r>
      <w:r>
        <w:rPr>
          <w:rFonts w:ascii="Times New Roman" w:hAnsi="Times New Roman" w:eastAsia="Times New Roman"/>
          <w:sz w:val="18"/>
        </w:rPr>
        <w:t>——</w:t>
      </w:r>
      <w:r>
        <w:rPr>
          <w:sz w:val="18"/>
        </w:rPr>
        <w:t>体验式学习</w:t>
      </w:r>
      <w:r>
        <w:rPr>
          <w:rFonts w:ascii="Times New Roman" w:hAnsi="Times New Roman" w:eastAsia="Times New Roman"/>
          <w:sz w:val="18"/>
        </w:rPr>
        <w:t>[M].</w:t>
      </w:r>
      <w:r>
        <w:rPr>
          <w:sz w:val="18"/>
        </w:rPr>
        <w:t>北京</w:t>
      </w:r>
      <w:r>
        <w:rPr>
          <w:rFonts w:ascii="Times New Roman" w:hAnsi="Times New Roman" w:eastAsia="Times New Roman"/>
          <w:sz w:val="18"/>
        </w:rPr>
        <w:t>:</w:t>
      </w:r>
      <w:r>
        <w:rPr>
          <w:sz w:val="18"/>
        </w:rPr>
        <w:t>高等教育出版社，</w:t>
      </w:r>
      <w:r>
        <w:rPr>
          <w:rFonts w:ascii="Times New Roman" w:hAnsi="Times New Roman" w:eastAsia="Times New Roman"/>
          <w:sz w:val="18"/>
        </w:rPr>
        <w:t>2009</w:t>
      </w:r>
      <w:r>
        <w:rPr>
          <w:sz w:val="18"/>
        </w:rPr>
        <w:t>：</w:t>
      </w:r>
      <w:r>
        <w:rPr>
          <w:rFonts w:ascii="Times New Roman" w:hAnsi="Times New Roman" w:eastAsia="Times New Roman"/>
          <w:sz w:val="18"/>
        </w:rPr>
        <w:t>11.</w:t>
      </w:r>
    </w:p>
    <w:p>
      <w:pPr>
        <w:spacing w:before="128"/>
        <w:ind w:left="1320" w:right="0" w:firstLine="0"/>
        <w:jc w:val="left"/>
        <w:rPr>
          <w:rFonts w:ascii="Times New Roman" w:eastAsia="Times New Roman"/>
          <w:sz w:val="18"/>
        </w:rPr>
      </w:pPr>
      <w:bookmarkStart w:name="_bookmark27" w:id="30"/>
      <w:bookmarkEnd w:id="30"/>
      <w:r>
        <w:rPr/>
      </w:r>
      <w:r>
        <w:rPr>
          <w:rFonts w:ascii="Times New Roman" w:eastAsia="Times New Roman"/>
          <w:position w:val="7"/>
          <w:sz w:val="13"/>
        </w:rPr>
        <w:t>[4] </w:t>
      </w:r>
      <w:r>
        <w:rPr>
          <w:sz w:val="18"/>
        </w:rPr>
        <w:t>沈之菲</w:t>
      </w:r>
      <w:r>
        <w:rPr>
          <w:rFonts w:ascii="Times New Roman" w:eastAsia="Times New Roman"/>
          <w:sz w:val="18"/>
        </w:rPr>
        <w:t>.</w:t>
      </w:r>
      <w:r>
        <w:rPr>
          <w:sz w:val="18"/>
        </w:rPr>
        <w:t>生涯心理辅导</w:t>
      </w:r>
      <w:r>
        <w:rPr>
          <w:rFonts w:ascii="Times New Roman" w:eastAsia="Times New Roman"/>
          <w:sz w:val="18"/>
        </w:rPr>
        <w:t>[M].</w:t>
      </w:r>
      <w:r>
        <w:rPr>
          <w:sz w:val="18"/>
        </w:rPr>
        <w:t>上海</w:t>
      </w:r>
      <w:r>
        <w:rPr>
          <w:rFonts w:ascii="Times New Roman" w:eastAsia="Times New Roman"/>
          <w:sz w:val="18"/>
        </w:rPr>
        <w:t>:</w:t>
      </w:r>
      <w:r>
        <w:rPr>
          <w:sz w:val="18"/>
        </w:rPr>
        <w:t>上海教育出版社，</w:t>
      </w:r>
      <w:r>
        <w:rPr>
          <w:rFonts w:ascii="Times New Roman" w:eastAsia="Times New Roman"/>
          <w:sz w:val="18"/>
        </w:rPr>
        <w:t>2003</w:t>
      </w:r>
      <w:r>
        <w:rPr>
          <w:sz w:val="18"/>
        </w:rPr>
        <w:t>：</w:t>
      </w:r>
      <w:r>
        <w:rPr>
          <w:rFonts w:ascii="Times New Roman" w:eastAsia="Times New Roman"/>
          <w:sz w:val="18"/>
        </w:rPr>
        <w:t>3-4.</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9"/>
        <w:rPr>
          <w:rFonts w:ascii="Times New Roman"/>
          <w:sz w:val="11"/>
        </w:rPr>
      </w:pPr>
    </w:p>
    <w:p>
      <w:pPr>
        <w:pStyle w:val="BodyText"/>
        <w:spacing w:line="364" w:lineRule="auto" w:before="74"/>
        <w:ind w:left="1320" w:right="1565" w:firstLine="480"/>
        <w:jc w:val="both"/>
        <w:rPr>
          <w:rFonts w:ascii="Times New Roman" w:hAnsi="Times New Roman" w:eastAsia="Times New Roman"/>
          <w:sz w:val="15"/>
        </w:rPr>
      </w:pPr>
      <w:r>
        <w:rPr>
          <w:spacing w:val="2"/>
        </w:rPr>
        <w:t>“生涯规划教育”的发展最早可追溯到 </w:t>
      </w:r>
      <w:r>
        <w:rPr>
          <w:rFonts w:ascii="Times New Roman" w:hAnsi="Times New Roman" w:eastAsia="Times New Roman"/>
        </w:rPr>
        <w:t>20 </w:t>
      </w:r>
      <w:r>
        <w:rPr>
          <w:spacing w:val="7"/>
        </w:rPr>
        <w:t>世纪初的职业指导</w:t>
      </w:r>
      <w:r>
        <w:rPr/>
        <w:t>（</w:t>
      </w:r>
      <w:r>
        <w:rPr>
          <w:rFonts w:ascii="Times New Roman" w:hAnsi="Times New Roman" w:eastAsia="Times New Roman"/>
        </w:rPr>
        <w:t>vocational </w:t>
      </w:r>
      <w:r>
        <w:rPr>
          <w:rFonts w:ascii="Times New Roman" w:hAnsi="Times New Roman" w:eastAsia="Times New Roman"/>
          <w:spacing w:val="-5"/>
        </w:rPr>
        <w:t>guidance</w:t>
      </w:r>
      <w:r>
        <w:rPr>
          <w:spacing w:val="-5"/>
        </w:rPr>
        <w:t>），</w:t>
      </w:r>
      <w:r>
        <w:rPr>
          <w:spacing w:val="-3"/>
        </w:rPr>
        <w:t>从职业指导到生涯教育</w:t>
      </w:r>
      <w:r>
        <w:rPr/>
        <w:t>（</w:t>
      </w:r>
      <w:r>
        <w:rPr>
          <w:rFonts w:ascii="Times New Roman" w:hAnsi="Times New Roman" w:eastAsia="Times New Roman"/>
        </w:rPr>
        <w:t>career education</w:t>
      </w:r>
      <w:r>
        <w:rPr/>
        <w:t>）</w:t>
      </w:r>
      <w:hyperlink w:history="true" w:anchor="_bookmark28">
        <w:r>
          <w:rPr>
            <w:rFonts w:ascii="Times New Roman" w:hAnsi="Times New Roman" w:eastAsia="Times New Roman"/>
            <w:position w:val="8"/>
            <w:sz w:val="15"/>
          </w:rPr>
          <w:t>[1</w:t>
        </w:r>
      </w:hyperlink>
      <w:r>
        <w:rPr>
          <w:rFonts w:ascii="Times New Roman" w:hAnsi="Times New Roman" w:eastAsia="Times New Roman"/>
          <w:position w:val="8"/>
          <w:sz w:val="15"/>
        </w:rPr>
        <w:t>]</w:t>
      </w:r>
      <w:r>
        <w:rPr/>
        <w:t>的演变大致经历了以下几个阶段：</w:t>
      </w:r>
      <w:r>
        <w:rPr>
          <w:rFonts w:ascii="Times New Roman" w:hAnsi="Times New Roman" w:eastAsia="Times New Roman"/>
          <w:position w:val="8"/>
          <w:sz w:val="15"/>
        </w:rPr>
        <w:t>[</w:t>
      </w:r>
      <w:hyperlink w:history="true" w:anchor="_bookmark29">
        <w:r>
          <w:rPr>
            <w:rFonts w:ascii="Times New Roman" w:hAnsi="Times New Roman" w:eastAsia="Times New Roman"/>
            <w:position w:val="8"/>
            <w:sz w:val="15"/>
          </w:rPr>
          <w:t>2</w:t>
        </w:r>
      </w:hyperlink>
      <w:r>
        <w:rPr>
          <w:rFonts w:ascii="Times New Roman" w:hAnsi="Times New Roman" w:eastAsia="Times New Roman"/>
          <w:position w:val="8"/>
          <w:sz w:val="15"/>
        </w:rPr>
        <w:t>]</w:t>
      </w:r>
    </w:p>
    <w:p>
      <w:pPr>
        <w:pStyle w:val="BodyText"/>
        <w:spacing w:line="364" w:lineRule="auto" w:before="2"/>
        <w:ind w:left="1320" w:right="1485" w:firstLine="480"/>
      </w:pPr>
      <w:r>
        <w:rPr/>
        <w:t>第一阶段（</w:t>
      </w:r>
      <w:r>
        <w:rPr>
          <w:rFonts w:ascii="Times New Roman" w:hAnsi="Times New Roman" w:eastAsia="Times New Roman"/>
        </w:rPr>
        <w:t>20 </w:t>
      </w:r>
      <w:r>
        <w:rPr>
          <w:spacing w:val="-11"/>
        </w:rPr>
        <w:t>世纪初至 </w:t>
      </w:r>
      <w:r>
        <w:rPr>
          <w:rFonts w:ascii="Times New Roman" w:hAnsi="Times New Roman" w:eastAsia="Times New Roman"/>
        </w:rPr>
        <w:t>20 </w:t>
      </w:r>
      <w:r>
        <w:rPr>
          <w:spacing w:val="-18"/>
        </w:rPr>
        <w:t>世纪 </w:t>
      </w:r>
      <w:r>
        <w:rPr>
          <w:rFonts w:ascii="Times New Roman" w:hAnsi="Times New Roman" w:eastAsia="Times New Roman"/>
        </w:rPr>
        <w:t>40 </w:t>
      </w:r>
      <w:r>
        <w:rPr>
          <w:spacing w:val="2"/>
        </w:rPr>
        <w:t>年代</w:t>
      </w:r>
      <w:r>
        <w:rPr/>
        <w:t>）</w:t>
      </w:r>
      <w:r>
        <w:rPr>
          <w:spacing w:val="1"/>
        </w:rPr>
        <w:t>职业指导</w:t>
      </w:r>
      <w:r>
        <w:rPr/>
        <w:t>（</w:t>
      </w:r>
      <w:r>
        <w:rPr>
          <w:rFonts w:ascii="Times New Roman" w:hAnsi="Times New Roman" w:eastAsia="Times New Roman"/>
        </w:rPr>
        <w:t>vocational guidance</w:t>
      </w:r>
      <w:r>
        <w:rPr/>
        <w:t>） </w:t>
      </w:r>
      <w:r>
        <w:rPr>
          <w:spacing w:val="-8"/>
        </w:rPr>
        <w:t>的产生及早期“特质因素论”的提出。美国从农业国向工业国转型，移民潮和城</w:t>
      </w:r>
      <w:r>
        <w:rPr>
          <w:spacing w:val="-5"/>
        </w:rPr>
        <w:t>市化导致了青少年就业困难，职业指导应运而生。</w:t>
      </w:r>
      <w:r>
        <w:rPr>
          <w:rFonts w:ascii="Times New Roman" w:hAnsi="Times New Roman" w:eastAsia="Times New Roman"/>
        </w:rPr>
        <w:t>1908 </w:t>
      </w:r>
      <w:r>
        <w:rPr/>
        <w:t>年，帕森斯在波士顿成</w:t>
      </w:r>
      <w:r>
        <w:rPr>
          <w:spacing w:val="-1"/>
        </w:rPr>
        <w:t>立了职业局，这是当时第一个职业组织，旨在为就业困难的社会青年提供帮助。具体而言，当时的职业指导是依据帕森斯和威廉森</w:t>
      </w:r>
      <w:r>
        <w:rPr/>
        <w:t>（</w:t>
      </w:r>
      <w:r>
        <w:rPr>
          <w:rFonts w:ascii="Times New Roman" w:hAnsi="Times New Roman" w:eastAsia="Times New Roman"/>
        </w:rPr>
        <w:t>Williamson</w:t>
      </w:r>
      <w:r>
        <w:rPr/>
        <w:t>）为代表提出的</w:t>
      </w:r>
      <w:r>
        <w:rPr>
          <w:spacing w:val="-1"/>
        </w:rPr>
        <w:t>“特质因素论”展开指导。该理论强调个人与职业选择的关系，即“人职匹配”</w:t>
      </w:r>
    </w:p>
    <w:p>
      <w:pPr>
        <w:pStyle w:val="BodyText"/>
        <w:spacing w:line="364" w:lineRule="auto" w:before="4"/>
        <w:ind w:left="1319" w:right="1570"/>
        <w:jc w:val="both"/>
      </w:pPr>
      <w:r>
        <w:rPr/>
        <w:t>（</w:t>
      </w:r>
      <w:r>
        <w:rPr>
          <w:rFonts w:ascii="Times New Roman" w:hAnsi="Times New Roman" w:eastAsia="Times New Roman"/>
        </w:rPr>
        <w:t>matching-men-and-job</w:t>
      </w:r>
      <w:r>
        <w:rPr/>
        <w:t>），</w:t>
      </w:r>
      <w:r>
        <w:rPr>
          <w:spacing w:val="1"/>
        </w:rPr>
        <w:t>认为可通过心理测量等客观方法对个人的兴趣、能</w:t>
      </w:r>
      <w:r>
        <w:rPr>
          <w:spacing w:val="-11"/>
        </w:rPr>
        <w:t>力、人格等进行测量，评估个人的潜能，最终将相关职业的资料分析和测验结果</w:t>
      </w:r>
      <w:r>
        <w:rPr>
          <w:spacing w:val="-15"/>
        </w:rPr>
        <w:t>及其个人特质的需求加以匹配，为职业决策困难者提供帮助。该理论突出了“个</w:t>
      </w:r>
      <w:r>
        <w:rPr>
          <w:spacing w:val="-13"/>
        </w:rPr>
        <w:t>体差异”和“职业特征”，但它却以个人只适合从事一种职业为前提，假设每种</w:t>
      </w:r>
      <w:r>
        <w:rPr>
          <w:spacing w:val="-15"/>
        </w:rPr>
        <w:t>工作只需要单一类型的人来从事。</w:t>
      </w:r>
      <w:r>
        <w:rPr>
          <w:rFonts w:ascii="Times New Roman" w:hAnsi="Times New Roman" w:eastAsia="Times New Roman"/>
          <w:position w:val="8"/>
          <w:sz w:val="15"/>
        </w:rPr>
        <w:t>[</w:t>
      </w:r>
      <w:hyperlink w:history="true" w:anchor="_bookmark30">
        <w:r>
          <w:rPr>
            <w:rFonts w:ascii="Times New Roman" w:hAnsi="Times New Roman" w:eastAsia="Times New Roman"/>
            <w:position w:val="8"/>
            <w:sz w:val="15"/>
          </w:rPr>
          <w:t>3</w:t>
        </w:r>
      </w:hyperlink>
      <w:r>
        <w:rPr>
          <w:rFonts w:ascii="Times New Roman" w:hAnsi="Times New Roman" w:eastAsia="Times New Roman"/>
          <w:position w:val="8"/>
          <w:sz w:val="15"/>
        </w:rPr>
        <w:t>]</w:t>
      </w:r>
      <w:r>
        <w:rPr/>
        <w:t>这一时期的职业指导主要为学生提供个人和</w:t>
      </w:r>
      <w:r>
        <w:rPr>
          <w:spacing w:val="-9"/>
        </w:rPr>
        <w:t>职业信息，将个人特质与职业要求的关系视为静态的，忽视了个人发展对工作需求的变化，低估了个体学习和发展的潜能。</w:t>
      </w:r>
    </w:p>
    <w:p>
      <w:pPr>
        <w:pStyle w:val="BodyText"/>
        <w:spacing w:before="4"/>
        <w:ind w:left="1799"/>
      </w:pPr>
      <w:r>
        <w:rPr/>
        <w:t>第二阶段（</w:t>
      </w:r>
      <w:r>
        <w:rPr>
          <w:rFonts w:ascii="Times New Roman" w:eastAsia="Times New Roman"/>
        </w:rPr>
        <w:t>20 </w:t>
      </w:r>
      <w:r>
        <w:rPr/>
        <w:t>世纪 </w:t>
      </w:r>
      <w:r>
        <w:rPr>
          <w:rFonts w:ascii="Times New Roman" w:eastAsia="Times New Roman"/>
        </w:rPr>
        <w:t>40 </w:t>
      </w:r>
      <w:r>
        <w:rPr/>
        <w:t>年代初至 </w:t>
      </w:r>
      <w:r>
        <w:rPr>
          <w:rFonts w:ascii="Times New Roman" w:eastAsia="Times New Roman"/>
        </w:rPr>
        <w:t>20 </w:t>
      </w:r>
      <w:r>
        <w:rPr/>
        <w:t>世纪 </w:t>
      </w:r>
      <w:r>
        <w:rPr>
          <w:rFonts w:ascii="Times New Roman" w:eastAsia="Times New Roman"/>
        </w:rPr>
        <w:t>50 </w:t>
      </w:r>
      <w:r>
        <w:rPr/>
        <w:t>年代）重视个人发展的职业辅导</w:t>
      </w:r>
    </w:p>
    <w:p>
      <w:pPr>
        <w:pStyle w:val="BodyText"/>
        <w:spacing w:line="364" w:lineRule="auto" w:before="161"/>
        <w:ind w:left="1319" w:right="1476"/>
      </w:pPr>
      <w:r>
        <w:rPr/>
        <w:t>（</w:t>
      </w:r>
      <w:r>
        <w:rPr>
          <w:spacing w:val="-90"/>
        </w:rPr>
        <w:t> </w:t>
      </w:r>
      <w:r>
        <w:rPr>
          <w:rFonts w:ascii="Times New Roman" w:hAnsi="Times New Roman" w:eastAsia="Times New Roman"/>
        </w:rPr>
        <w:t>vocational counseling </w:t>
      </w:r>
      <w:r>
        <w:rPr/>
        <w:t>）</w:t>
      </w:r>
      <w:r>
        <w:rPr>
          <w:spacing w:val="2"/>
        </w:rPr>
        <w:t> 和“ 当事人中心” 的非指导学派</w:t>
      </w:r>
      <w:r>
        <w:rPr/>
        <w:t>（</w:t>
      </w:r>
      <w:r>
        <w:rPr>
          <w:spacing w:val="-90"/>
        </w:rPr>
        <w:t> </w:t>
      </w:r>
      <w:r>
        <w:rPr>
          <w:rFonts w:ascii="Times New Roman" w:hAnsi="Times New Roman" w:eastAsia="Times New Roman"/>
        </w:rPr>
        <w:t>client-centered nondirective approach</w:t>
      </w:r>
      <w:r>
        <w:rPr/>
        <w:t>）。</w:t>
      </w:r>
      <w:r>
        <w:rPr>
          <w:rFonts w:ascii="Times New Roman" w:hAnsi="Times New Roman" w:eastAsia="Times New Roman"/>
        </w:rPr>
        <w:t>1942 </w:t>
      </w:r>
      <w:r>
        <w:rPr/>
        <w:t>年，罗杰斯（</w:t>
      </w:r>
      <w:r>
        <w:rPr>
          <w:rFonts w:ascii="Times New Roman" w:hAnsi="Times New Roman" w:eastAsia="Times New Roman"/>
        </w:rPr>
        <w:t>Rogers</w:t>
      </w:r>
      <w:r>
        <w:rPr/>
        <w:t>）在《心理咨询和心理疗法》</w:t>
      </w:r>
      <w:r>
        <w:rPr>
          <w:spacing w:val="-7"/>
        </w:rPr>
        <w:t>一书中向传统的“咨询者中心”观点发起了挑战，建立了</w:t>
      </w:r>
      <w:r>
        <w:rPr>
          <w:rFonts w:ascii="Times New Roman" w:hAnsi="Times New Roman" w:eastAsia="Times New Roman"/>
        </w:rPr>
        <w:t>“</w:t>
      </w:r>
      <w:r>
        <w:rPr/>
        <w:t>当事人中心</w:t>
      </w:r>
      <w:r>
        <w:rPr>
          <w:rFonts w:ascii="Times New Roman" w:hAnsi="Times New Roman" w:eastAsia="Times New Roman"/>
        </w:rPr>
        <w:t>”</w:t>
      </w:r>
      <w:r>
        <w:rPr/>
        <w:t>的非指导</w:t>
      </w:r>
      <w:r>
        <w:rPr>
          <w:spacing w:val="-10"/>
        </w:rPr>
        <w:t>学派。他指出，人本身普遍具有自我认识、自我发展、自我抉择的潜能，咨询者</w:t>
      </w:r>
      <w:r>
        <w:rPr>
          <w:spacing w:val="-14"/>
        </w:rPr>
        <w:t>并不需要直接介入，应赋予当事人自我了解和自我成长的机会，使当事人能够朝</w:t>
      </w:r>
      <w:r>
        <w:rPr>
          <w:spacing w:val="-16"/>
        </w:rPr>
        <w:t>自己制定的方向自我实现。罗杰斯始终强调咨询者的态度与个人特质、咨询关系的品质是影响咨询效果的两项因素，至于理论与技术的知识则属于次要的品质，</w:t>
      </w:r>
    </w:p>
    <w:p>
      <w:pPr>
        <w:pStyle w:val="BodyText"/>
        <w:spacing w:before="4"/>
        <w:ind w:left="1319"/>
      </w:pPr>
      <w:r>
        <w:rPr>
          <w:rFonts w:ascii="Times New Roman" w:eastAsia="Times New Roman"/>
          <w:position w:val="8"/>
          <w:sz w:val="15"/>
        </w:rPr>
        <w:t>[</w:t>
      </w:r>
      <w:hyperlink w:history="true" w:anchor="_bookmark31">
        <w:r>
          <w:rPr>
            <w:rFonts w:ascii="Times New Roman" w:eastAsia="Times New Roman"/>
            <w:position w:val="8"/>
            <w:sz w:val="15"/>
          </w:rPr>
          <w:t>4</w:t>
        </w:r>
      </w:hyperlink>
      <w:r>
        <w:rPr>
          <w:rFonts w:ascii="Times New Roman" w:eastAsia="Times New Roman"/>
          <w:position w:val="8"/>
          <w:sz w:val="15"/>
        </w:rPr>
        <w:t>]</w:t>
      </w:r>
      <w:r>
        <w:rPr/>
        <w:t>他对生涯决定的过程也较少谈及。但是，另有一些持该观点的学者主张，如果</w:t>
      </w:r>
    </w:p>
    <w:p>
      <w:pPr>
        <w:pStyle w:val="BodyText"/>
        <w:rPr>
          <w:sz w:val="20"/>
        </w:rPr>
      </w:pPr>
    </w:p>
    <w:p>
      <w:pPr>
        <w:pStyle w:val="BodyText"/>
        <w:spacing w:before="7"/>
        <w:rPr>
          <w:sz w:val="10"/>
        </w:rPr>
      </w:pPr>
      <w:r>
        <w:rPr/>
        <w:pict>
          <v:shape style="position:absolute;margin-left:90pt;margin-top:8.706397pt;width:144pt;height:.1pt;mso-position-horizontal-relative:page;mso-position-vertical-relative:paragraph;z-index:-251638784;mso-wrap-distance-left:0;mso-wrap-distance-right:0" coordorigin="1800,174" coordsize="2880,0" path="m1800,174l4680,174e" filled="false" stroked="true" strokeweight="0pt" strokecolor="#000000">
            <v:path arrowok="t"/>
            <v:stroke dashstyle="solid"/>
            <w10:wrap type="topAndBottom"/>
          </v:shape>
        </w:pict>
      </w:r>
    </w:p>
    <w:p>
      <w:pPr>
        <w:spacing w:before="98"/>
        <w:ind w:left="1320" w:right="0" w:firstLine="0"/>
        <w:jc w:val="left"/>
        <w:rPr>
          <w:rFonts w:ascii="Times New Roman" w:hAnsi="Times New Roman" w:eastAsia="Times New Roman"/>
          <w:sz w:val="18"/>
        </w:rPr>
      </w:pPr>
      <w:bookmarkStart w:name="_bookmark28" w:id="31"/>
      <w:bookmarkEnd w:id="31"/>
      <w:r>
        <w:rPr/>
      </w:r>
      <w:r>
        <w:rPr>
          <w:rFonts w:ascii="Times New Roman" w:hAnsi="Times New Roman" w:eastAsia="Times New Roman"/>
          <w:position w:val="7"/>
          <w:sz w:val="13"/>
        </w:rPr>
        <w:t>[1] </w:t>
      </w:r>
      <w:r>
        <w:rPr>
          <w:sz w:val="18"/>
        </w:rPr>
        <w:t>本研究中</w:t>
      </w:r>
      <w:r>
        <w:rPr>
          <w:rFonts w:ascii="Times New Roman" w:hAnsi="Times New Roman" w:eastAsia="Times New Roman"/>
          <w:sz w:val="18"/>
        </w:rPr>
        <w:t>“career education”</w:t>
      </w:r>
      <w:r>
        <w:rPr>
          <w:sz w:val="18"/>
        </w:rPr>
        <w:t>与</w:t>
      </w:r>
      <w:r>
        <w:rPr>
          <w:rFonts w:ascii="Times New Roman" w:hAnsi="Times New Roman" w:eastAsia="Times New Roman"/>
          <w:sz w:val="18"/>
        </w:rPr>
        <w:t>“</w:t>
      </w:r>
      <w:r>
        <w:rPr>
          <w:sz w:val="18"/>
        </w:rPr>
        <w:t>涯规划教育</w:t>
      </w:r>
      <w:r>
        <w:rPr>
          <w:rFonts w:ascii="Times New Roman" w:hAnsi="Times New Roman" w:eastAsia="Times New Roman"/>
          <w:sz w:val="18"/>
        </w:rPr>
        <w:t>”</w:t>
      </w:r>
      <w:r>
        <w:rPr>
          <w:sz w:val="18"/>
        </w:rPr>
        <w:t>意思相同</w:t>
      </w:r>
      <w:r>
        <w:rPr>
          <w:rFonts w:ascii="Times New Roman" w:hAnsi="Times New Roman" w:eastAsia="Times New Roman"/>
          <w:sz w:val="18"/>
        </w:rPr>
        <w:t>.</w:t>
      </w:r>
    </w:p>
    <w:p>
      <w:pPr>
        <w:spacing w:before="127"/>
        <w:ind w:left="1319" w:right="0" w:firstLine="0"/>
        <w:jc w:val="left"/>
        <w:rPr>
          <w:rFonts w:ascii="Times New Roman" w:eastAsia="Times New Roman"/>
          <w:sz w:val="18"/>
        </w:rPr>
      </w:pPr>
      <w:bookmarkStart w:name="_bookmark29" w:id="32"/>
      <w:bookmarkEnd w:id="32"/>
      <w:r>
        <w:rPr/>
      </w:r>
      <w:r>
        <w:rPr>
          <w:rFonts w:ascii="Times New Roman" w:eastAsia="Times New Roman"/>
          <w:position w:val="7"/>
          <w:sz w:val="13"/>
        </w:rPr>
        <w:t>[2] </w:t>
      </w:r>
      <w:r>
        <w:rPr>
          <w:sz w:val="18"/>
        </w:rPr>
        <w:t>牟海萍</w:t>
      </w:r>
      <w:r>
        <w:rPr>
          <w:rFonts w:ascii="Times New Roman" w:eastAsia="Times New Roman"/>
          <w:sz w:val="18"/>
        </w:rPr>
        <w:t>.</w:t>
      </w:r>
      <w:r>
        <w:rPr>
          <w:sz w:val="18"/>
        </w:rPr>
        <w:t>职业辅导思想的历史嬗变</w:t>
      </w:r>
      <w:r>
        <w:rPr>
          <w:rFonts w:ascii="Times New Roman" w:eastAsia="Times New Roman"/>
          <w:sz w:val="18"/>
        </w:rPr>
        <w:t>[J].</w:t>
      </w:r>
      <w:r>
        <w:rPr>
          <w:sz w:val="18"/>
        </w:rPr>
        <w:t>现代教育科学，</w:t>
      </w:r>
      <w:r>
        <w:rPr>
          <w:rFonts w:ascii="Times New Roman" w:eastAsia="Times New Roman"/>
          <w:sz w:val="18"/>
        </w:rPr>
        <w:t>2005</w:t>
      </w:r>
      <w:r>
        <w:rPr>
          <w:sz w:val="18"/>
        </w:rPr>
        <w:t>（</w:t>
      </w:r>
      <w:r>
        <w:rPr>
          <w:rFonts w:ascii="Times New Roman" w:eastAsia="Times New Roman"/>
          <w:sz w:val="18"/>
        </w:rPr>
        <w:t>4</w:t>
      </w:r>
      <w:r>
        <w:rPr>
          <w:sz w:val="18"/>
        </w:rPr>
        <w:t>）：</w:t>
      </w:r>
      <w:r>
        <w:rPr>
          <w:rFonts w:ascii="Times New Roman" w:eastAsia="Times New Roman"/>
          <w:sz w:val="18"/>
        </w:rPr>
        <w:t>69-71.</w:t>
      </w:r>
    </w:p>
    <w:p>
      <w:pPr>
        <w:spacing w:line="364" w:lineRule="auto" w:before="128"/>
        <w:ind w:left="1319" w:right="1859" w:firstLine="0"/>
        <w:jc w:val="left"/>
        <w:rPr>
          <w:rFonts w:ascii="Times New Roman" w:eastAsia="Times New Roman"/>
          <w:sz w:val="18"/>
        </w:rPr>
      </w:pPr>
      <w:bookmarkStart w:name="_bookmark30" w:id="33"/>
      <w:bookmarkEnd w:id="33"/>
      <w:r>
        <w:rPr/>
      </w:r>
      <w:r>
        <w:rPr>
          <w:rFonts w:ascii="Times New Roman" w:eastAsia="Times New Roman"/>
          <w:position w:val="7"/>
          <w:sz w:val="13"/>
        </w:rPr>
        <w:t>[3] </w:t>
      </w:r>
      <w:r>
        <w:rPr>
          <w:rFonts w:ascii="Times New Roman" w:eastAsia="Times New Roman"/>
          <w:sz w:val="18"/>
        </w:rPr>
        <w:t>Miller.M.F.Journal of </w:t>
      </w:r>
      <w:r>
        <w:rPr>
          <w:rFonts w:ascii="Times New Roman" w:eastAsia="Times New Roman"/>
          <w:spacing w:val="-3"/>
          <w:sz w:val="18"/>
        </w:rPr>
        <w:t>Vocational </w:t>
      </w:r>
      <w:r>
        <w:rPr>
          <w:rFonts w:ascii="Times New Roman" w:eastAsia="Times New Roman"/>
          <w:sz w:val="18"/>
        </w:rPr>
        <w:t>Behavior.Relationship of </w:t>
      </w:r>
      <w:r>
        <w:rPr>
          <w:rFonts w:ascii="Times New Roman" w:eastAsia="Times New Roman"/>
          <w:spacing w:val="-3"/>
          <w:sz w:val="18"/>
        </w:rPr>
        <w:t>Vocational </w:t>
      </w:r>
      <w:r>
        <w:rPr>
          <w:rFonts w:ascii="Times New Roman" w:eastAsia="Times New Roman"/>
          <w:sz w:val="18"/>
        </w:rPr>
        <w:t>Maturity </w:t>
      </w:r>
      <w:r>
        <w:rPr>
          <w:rFonts w:ascii="Times New Roman" w:eastAsia="Times New Roman"/>
          <w:spacing w:val="-5"/>
          <w:sz w:val="18"/>
        </w:rPr>
        <w:t>Work </w:t>
      </w:r>
      <w:r>
        <w:rPr>
          <w:rFonts w:ascii="Times New Roman" w:eastAsia="Times New Roman"/>
          <w:sz w:val="18"/>
        </w:rPr>
        <w:t>Values[M].1974</w:t>
      </w:r>
      <w:r>
        <w:rPr>
          <w:sz w:val="18"/>
        </w:rPr>
        <w:t>，</w:t>
      </w:r>
      <w:r>
        <w:rPr>
          <w:rFonts w:ascii="Times New Roman" w:eastAsia="Times New Roman"/>
          <w:sz w:val="18"/>
        </w:rPr>
        <w:t>5</w:t>
      </w:r>
      <w:r>
        <w:rPr>
          <w:sz w:val="18"/>
        </w:rPr>
        <w:t>： </w:t>
      </w:r>
      <w:r>
        <w:rPr>
          <w:rFonts w:ascii="Times New Roman" w:eastAsia="Times New Roman"/>
          <w:sz w:val="18"/>
        </w:rPr>
        <w:t>367-371.</w:t>
      </w:r>
    </w:p>
    <w:p>
      <w:pPr>
        <w:spacing w:before="2"/>
        <w:ind w:left="1319" w:right="0" w:firstLine="0"/>
        <w:jc w:val="left"/>
        <w:rPr>
          <w:rFonts w:ascii="Times New Roman" w:hAnsi="Times New Roman" w:eastAsia="Times New Roman"/>
          <w:sz w:val="18"/>
        </w:rPr>
      </w:pPr>
      <w:bookmarkStart w:name="_bookmark31" w:id="34"/>
      <w:bookmarkEnd w:id="34"/>
      <w:r>
        <w:rPr/>
      </w:r>
      <w:r>
        <w:rPr>
          <w:rFonts w:ascii="Times New Roman" w:hAnsi="Times New Roman" w:eastAsia="Times New Roman"/>
          <w:position w:val="7"/>
          <w:sz w:val="13"/>
        </w:rPr>
        <w:t>[4] </w:t>
      </w:r>
      <w:r>
        <w:rPr>
          <w:sz w:val="18"/>
        </w:rPr>
        <w:t>钟思嘉等</w:t>
      </w:r>
      <w:r>
        <w:rPr>
          <w:rFonts w:ascii="Times New Roman" w:hAnsi="Times New Roman" w:eastAsia="Times New Roman"/>
          <w:sz w:val="18"/>
        </w:rPr>
        <w:t>.</w:t>
      </w:r>
      <w:r>
        <w:rPr>
          <w:sz w:val="18"/>
        </w:rPr>
        <w:t>咨询与心理治疗</w:t>
      </w:r>
      <w:r>
        <w:rPr>
          <w:rFonts w:ascii="Times New Roman" w:hAnsi="Times New Roman" w:eastAsia="Times New Roman"/>
          <w:sz w:val="18"/>
        </w:rPr>
        <w:t>——</w:t>
      </w:r>
      <w:r>
        <w:rPr>
          <w:sz w:val="18"/>
        </w:rPr>
        <w:t>理论与应用</w:t>
      </w:r>
      <w:r>
        <w:rPr>
          <w:rFonts w:ascii="Times New Roman" w:hAnsi="Times New Roman" w:eastAsia="Times New Roman"/>
          <w:sz w:val="18"/>
        </w:rPr>
        <w:t>[M].</w:t>
      </w:r>
      <w:r>
        <w:rPr>
          <w:sz w:val="18"/>
        </w:rPr>
        <w:t>台北：大洋出版社，</w:t>
      </w:r>
      <w:r>
        <w:rPr>
          <w:rFonts w:ascii="Times New Roman" w:hAnsi="Times New Roman" w:eastAsia="Times New Roman"/>
          <w:sz w:val="18"/>
        </w:rPr>
        <w:t>1985.</w:t>
      </w:r>
    </w:p>
    <w:p>
      <w:pPr>
        <w:spacing w:after="0"/>
        <w:jc w:val="left"/>
        <w:rPr>
          <w:rFonts w:ascii="Times New Roman" w:hAnsi="Times New Roman" w:eastAsia="Times New Roman"/>
          <w:sz w:val="18"/>
        </w:rPr>
        <w:sectPr>
          <w:pgSz w:w="11910" w:h="16840"/>
          <w:pgMar w:header="878" w:footer="1191" w:top="1300" w:bottom="1380" w:left="480" w:right="220"/>
        </w:sectPr>
      </w:pPr>
    </w:p>
    <w:p>
      <w:pPr>
        <w:pStyle w:val="BodyText"/>
        <w:spacing w:before="3"/>
        <w:rPr>
          <w:rFonts w:ascii="Times New Roman"/>
          <w:sz w:val="11"/>
        </w:rPr>
      </w:pPr>
    </w:p>
    <w:p>
      <w:pPr>
        <w:pStyle w:val="BodyText"/>
        <w:spacing w:line="364" w:lineRule="auto" w:before="80"/>
        <w:ind w:left="1320" w:right="1576"/>
        <w:jc w:val="both"/>
      </w:pPr>
      <w:r>
        <w:rPr>
          <w:spacing w:val="-3"/>
        </w:rPr>
        <w:t>一个人的心理适应状态良好，无论他遇到什么样的生涯问题，都能迎刃而解。</w:t>
      </w:r>
      <w:r>
        <w:rPr>
          <w:rFonts w:ascii="Times New Roman" w:eastAsia="Times New Roman"/>
          <w:spacing w:val="-8"/>
          <w:position w:val="8"/>
          <w:sz w:val="15"/>
        </w:rPr>
        <w:t>[</w:t>
      </w:r>
      <w:hyperlink w:history="true" w:anchor="_bookmark32">
        <w:r>
          <w:rPr>
            <w:rFonts w:ascii="Times New Roman" w:eastAsia="Times New Roman"/>
            <w:spacing w:val="-8"/>
            <w:position w:val="8"/>
            <w:sz w:val="15"/>
          </w:rPr>
          <w:t>1</w:t>
        </w:r>
      </w:hyperlink>
      <w:r>
        <w:rPr>
          <w:rFonts w:ascii="Times New Roman" w:eastAsia="Times New Roman"/>
          <w:spacing w:val="-8"/>
          <w:position w:val="8"/>
          <w:sz w:val="15"/>
        </w:rPr>
        <w:t>] </w:t>
      </w:r>
      <w:r>
        <w:rPr>
          <w:spacing w:val="-9"/>
        </w:rPr>
        <w:t>与前一时期相比，职业指导从概念上变成了职业辅导，在内涵上更关注个体的情</w:t>
      </w:r>
      <w:r>
        <w:rPr/>
        <w:t>感与心理，辅导的重点从提供信息转向了诊断治疗。</w:t>
      </w:r>
    </w:p>
    <w:p>
      <w:pPr>
        <w:pStyle w:val="BodyText"/>
        <w:spacing w:line="364" w:lineRule="auto" w:before="2"/>
        <w:ind w:left="1320" w:right="1455" w:firstLine="480"/>
        <w:rPr>
          <w:rFonts w:ascii="Times New Roman" w:hAnsi="Times New Roman" w:eastAsia="Times New Roman"/>
          <w:sz w:val="15"/>
        </w:rPr>
      </w:pPr>
      <w:r>
        <w:rPr>
          <w:spacing w:val="12"/>
        </w:rPr>
        <w:t>第三阶段</w:t>
      </w:r>
      <w:r>
        <w:rPr>
          <w:spacing w:val="4"/>
        </w:rPr>
        <w:t>（</w:t>
      </w:r>
      <w:r>
        <w:rPr>
          <w:rFonts w:ascii="Times New Roman" w:hAnsi="Times New Roman" w:eastAsia="Times New Roman"/>
          <w:spacing w:val="4"/>
        </w:rPr>
        <w:t>20 </w:t>
      </w:r>
      <w:r>
        <w:rPr>
          <w:spacing w:val="-12"/>
        </w:rPr>
        <w:t>世纪 </w:t>
      </w:r>
      <w:r>
        <w:rPr>
          <w:rFonts w:ascii="Times New Roman" w:hAnsi="Times New Roman" w:eastAsia="Times New Roman"/>
        </w:rPr>
        <w:t>50 </w:t>
      </w:r>
      <w:r>
        <w:rPr>
          <w:spacing w:val="-2"/>
        </w:rPr>
        <w:t>年代初至 </w:t>
      </w:r>
      <w:r>
        <w:rPr>
          <w:rFonts w:ascii="Times New Roman" w:hAnsi="Times New Roman" w:eastAsia="Times New Roman"/>
        </w:rPr>
        <w:t>20 </w:t>
      </w:r>
      <w:r>
        <w:rPr>
          <w:spacing w:val="-11"/>
        </w:rPr>
        <w:t>世纪 </w:t>
      </w:r>
      <w:r>
        <w:rPr>
          <w:rFonts w:ascii="Times New Roman" w:hAnsi="Times New Roman" w:eastAsia="Times New Roman"/>
        </w:rPr>
        <w:t>70 </w:t>
      </w:r>
      <w:r>
        <w:rPr>
          <w:spacing w:val="12"/>
        </w:rPr>
        <w:t>年代初</w:t>
      </w:r>
      <w:r>
        <w:rPr>
          <w:spacing w:val="13"/>
        </w:rPr>
        <w:t>）</w:t>
      </w:r>
      <w:r>
        <w:rPr>
          <w:spacing w:val="12"/>
        </w:rPr>
        <w:t>，生涯辅导</w:t>
      </w:r>
      <w:r>
        <w:rPr/>
        <w:t>（</w:t>
      </w:r>
      <w:r>
        <w:rPr>
          <w:rFonts w:ascii="Times New Roman" w:hAnsi="Times New Roman" w:eastAsia="Times New Roman"/>
        </w:rPr>
        <w:t>career guidance/counseling</w:t>
      </w:r>
      <w:r>
        <w:rPr/>
        <w:t>）</w:t>
      </w:r>
      <w:r>
        <w:rPr>
          <w:spacing w:val="-4"/>
        </w:rPr>
        <w:t>思想萌芽与生涯发展</w:t>
      </w:r>
      <w:r>
        <w:rPr/>
        <w:t>（</w:t>
      </w:r>
      <w:r>
        <w:rPr>
          <w:rFonts w:ascii="Times New Roman" w:hAnsi="Times New Roman" w:eastAsia="Times New Roman"/>
        </w:rPr>
        <w:t>career</w:t>
      </w:r>
      <w:r>
        <w:rPr>
          <w:rFonts w:ascii="Times New Roman" w:hAnsi="Times New Roman" w:eastAsia="Times New Roman"/>
          <w:spacing w:val="-3"/>
        </w:rPr>
        <w:t> development</w:t>
      </w:r>
      <w:r>
        <w:rPr>
          <w:spacing w:val="-3"/>
        </w:rPr>
        <w:t>）</w:t>
      </w:r>
      <w:r>
        <w:rPr>
          <w:spacing w:val="-5"/>
        </w:rPr>
        <w:t>理论的提出。舒</w:t>
      </w:r>
      <w:r>
        <w:rPr>
          <w:spacing w:val="-16"/>
        </w:rPr>
        <w:t>伯基于前人的理论研究和实践探索，提出了诠释职业发展的新模式：生涯发展论。</w:t>
      </w:r>
      <w:r>
        <w:rPr>
          <w:spacing w:val="-10"/>
        </w:rPr>
        <w:t>他指出，可以依据年龄，将每个人生阶段和职业发展加以匹配，把生涯发展分为</w:t>
      </w:r>
      <w:r>
        <w:rPr>
          <w:spacing w:val="-12"/>
        </w:rPr>
        <w:t>成长、探索、建立、维持、衰退五个阶段，而每个阶段又各有其任务。这一理论的提出，得到了许多心理学家的支持。舒伯将个人生活与职业有机整合，丰富了传统职业辅导的内涵。正如克里特思</w:t>
      </w:r>
      <w:r>
        <w:rPr>
          <w:spacing w:val="-3"/>
        </w:rPr>
        <w:t>（</w:t>
      </w:r>
      <w:r>
        <w:rPr>
          <w:rFonts w:ascii="Times New Roman" w:hAnsi="Times New Roman" w:eastAsia="Times New Roman"/>
          <w:spacing w:val="-3"/>
        </w:rPr>
        <w:t>Crites</w:t>
      </w:r>
      <w:r>
        <w:rPr>
          <w:spacing w:val="-3"/>
        </w:rPr>
        <w:t>）</w:t>
      </w:r>
      <w:r>
        <w:rPr>
          <w:spacing w:val="-5"/>
        </w:rPr>
        <w:t>所言，舒伯将职业辅导从静态的、单一时间点的职业选择中解放出来，进而关注到社会学、经济学等学科对该领域</w:t>
      </w:r>
      <w:r>
        <w:rPr>
          <w:spacing w:val="-8"/>
        </w:rPr>
        <w:t>的可能影响，并将职业行为置于人类发展框架中加以研究。</w:t>
      </w:r>
      <w:r>
        <w:rPr>
          <w:rFonts w:ascii="Times New Roman" w:hAnsi="Times New Roman" w:eastAsia="Times New Roman"/>
          <w:position w:val="8"/>
          <w:sz w:val="15"/>
        </w:rPr>
        <w:t>[</w:t>
      </w:r>
      <w:hyperlink w:history="true" w:anchor="_bookmark33">
        <w:r>
          <w:rPr>
            <w:rFonts w:ascii="Times New Roman" w:hAnsi="Times New Roman" w:eastAsia="Times New Roman"/>
            <w:position w:val="8"/>
            <w:sz w:val="15"/>
          </w:rPr>
          <w:t>2</w:t>
        </w:r>
      </w:hyperlink>
      <w:r>
        <w:rPr>
          <w:rFonts w:ascii="Times New Roman" w:hAnsi="Times New Roman" w:eastAsia="Times New Roman"/>
          <w:position w:val="8"/>
          <w:sz w:val="15"/>
        </w:rPr>
        <w:t>]</w:t>
      </w:r>
      <w:r>
        <w:rPr/>
        <w:t>舒伯的生涯发展理</w:t>
      </w:r>
      <w:r>
        <w:rPr>
          <w:spacing w:val="-10"/>
        </w:rPr>
        <w:t>论推动了“生涯辅导”的发展，被认为是生涯辅导形成的标志，也是职业辅导与生涯辅导的分界线。</w:t>
      </w:r>
      <w:r>
        <w:rPr>
          <w:rFonts w:ascii="Times New Roman" w:hAnsi="Times New Roman" w:eastAsia="Times New Roman"/>
          <w:spacing w:val="-10"/>
          <w:position w:val="8"/>
          <w:sz w:val="15"/>
        </w:rPr>
        <w:t>[</w:t>
      </w:r>
      <w:hyperlink w:history="true" w:anchor="_bookmark34">
        <w:r>
          <w:rPr>
            <w:rFonts w:ascii="Times New Roman" w:hAnsi="Times New Roman" w:eastAsia="Times New Roman"/>
            <w:spacing w:val="-10"/>
            <w:position w:val="8"/>
            <w:sz w:val="15"/>
          </w:rPr>
          <w:t>3</w:t>
        </w:r>
      </w:hyperlink>
      <w:r>
        <w:rPr>
          <w:rFonts w:ascii="Times New Roman" w:hAnsi="Times New Roman" w:eastAsia="Times New Roman"/>
          <w:spacing w:val="-10"/>
          <w:position w:val="8"/>
          <w:sz w:val="15"/>
        </w:rPr>
        <w:t>]</w:t>
      </w:r>
    </w:p>
    <w:p>
      <w:pPr>
        <w:pStyle w:val="BodyText"/>
        <w:spacing w:line="364" w:lineRule="auto" w:before="7"/>
        <w:ind w:left="1320" w:right="1455" w:firstLine="480"/>
      </w:pPr>
      <w:r>
        <w:rPr/>
        <w:t>第四阶段（20</w:t>
      </w:r>
      <w:r>
        <w:rPr>
          <w:spacing w:val="-30"/>
        </w:rPr>
        <w:t> 世纪 </w:t>
      </w:r>
      <w:r>
        <w:rPr/>
        <w:t>70</w:t>
      </w:r>
      <w:r>
        <w:rPr>
          <w:spacing w:val="-10"/>
        </w:rPr>
        <w:t> 年代初至今</w:t>
      </w:r>
      <w:r>
        <w:rPr/>
        <w:t>）生涯辅导思想的深化与生涯教育提出。</w:t>
      </w:r>
      <w:r>
        <w:rPr>
          <w:rFonts w:ascii="Times New Roman" w:hAnsi="Times New Roman" w:eastAsia="Times New Roman"/>
        </w:rPr>
        <w:t>1971 </w:t>
      </w:r>
      <w:r>
        <w:rPr>
          <w:spacing w:val="-2"/>
        </w:rPr>
        <w:t>年美国联邦教育署署长马兰正式提出“生涯教育”</w:t>
      </w:r>
      <w:r>
        <w:rPr>
          <w:spacing w:val="-4"/>
        </w:rPr>
        <w:t>（</w:t>
      </w:r>
      <w:r>
        <w:rPr>
          <w:rFonts w:ascii="Times New Roman" w:hAnsi="Times New Roman" w:eastAsia="Times New Roman"/>
          <w:spacing w:val="-4"/>
        </w:rPr>
        <w:t>career</w:t>
      </w:r>
      <w:r>
        <w:rPr>
          <w:rFonts w:ascii="Times New Roman" w:hAnsi="Times New Roman" w:eastAsia="Times New Roman"/>
        </w:rPr>
        <w:t> education</w:t>
      </w:r>
      <w:r>
        <w:rPr/>
        <w:t>）这一</w:t>
      </w:r>
      <w:r>
        <w:rPr>
          <w:spacing w:val="-8"/>
        </w:rPr>
        <w:t>概念，他认为生涯教育是一项综合性教育，应贯穿于初等、中等、高等以及成人</w:t>
      </w:r>
      <w:r>
        <w:rPr>
          <w:spacing w:val="-10"/>
        </w:rPr>
        <w:t>教育的所有阶段，以帮助学生实现未来的职业期望。</w:t>
      </w:r>
      <w:hyperlink w:history="true" w:anchor="_bookmark35">
        <w:r>
          <w:rPr>
            <w:rFonts w:ascii="Times New Roman" w:hAnsi="Times New Roman" w:eastAsia="Times New Roman"/>
            <w:position w:val="8"/>
            <w:sz w:val="15"/>
          </w:rPr>
          <w:t>[4</w:t>
        </w:r>
      </w:hyperlink>
      <w:r>
        <w:rPr>
          <w:rFonts w:ascii="Times New Roman" w:hAnsi="Times New Roman" w:eastAsia="Times New Roman"/>
          <w:position w:val="8"/>
          <w:sz w:val="15"/>
        </w:rPr>
        <w:t>]</w:t>
      </w:r>
      <w:r>
        <w:rPr/>
        <w:t>他的构想强调在传统的普</w:t>
      </w:r>
      <w:r>
        <w:rPr>
          <w:spacing w:val="-7"/>
        </w:rPr>
        <w:t>通教育中建立起职业价值，建议“生涯教育应当将职业教育，通识教育和大学预</w:t>
      </w:r>
      <w:r>
        <w:rPr>
          <w:spacing w:val="-10"/>
        </w:rPr>
        <w:t>备加以整合”，</w:t>
      </w:r>
      <w:r>
        <w:rPr>
          <w:rFonts w:ascii="Times New Roman" w:hAnsi="Times New Roman" w:eastAsia="Times New Roman"/>
          <w:spacing w:val="-17"/>
          <w:position w:val="8"/>
          <w:sz w:val="15"/>
        </w:rPr>
        <w:t>[</w:t>
      </w:r>
      <w:hyperlink w:history="true" w:anchor="_bookmark36">
        <w:r>
          <w:rPr>
            <w:rFonts w:ascii="Times New Roman" w:hAnsi="Times New Roman" w:eastAsia="Times New Roman"/>
            <w:spacing w:val="-17"/>
            <w:position w:val="8"/>
            <w:sz w:val="15"/>
          </w:rPr>
          <w:t>5</w:t>
        </w:r>
      </w:hyperlink>
      <w:r>
        <w:rPr>
          <w:rFonts w:ascii="Times New Roman" w:hAnsi="Times New Roman" w:eastAsia="Times New Roman"/>
          <w:spacing w:val="-17"/>
          <w:position w:val="8"/>
          <w:sz w:val="15"/>
        </w:rPr>
        <w:t>]</w:t>
      </w:r>
      <w:r>
        <w:rPr>
          <w:spacing w:val="-7"/>
        </w:rPr>
        <w:t>这种教育兼顾了学术功能、职业功能、升学及就业准备的功能。</w:t>
      </w:r>
      <w:r>
        <w:rPr>
          <w:spacing w:val="-11"/>
        </w:rPr>
        <w:t>此后，受美国影响，欧洲、北美洲、亚洲的日本等发达国家相继推行生涯教育改革。“生涯教育”概念的提出，不但意味着名词术语的转变，也意味着生涯辅导</w:t>
      </w:r>
      <w:r>
        <w:rPr>
          <w:spacing w:val="-18"/>
        </w:rPr>
        <w:t>内涵的转变。“生涯教育”作为生涯辅导展开的方式之一，关注对学生必备知识、</w:t>
      </w:r>
      <w:r>
        <w:rPr/>
        <w:t>技能的培养，帮助学生合理规划学业，为其将来的职业和生活做准备。</w:t>
      </w:r>
      <w:r>
        <w:rPr>
          <w:rFonts w:ascii="Times New Roman" w:hAnsi="Times New Roman" w:eastAsia="Times New Roman"/>
        </w:rPr>
        <w:t>1976 </w:t>
      </w:r>
      <w:r>
        <w:rPr/>
        <w:t>至</w:t>
      </w:r>
    </w:p>
    <w:p>
      <w:pPr>
        <w:pStyle w:val="BodyText"/>
        <w:spacing w:before="8"/>
        <w:rPr>
          <w:sz w:val="26"/>
        </w:rPr>
      </w:pPr>
      <w:r>
        <w:rPr/>
        <w:pict>
          <v:shape style="position:absolute;margin-left:90pt;margin-top:19.048897pt;width:144pt;height:.1pt;mso-position-horizontal-relative:page;mso-position-vertical-relative:paragraph;z-index:-251637760;mso-wrap-distance-left:0;mso-wrap-distance-right:0" coordorigin="1800,381" coordsize="2880,0" path="m1800,381l4680,381e" filled="false" stroked="true" strokeweight="0pt" strokecolor="#000000">
            <v:path arrowok="t"/>
            <v:stroke dashstyle="solid"/>
            <w10:wrap type="topAndBottom"/>
          </v:shape>
        </w:pict>
      </w:r>
    </w:p>
    <w:p>
      <w:pPr>
        <w:spacing w:before="98"/>
        <w:ind w:left="1320" w:right="0" w:firstLine="0"/>
        <w:jc w:val="left"/>
        <w:rPr>
          <w:rFonts w:ascii="Times New Roman" w:eastAsia="Times New Roman"/>
          <w:sz w:val="18"/>
        </w:rPr>
      </w:pPr>
      <w:bookmarkStart w:name="_bookmark32" w:id="35"/>
      <w:bookmarkEnd w:id="35"/>
      <w:r>
        <w:rPr/>
      </w:r>
      <w:r>
        <w:rPr>
          <w:rFonts w:ascii="Times New Roman" w:eastAsia="Times New Roman"/>
          <w:position w:val="7"/>
          <w:sz w:val="13"/>
        </w:rPr>
        <w:t>[1] </w:t>
      </w:r>
      <w:r>
        <w:rPr>
          <w:rFonts w:ascii="Times New Roman" w:eastAsia="Times New Roman"/>
          <w:sz w:val="18"/>
        </w:rPr>
        <w:t>Crites.J.O.Career Counseling</w:t>
      </w:r>
      <w:r>
        <w:rPr>
          <w:sz w:val="18"/>
        </w:rPr>
        <w:t>：</w:t>
      </w:r>
      <w:r>
        <w:rPr>
          <w:rFonts w:ascii="Times New Roman" w:eastAsia="Times New Roman"/>
          <w:sz w:val="18"/>
        </w:rPr>
        <w:t>A Review of Major Approaches[J].The Counseling Psychologist.1974,13:3-23.</w:t>
      </w:r>
    </w:p>
    <w:p>
      <w:pPr>
        <w:spacing w:before="128"/>
        <w:ind w:left="1320" w:right="0" w:firstLine="0"/>
        <w:jc w:val="left"/>
        <w:rPr>
          <w:rFonts w:ascii="Times New Roman" w:hAnsi="Times New Roman" w:eastAsia="Times New Roman"/>
          <w:sz w:val="18"/>
        </w:rPr>
      </w:pPr>
      <w:bookmarkStart w:name="_bookmark33" w:id="36"/>
      <w:bookmarkEnd w:id="36"/>
      <w:r>
        <w:rPr/>
      </w:r>
      <w:r>
        <w:rPr>
          <w:rFonts w:ascii="Times New Roman" w:hAnsi="Times New Roman" w:eastAsia="Times New Roman"/>
          <w:position w:val="7"/>
          <w:sz w:val="13"/>
        </w:rPr>
        <w:t>[2] </w:t>
      </w:r>
      <w:r>
        <w:rPr>
          <w:sz w:val="18"/>
        </w:rPr>
        <w:t>黄天中</w:t>
      </w:r>
      <w:r>
        <w:rPr>
          <w:rFonts w:ascii="Times New Roman" w:hAnsi="Times New Roman" w:eastAsia="Times New Roman"/>
          <w:sz w:val="18"/>
        </w:rPr>
        <w:t>.</w:t>
      </w:r>
      <w:r>
        <w:rPr>
          <w:sz w:val="18"/>
        </w:rPr>
        <w:t>生涯规划</w:t>
      </w:r>
      <w:r>
        <w:rPr>
          <w:rFonts w:ascii="Times New Roman" w:hAnsi="Times New Roman" w:eastAsia="Times New Roman"/>
          <w:sz w:val="18"/>
        </w:rPr>
        <w:t>——</w:t>
      </w:r>
      <w:r>
        <w:rPr>
          <w:sz w:val="18"/>
        </w:rPr>
        <w:t>体验式学习</w:t>
      </w:r>
      <w:r>
        <w:rPr>
          <w:rFonts w:ascii="Times New Roman" w:hAnsi="Times New Roman" w:eastAsia="Times New Roman"/>
          <w:sz w:val="18"/>
        </w:rPr>
        <w:t>[M].</w:t>
      </w:r>
      <w:r>
        <w:rPr>
          <w:sz w:val="18"/>
        </w:rPr>
        <w:t>北京：高等教育出版，</w:t>
      </w:r>
      <w:r>
        <w:rPr>
          <w:rFonts w:ascii="Times New Roman" w:hAnsi="Times New Roman" w:eastAsia="Times New Roman"/>
          <w:sz w:val="18"/>
        </w:rPr>
        <w:t>2009</w:t>
      </w:r>
      <w:r>
        <w:rPr>
          <w:sz w:val="18"/>
        </w:rPr>
        <w:t>：</w:t>
      </w:r>
      <w:r>
        <w:rPr>
          <w:rFonts w:ascii="Times New Roman" w:hAnsi="Times New Roman" w:eastAsia="Times New Roman"/>
          <w:sz w:val="18"/>
        </w:rPr>
        <w:t>32.</w:t>
      </w:r>
    </w:p>
    <w:p>
      <w:pPr>
        <w:spacing w:before="127"/>
        <w:ind w:left="1319" w:right="0" w:firstLine="0"/>
        <w:jc w:val="left"/>
        <w:rPr>
          <w:rFonts w:ascii="Times New Roman" w:eastAsia="Times New Roman"/>
          <w:sz w:val="18"/>
        </w:rPr>
      </w:pPr>
      <w:bookmarkStart w:name="_bookmark34" w:id="37"/>
      <w:bookmarkEnd w:id="37"/>
      <w:r>
        <w:rPr/>
      </w:r>
      <w:r>
        <w:rPr>
          <w:rFonts w:ascii="Times New Roman" w:eastAsia="Times New Roman"/>
          <w:position w:val="7"/>
          <w:sz w:val="13"/>
        </w:rPr>
        <w:t>[3] </w:t>
      </w:r>
      <w:r>
        <w:rPr>
          <w:sz w:val="18"/>
        </w:rPr>
        <w:t>梁淑琴</w:t>
      </w:r>
      <w:r>
        <w:rPr>
          <w:rFonts w:ascii="Times New Roman" w:eastAsia="Times New Roman"/>
          <w:sz w:val="18"/>
        </w:rPr>
        <w:t>.</w:t>
      </w:r>
      <w:r>
        <w:rPr>
          <w:sz w:val="18"/>
        </w:rPr>
        <w:t>我国普通高中生涯教育实施研究</w:t>
      </w:r>
      <w:r>
        <w:rPr>
          <w:rFonts w:ascii="Times New Roman" w:eastAsia="Times New Roman"/>
          <w:sz w:val="18"/>
        </w:rPr>
        <w:t>[D].</w:t>
      </w:r>
      <w:r>
        <w:rPr>
          <w:sz w:val="18"/>
        </w:rPr>
        <w:t>山西大学，</w:t>
      </w:r>
      <w:r>
        <w:rPr>
          <w:rFonts w:ascii="Times New Roman" w:eastAsia="Times New Roman"/>
          <w:sz w:val="18"/>
        </w:rPr>
        <w:t>2007</w:t>
      </w:r>
      <w:r>
        <w:rPr>
          <w:sz w:val="18"/>
        </w:rPr>
        <w:t>：</w:t>
      </w:r>
      <w:r>
        <w:rPr>
          <w:rFonts w:ascii="Times New Roman" w:eastAsia="Times New Roman"/>
          <w:sz w:val="18"/>
        </w:rPr>
        <w:t>6.</w:t>
      </w:r>
    </w:p>
    <w:p>
      <w:pPr>
        <w:spacing w:before="126"/>
        <w:ind w:left="1319" w:right="0" w:firstLine="0"/>
        <w:jc w:val="left"/>
        <w:rPr>
          <w:rFonts w:ascii="Times New Roman" w:eastAsia="Times New Roman"/>
          <w:sz w:val="18"/>
        </w:rPr>
      </w:pPr>
      <w:bookmarkStart w:name="_bookmark35" w:id="38"/>
      <w:bookmarkEnd w:id="38"/>
      <w:r>
        <w:rPr/>
      </w:r>
      <w:r>
        <w:rPr>
          <w:rFonts w:ascii="Times New Roman" w:eastAsia="Times New Roman"/>
          <w:position w:val="7"/>
          <w:sz w:val="13"/>
        </w:rPr>
        <w:t>[4] </w:t>
      </w:r>
      <w:r>
        <w:rPr>
          <w:sz w:val="18"/>
        </w:rPr>
        <w:t>日本文部省</w:t>
      </w:r>
      <w:r>
        <w:rPr>
          <w:rFonts w:ascii="Times New Roman" w:eastAsia="Times New Roman"/>
          <w:sz w:val="18"/>
        </w:rPr>
        <w:t>.</w:t>
      </w:r>
      <w:r>
        <w:rPr>
          <w:sz w:val="18"/>
        </w:rPr>
        <w:t>五国普通教育</w:t>
      </w:r>
      <w:r>
        <w:rPr>
          <w:rFonts w:ascii="Times New Roman" w:eastAsia="Times New Roman"/>
          <w:sz w:val="18"/>
        </w:rPr>
        <w:t>[M].</w:t>
      </w:r>
      <w:r>
        <w:rPr>
          <w:sz w:val="18"/>
        </w:rPr>
        <w:t>北京：教育科学出版社，</w:t>
      </w:r>
      <w:r>
        <w:rPr>
          <w:rFonts w:ascii="Times New Roman" w:eastAsia="Times New Roman"/>
          <w:sz w:val="18"/>
        </w:rPr>
        <w:t>1982</w:t>
      </w:r>
      <w:r>
        <w:rPr>
          <w:sz w:val="18"/>
        </w:rPr>
        <w:t>：</w:t>
      </w:r>
      <w:r>
        <w:rPr>
          <w:rFonts w:ascii="Times New Roman" w:eastAsia="Times New Roman"/>
          <w:sz w:val="18"/>
        </w:rPr>
        <w:t>165.</w:t>
      </w:r>
    </w:p>
    <w:p>
      <w:pPr>
        <w:spacing w:line="386" w:lineRule="auto" w:before="127"/>
        <w:ind w:left="1319" w:right="1612" w:firstLine="0"/>
        <w:jc w:val="left"/>
        <w:rPr>
          <w:rFonts w:ascii="Times New Roman"/>
          <w:sz w:val="18"/>
        </w:rPr>
      </w:pPr>
      <w:bookmarkStart w:name="_bookmark36" w:id="39"/>
      <w:bookmarkEnd w:id="39"/>
      <w:r>
        <w:rPr/>
      </w:r>
      <w:r>
        <w:rPr>
          <w:rFonts w:ascii="Times New Roman"/>
          <w:position w:val="7"/>
          <w:sz w:val="13"/>
        </w:rPr>
        <w:t>[6] </w:t>
      </w:r>
      <w:r>
        <w:rPr>
          <w:rFonts w:ascii="Times New Roman"/>
          <w:sz w:val="18"/>
        </w:rPr>
        <w:t>Sidney P Marland,Jr.Career Educaiton.[EB/OL</w:t>
      </w:r>
      <w:hyperlink r:id="rId18">
        <w:r>
          <w:rPr>
            <w:rFonts w:ascii="Times New Roman"/>
            <w:sz w:val="18"/>
          </w:rPr>
          <w:t>].http://www.eric.ed.gov/contentdelivery/servlet/ERICServlet?</w:t>
        </w:r>
      </w:hyperlink>
      <w:r>
        <w:rPr>
          <w:rFonts w:ascii="Times New Roman"/>
          <w:sz w:val="18"/>
        </w:rPr>
        <w:t> </w:t>
      </w:r>
      <w:hyperlink r:id="rId18">
        <w:r>
          <w:rPr>
            <w:rFonts w:ascii="Times New Roman"/>
            <w:sz w:val="18"/>
          </w:rPr>
          <w:t>accno=ED048480</w:t>
        </w:r>
      </w:hyperlink>
      <w:r>
        <w:rPr>
          <w:rFonts w:ascii="Times New Roman"/>
          <w:sz w:val="18"/>
        </w:rPr>
        <w:t>.1971.2016-5-31.</w:t>
      </w:r>
    </w:p>
    <w:p>
      <w:pPr>
        <w:spacing w:after="0" w:line="386" w:lineRule="auto"/>
        <w:jc w:val="left"/>
        <w:rPr>
          <w:rFonts w:ascii="Times New Roman"/>
          <w:sz w:val="18"/>
        </w:rPr>
        <w:sectPr>
          <w:pgSz w:w="11910" w:h="16840"/>
          <w:pgMar w:header="878" w:footer="1191" w:top="1300" w:bottom="1380" w:left="480" w:right="220"/>
        </w:sectPr>
      </w:pPr>
    </w:p>
    <w:p>
      <w:pPr>
        <w:pStyle w:val="BodyText"/>
        <w:spacing w:before="9"/>
        <w:rPr>
          <w:rFonts w:ascii="Times New Roman"/>
          <w:sz w:val="11"/>
        </w:rPr>
      </w:pPr>
    </w:p>
    <w:p>
      <w:pPr>
        <w:pStyle w:val="BodyText"/>
        <w:spacing w:line="364" w:lineRule="auto" w:before="74"/>
        <w:ind w:left="1320" w:right="1577"/>
      </w:pPr>
      <w:r>
        <w:rPr>
          <w:rFonts w:ascii="Times New Roman" w:hAnsi="Times New Roman" w:eastAsia="Times New Roman"/>
        </w:rPr>
        <w:t>1979 </w:t>
      </w:r>
      <w:r>
        <w:rPr/>
        <w:t>年，舒伯又发展了其生涯发展理论，融入了角色理论，提出在生活广度和生活空间上都更为丰富的生涯发展观，并以“生涯彩虹图”来表示此理论。</w:t>
      </w:r>
    </w:p>
    <w:p>
      <w:pPr>
        <w:pStyle w:val="BodyText"/>
        <w:spacing w:line="364" w:lineRule="auto" w:before="2"/>
        <w:ind w:left="1320" w:right="1433" w:firstLine="480"/>
      </w:pPr>
      <w:r>
        <w:rPr>
          <w:spacing w:val="-10"/>
        </w:rPr>
        <w:t>综上所述，“生涯规划教育”的概念经由“职业指导”发展而来，在英文文</w:t>
      </w:r>
      <w:r>
        <w:rPr>
          <w:spacing w:val="-8"/>
        </w:rPr>
        <w:t>献中从“</w:t>
      </w:r>
      <w:r>
        <w:rPr>
          <w:rFonts w:ascii="Times New Roman" w:hAnsi="Times New Roman" w:eastAsia="Times New Roman"/>
        </w:rPr>
        <w:t>vocational guidance</w:t>
      </w:r>
      <w:r>
        <w:rPr>
          <w:spacing w:val="-2"/>
        </w:rPr>
        <w:t>”发展至“</w:t>
      </w:r>
      <w:r>
        <w:rPr>
          <w:rFonts w:ascii="Times New Roman" w:hAnsi="Times New Roman" w:eastAsia="Times New Roman"/>
        </w:rPr>
        <w:t>career guidance</w:t>
      </w:r>
      <w:r>
        <w:rPr/>
        <w:t>”，“</w:t>
      </w:r>
      <w:r>
        <w:rPr>
          <w:rFonts w:ascii="Times New Roman" w:hAnsi="Times New Roman" w:eastAsia="Times New Roman"/>
        </w:rPr>
        <w:t>career counseling</w:t>
      </w:r>
      <w:r>
        <w:rPr/>
        <w:t>”， “</w:t>
      </w:r>
      <w:r>
        <w:rPr>
          <w:rFonts w:ascii="Times New Roman" w:hAnsi="Times New Roman" w:eastAsia="Times New Roman"/>
        </w:rPr>
        <w:t>ccareer </w:t>
      </w:r>
      <w:r>
        <w:rPr>
          <w:rFonts w:ascii="Times New Roman" w:hAnsi="Times New Roman" w:eastAsia="Times New Roman"/>
          <w:spacing w:val="-15"/>
        </w:rPr>
        <w:t>education</w:t>
      </w:r>
      <w:r>
        <w:rPr>
          <w:spacing w:val="-12"/>
        </w:rPr>
        <w:t>”，或者一些文件中用“</w:t>
      </w:r>
      <w:r>
        <w:rPr>
          <w:rFonts w:ascii="Times New Roman" w:hAnsi="Times New Roman" w:eastAsia="Times New Roman"/>
        </w:rPr>
        <w:t>career education and </w:t>
      </w:r>
      <w:r>
        <w:rPr>
          <w:rFonts w:ascii="Times New Roman" w:hAnsi="Times New Roman" w:eastAsia="Times New Roman"/>
          <w:spacing w:val="-9"/>
        </w:rPr>
        <w:t>guidance</w:t>
      </w:r>
      <w:r>
        <w:rPr>
          <w:spacing w:val="-56"/>
        </w:rPr>
        <w:t>”、“</w:t>
      </w:r>
      <w:r>
        <w:rPr>
          <w:rFonts w:ascii="Times New Roman" w:hAnsi="Times New Roman" w:eastAsia="Times New Roman"/>
        </w:rPr>
        <w:t>career </w:t>
      </w:r>
      <w:r>
        <w:rPr>
          <w:rFonts w:ascii="Times New Roman" w:hAnsi="Times New Roman" w:eastAsia="Times New Roman"/>
          <w:spacing w:val="-6"/>
        </w:rPr>
        <w:t>planning</w:t>
      </w:r>
      <w:r>
        <w:rPr>
          <w:spacing w:val="-33"/>
        </w:rPr>
        <w:t>”、“</w:t>
      </w:r>
      <w:r>
        <w:rPr>
          <w:rFonts w:ascii="Times New Roman" w:hAnsi="Times New Roman" w:eastAsia="Times New Roman"/>
        </w:rPr>
        <w:t>career </w:t>
      </w:r>
      <w:r>
        <w:rPr>
          <w:rFonts w:ascii="Times New Roman" w:hAnsi="Times New Roman" w:eastAsia="Times New Roman"/>
          <w:spacing w:val="-8"/>
        </w:rPr>
        <w:t>management</w:t>
      </w:r>
      <w:r>
        <w:rPr>
          <w:spacing w:val="-15"/>
        </w:rPr>
        <w:t>”，在中文文献中也从“职业指导”发展到“</w:t>
      </w:r>
      <w:r>
        <w:rPr>
          <w:spacing w:val="-18"/>
        </w:rPr>
        <w:t>（</w:t>
      </w:r>
      <w:r>
        <w:rPr/>
        <w:t>职业</w:t>
      </w:r>
      <w:r>
        <w:rPr>
          <w:spacing w:val="-3"/>
        </w:rPr>
        <w:t>）</w:t>
      </w:r>
      <w:r>
        <w:rPr>
          <w:spacing w:val="-2"/>
        </w:rPr>
        <w:t>生涯规划”、</w:t>
      </w:r>
      <w:r>
        <w:rPr/>
        <w:t>“（职业</w:t>
      </w:r>
      <w:r>
        <w:rPr>
          <w:spacing w:val="-3"/>
        </w:rPr>
        <w:t>）</w:t>
      </w:r>
      <w:r>
        <w:rPr>
          <w:spacing w:val="-1"/>
        </w:rPr>
        <w:t>生涯辅</w:t>
      </w:r>
      <w:r>
        <w:rPr/>
        <w:t>（指</w:t>
      </w:r>
      <w:r>
        <w:rPr>
          <w:spacing w:val="-3"/>
        </w:rPr>
        <w:t>）导”、</w:t>
      </w:r>
      <w:r>
        <w:rPr/>
        <w:t>“（职业</w:t>
      </w:r>
      <w:r>
        <w:rPr>
          <w:spacing w:val="-3"/>
        </w:rPr>
        <w:t>）</w:t>
      </w:r>
      <w:r>
        <w:rPr>
          <w:spacing w:val="-2"/>
        </w:rPr>
        <w:t>生涯教育”等。</w:t>
      </w:r>
      <w:hyperlink w:history="true" w:anchor="_bookmark37">
        <w:r>
          <w:rPr>
            <w:rFonts w:ascii="Times New Roman" w:hAnsi="Times New Roman" w:eastAsia="Times New Roman"/>
            <w:position w:val="8"/>
            <w:sz w:val="15"/>
          </w:rPr>
          <w:t>[1</w:t>
        </w:r>
      </w:hyperlink>
      <w:r>
        <w:rPr>
          <w:rFonts w:ascii="Times New Roman" w:hAnsi="Times New Roman" w:eastAsia="Times New Roman"/>
          <w:position w:val="8"/>
          <w:sz w:val="15"/>
        </w:rPr>
        <w:t>] </w:t>
      </w:r>
      <w:r>
        <w:rPr/>
        <w:t>不同的人在不同的环境下使用不同的术语，这些术语大多蕴含生涯指导（</w:t>
      </w:r>
      <w:r>
        <w:rPr>
          <w:rFonts w:ascii="Times New Roman" w:hAnsi="Times New Roman" w:eastAsia="Times New Roman"/>
        </w:rPr>
        <w:t>career guidance</w:t>
      </w:r>
      <w:r>
        <w:rPr/>
        <w:t>）</w:t>
      </w:r>
      <w:r>
        <w:rPr>
          <w:spacing w:val="1"/>
        </w:rPr>
        <w:t>或者生涯教育</w:t>
      </w:r>
      <w:r>
        <w:rPr/>
        <w:t>（</w:t>
      </w:r>
      <w:r>
        <w:rPr>
          <w:rFonts w:ascii="Times New Roman" w:hAnsi="Times New Roman" w:eastAsia="Times New Roman"/>
        </w:rPr>
        <w:t>career education</w:t>
      </w:r>
      <w:r>
        <w:rPr/>
        <w:t>）的思想，事实上，也难以在内涵上</w:t>
      </w:r>
      <w:r>
        <w:rPr>
          <w:spacing w:val="-14"/>
        </w:rPr>
        <w:t>对这些概念做出精确的区分。因此，为便于研究，本文一致使用“生涯规划教育” 这一术语来表达蕴含上述思想的概念。</w:t>
      </w:r>
    </w:p>
    <w:p>
      <w:pPr>
        <w:pStyle w:val="BodyText"/>
        <w:spacing w:line="364" w:lineRule="auto" w:before="5"/>
        <w:ind w:left="1320" w:right="1485" w:firstLine="480"/>
      </w:pPr>
      <w:r>
        <w:rPr>
          <w:spacing w:val="-4"/>
        </w:rPr>
        <w:t>随着研究者对生涯规划教育理论研究和实践探索的不断深化，在高中的教育</w:t>
      </w:r>
      <w:r>
        <w:rPr>
          <w:spacing w:val="-10"/>
        </w:rPr>
        <w:t>实践中，生涯规划教育的内涵也不断充实，它最初旨在指导学生探索自身和职业</w:t>
      </w:r>
      <w:r>
        <w:rPr>
          <w:spacing w:val="-12"/>
        </w:rPr>
        <w:t>的匹配度，帮助学生选择适合自己的职业；而后这种指导已经演变成一门包罗万</w:t>
      </w:r>
      <w:r>
        <w:rPr>
          <w:spacing w:val="-10"/>
        </w:rPr>
        <w:t>象、内容广泛的综合性教育项目，它通过生涯认知、生涯探索、生涯定向、生涯</w:t>
      </w:r>
      <w:r>
        <w:rPr>
          <w:spacing w:val="-11"/>
        </w:rPr>
        <w:t>准备、生涯成熟等学习步骤，使个体逐渐形成自我引导、自我发展、自我完善的</w:t>
      </w:r>
      <w:r>
        <w:rPr>
          <w:spacing w:val="-12"/>
        </w:rPr>
        <w:t>能力。从生涯规划教育的内容来看，这种指导试图建立在对人一生的规划之上， </w:t>
      </w:r>
      <w:r>
        <w:rPr>
          <w:spacing w:val="-7"/>
        </w:rPr>
        <w:t>不仅关注个人的职业，而且任何与生活、生命相关的活动都囊括其中，试图将整个人生与不同的职业世界相联系。</w:t>
      </w:r>
    </w:p>
    <w:p>
      <w:pPr>
        <w:pStyle w:val="ListParagraph"/>
        <w:numPr>
          <w:ilvl w:val="4"/>
          <w:numId w:val="3"/>
        </w:numPr>
        <w:tabs>
          <w:tab w:pos="2280" w:val="left" w:leader="none"/>
        </w:tabs>
        <w:spacing w:line="240" w:lineRule="auto" w:before="5" w:after="0"/>
        <w:ind w:left="2280" w:right="0" w:hanging="960"/>
        <w:jc w:val="left"/>
        <w:rPr>
          <w:sz w:val="24"/>
        </w:rPr>
      </w:pPr>
      <w:r>
        <w:rPr>
          <w:sz w:val="24"/>
        </w:rPr>
        <w:t>关于生涯规划教育实践经验的研究综述</w:t>
      </w:r>
    </w:p>
    <w:p>
      <w:pPr>
        <w:pStyle w:val="BodyText"/>
        <w:spacing w:line="364" w:lineRule="auto" w:before="160"/>
        <w:ind w:left="1320" w:right="1577" w:firstLine="480"/>
        <w:jc w:val="both"/>
      </w:pPr>
      <w:r>
        <w:rPr>
          <w:rFonts w:ascii="Times New Roman" w:hAnsi="Times New Roman" w:eastAsia="Times New Roman"/>
        </w:rPr>
        <w:t>20 </w:t>
      </w:r>
      <w:r>
        <w:rPr>
          <w:spacing w:val="-20"/>
        </w:rPr>
        <w:t>世纪 </w:t>
      </w:r>
      <w:r>
        <w:rPr>
          <w:rFonts w:ascii="Times New Roman" w:hAnsi="Times New Roman" w:eastAsia="Times New Roman"/>
        </w:rPr>
        <w:t>70 </w:t>
      </w:r>
      <w:r>
        <w:rPr>
          <w:spacing w:val="-6"/>
        </w:rPr>
        <w:t>年代，美国正式提出“生涯教育”后，英国、德国、加拿大、澳</w:t>
      </w:r>
      <w:r>
        <w:rPr>
          <w:spacing w:val="-9"/>
        </w:rPr>
        <w:t>大利亚、日本等各国纷纷展生涯规划教育。经政府、学校及社会各界的努力，发</w:t>
      </w:r>
      <w:r>
        <w:rPr>
          <w:spacing w:val="-7"/>
        </w:rPr>
        <w:t>达国家已经形成了较为成熟的、完备的生涯规划教育体系，为他国开展生涯规划</w:t>
      </w:r>
      <w:r>
        <w:rPr/>
        <w:t>教育提供了有益的经验。</w:t>
      </w:r>
    </w:p>
    <w:p>
      <w:pPr>
        <w:pStyle w:val="BodyText"/>
        <w:spacing w:before="3"/>
        <w:ind w:left="1800"/>
      </w:pPr>
      <w:r>
        <w:rPr/>
        <w:t>（1）生涯规划教育实施体系的系统性</w:t>
      </w:r>
    </w:p>
    <w:p>
      <w:pPr>
        <w:pStyle w:val="BodyText"/>
        <w:spacing w:line="364" w:lineRule="auto" w:before="160"/>
        <w:ind w:left="1320" w:right="1577" w:firstLine="480"/>
      </w:pPr>
      <w:r>
        <w:rPr>
          <w:spacing w:val="-11"/>
        </w:rPr>
        <w:t>系统性是指美国、加拿大、日本等发达国家的生涯规划教育充分融入基础教育，一直持续到大学阶段。如，美国的学生从接触学校教育开始，就会接受一定</w:t>
      </w:r>
    </w:p>
    <w:p>
      <w:pPr>
        <w:pStyle w:val="BodyText"/>
        <w:spacing w:before="4"/>
        <w:rPr>
          <w:sz w:val="28"/>
        </w:rPr>
      </w:pPr>
      <w:r>
        <w:rPr/>
        <w:pict>
          <v:shape style="position:absolute;margin-left:90pt;margin-top:20.128897pt;width:144pt;height:.1pt;mso-position-horizontal-relative:page;mso-position-vertical-relative:paragraph;z-index:-251636736;mso-wrap-distance-left:0;mso-wrap-distance-right:0" coordorigin="1800,403" coordsize="2880,0" path="m1800,403l4680,403e" filled="false" stroked="true" strokeweight="0pt" strokecolor="#000000">
            <v:path arrowok="t"/>
            <v:stroke dashstyle="solid"/>
            <w10:wrap type="topAndBottom"/>
          </v:shape>
        </w:pict>
      </w:r>
    </w:p>
    <w:p>
      <w:pPr>
        <w:spacing w:line="367" w:lineRule="auto" w:before="99"/>
        <w:ind w:left="1319" w:right="1488" w:firstLine="0"/>
        <w:jc w:val="left"/>
        <w:rPr>
          <w:sz w:val="18"/>
        </w:rPr>
      </w:pPr>
      <w:bookmarkStart w:name="_bookmark37" w:id="40"/>
      <w:bookmarkEnd w:id="40"/>
      <w:r>
        <w:rPr/>
      </w:r>
      <w:r>
        <w:rPr>
          <w:rFonts w:ascii="Times New Roman" w:hAnsi="Times New Roman" w:eastAsia="Times New Roman"/>
          <w:spacing w:val="-1"/>
          <w:w w:val="105"/>
          <w:position w:val="7"/>
          <w:sz w:val="13"/>
        </w:rPr>
        <w:t>[</w:t>
      </w:r>
      <w:r>
        <w:rPr>
          <w:rFonts w:ascii="Times New Roman" w:hAnsi="Times New Roman" w:eastAsia="Times New Roman"/>
          <w:spacing w:val="-2"/>
          <w:w w:val="105"/>
          <w:position w:val="7"/>
          <w:sz w:val="13"/>
        </w:rPr>
        <w:t>1</w:t>
      </w:r>
      <w:r>
        <w:rPr>
          <w:rFonts w:ascii="Times New Roman" w:hAnsi="Times New Roman" w:eastAsia="Times New Roman"/>
          <w:w w:val="105"/>
          <w:position w:val="7"/>
          <w:sz w:val="13"/>
        </w:rPr>
        <w:t>]</w:t>
      </w:r>
      <w:r>
        <w:rPr>
          <w:rFonts w:ascii="Times New Roman" w:hAnsi="Times New Roman" w:eastAsia="Times New Roman"/>
          <w:spacing w:val="-4"/>
          <w:position w:val="7"/>
          <w:sz w:val="13"/>
        </w:rPr>
        <w:t>   </w:t>
      </w:r>
      <w:r>
        <w:rPr>
          <w:spacing w:val="-3"/>
          <w:sz w:val="18"/>
        </w:rPr>
        <w:t>本研究在文献搜集时，将英文中涉及“</w:t>
      </w:r>
      <w:r>
        <w:rPr>
          <w:rFonts w:ascii="Times New Roman" w:hAnsi="Times New Roman" w:eastAsia="Times New Roman"/>
          <w:spacing w:val="-2"/>
          <w:sz w:val="18"/>
        </w:rPr>
        <w:t>v</w:t>
      </w:r>
      <w:r>
        <w:rPr>
          <w:rFonts w:ascii="Times New Roman" w:hAnsi="Times New Roman" w:eastAsia="Times New Roman"/>
          <w:spacing w:val="1"/>
          <w:sz w:val="18"/>
        </w:rPr>
        <w:t>o</w:t>
      </w:r>
      <w:r>
        <w:rPr>
          <w:rFonts w:ascii="Times New Roman" w:hAnsi="Times New Roman" w:eastAsia="Times New Roman"/>
          <w:spacing w:val="-1"/>
          <w:sz w:val="18"/>
        </w:rPr>
        <w:t>ca</w:t>
      </w:r>
      <w:r>
        <w:rPr>
          <w:rFonts w:ascii="Times New Roman" w:hAnsi="Times New Roman" w:eastAsia="Times New Roman"/>
          <w:sz w:val="18"/>
        </w:rPr>
        <w:t>ti</w:t>
      </w:r>
      <w:r>
        <w:rPr>
          <w:rFonts w:ascii="Times New Roman" w:hAnsi="Times New Roman" w:eastAsia="Times New Roman"/>
          <w:spacing w:val="1"/>
          <w:sz w:val="18"/>
        </w:rPr>
        <w:t>on</w:t>
      </w:r>
      <w:r>
        <w:rPr>
          <w:rFonts w:ascii="Times New Roman" w:hAnsi="Times New Roman" w:eastAsia="Times New Roman"/>
          <w:spacing w:val="-1"/>
          <w:sz w:val="18"/>
        </w:rPr>
        <w:t>a</w:t>
      </w:r>
      <w:r>
        <w:rPr>
          <w:rFonts w:ascii="Times New Roman" w:hAnsi="Times New Roman" w:eastAsia="Times New Roman"/>
          <w:sz w:val="18"/>
        </w:rPr>
        <w:t>l</w:t>
      </w:r>
      <w:r>
        <w:rPr>
          <w:rFonts w:ascii="Times New Roman" w:hAnsi="Times New Roman" w:eastAsia="Times New Roman"/>
          <w:spacing w:val="-2"/>
          <w:sz w:val="18"/>
        </w:rPr>
        <w:t> g</w:t>
      </w:r>
      <w:r>
        <w:rPr>
          <w:rFonts w:ascii="Times New Roman" w:hAnsi="Times New Roman" w:eastAsia="Times New Roman"/>
          <w:spacing w:val="1"/>
          <w:sz w:val="18"/>
        </w:rPr>
        <w:t>u</w:t>
      </w:r>
      <w:r>
        <w:rPr>
          <w:rFonts w:ascii="Times New Roman" w:hAnsi="Times New Roman" w:eastAsia="Times New Roman"/>
          <w:sz w:val="18"/>
        </w:rPr>
        <w:t>i</w:t>
      </w:r>
      <w:r>
        <w:rPr>
          <w:rFonts w:ascii="Times New Roman" w:hAnsi="Times New Roman" w:eastAsia="Times New Roman"/>
          <w:spacing w:val="1"/>
          <w:sz w:val="18"/>
        </w:rPr>
        <w:t>d</w:t>
      </w:r>
      <w:r>
        <w:rPr>
          <w:rFonts w:ascii="Times New Roman" w:hAnsi="Times New Roman" w:eastAsia="Times New Roman"/>
          <w:spacing w:val="-1"/>
          <w:sz w:val="18"/>
        </w:rPr>
        <w:t>a</w:t>
      </w:r>
      <w:r>
        <w:rPr>
          <w:rFonts w:ascii="Times New Roman" w:hAnsi="Times New Roman" w:eastAsia="Times New Roman"/>
          <w:spacing w:val="1"/>
          <w:sz w:val="18"/>
        </w:rPr>
        <w:t>n</w:t>
      </w:r>
      <w:r>
        <w:rPr>
          <w:rFonts w:ascii="Times New Roman" w:hAnsi="Times New Roman" w:eastAsia="Times New Roman"/>
          <w:spacing w:val="-1"/>
          <w:sz w:val="18"/>
        </w:rPr>
        <w:t>ce</w:t>
      </w:r>
      <w:r>
        <w:rPr>
          <w:spacing w:val="-14"/>
          <w:sz w:val="18"/>
        </w:rPr>
        <w:t>”、“</w:t>
      </w:r>
      <w:r>
        <w:rPr>
          <w:rFonts w:ascii="Times New Roman" w:hAnsi="Times New Roman" w:eastAsia="Times New Roman"/>
          <w:spacing w:val="-1"/>
          <w:sz w:val="18"/>
        </w:rPr>
        <w:t>ca</w:t>
      </w:r>
      <w:r>
        <w:rPr>
          <w:rFonts w:ascii="Times New Roman" w:hAnsi="Times New Roman" w:eastAsia="Times New Roman"/>
          <w:sz w:val="18"/>
        </w:rPr>
        <w:t>r</w:t>
      </w:r>
      <w:r>
        <w:rPr>
          <w:rFonts w:ascii="Times New Roman" w:hAnsi="Times New Roman" w:eastAsia="Times New Roman"/>
          <w:spacing w:val="-1"/>
          <w:sz w:val="18"/>
        </w:rPr>
        <w:t>e</w:t>
      </w:r>
      <w:r>
        <w:rPr>
          <w:rFonts w:ascii="Times New Roman" w:hAnsi="Times New Roman" w:eastAsia="Times New Roman"/>
          <w:spacing w:val="1"/>
          <w:sz w:val="18"/>
        </w:rPr>
        <w:t>e</w:t>
      </w:r>
      <w:r>
        <w:rPr>
          <w:rFonts w:ascii="Times New Roman" w:hAnsi="Times New Roman" w:eastAsia="Times New Roman"/>
          <w:sz w:val="18"/>
        </w:rPr>
        <w:t>r </w:t>
      </w:r>
      <w:r>
        <w:rPr>
          <w:rFonts w:ascii="Times New Roman" w:hAnsi="Times New Roman" w:eastAsia="Times New Roman"/>
          <w:spacing w:val="-2"/>
          <w:sz w:val="18"/>
        </w:rPr>
        <w:t>g</w:t>
      </w:r>
      <w:r>
        <w:rPr>
          <w:rFonts w:ascii="Times New Roman" w:hAnsi="Times New Roman" w:eastAsia="Times New Roman"/>
          <w:spacing w:val="1"/>
          <w:sz w:val="18"/>
        </w:rPr>
        <w:t>u</w:t>
      </w:r>
      <w:r>
        <w:rPr>
          <w:rFonts w:ascii="Times New Roman" w:hAnsi="Times New Roman" w:eastAsia="Times New Roman"/>
          <w:sz w:val="18"/>
        </w:rPr>
        <w:t>i</w:t>
      </w:r>
      <w:r>
        <w:rPr>
          <w:rFonts w:ascii="Times New Roman" w:hAnsi="Times New Roman" w:eastAsia="Times New Roman"/>
          <w:spacing w:val="-2"/>
          <w:sz w:val="18"/>
        </w:rPr>
        <w:t>d</w:t>
      </w:r>
      <w:r>
        <w:rPr>
          <w:rFonts w:ascii="Times New Roman" w:hAnsi="Times New Roman" w:eastAsia="Times New Roman"/>
          <w:spacing w:val="-1"/>
          <w:sz w:val="18"/>
        </w:rPr>
        <w:t>a</w:t>
      </w:r>
      <w:r>
        <w:rPr>
          <w:rFonts w:ascii="Times New Roman" w:hAnsi="Times New Roman" w:eastAsia="Times New Roman"/>
          <w:spacing w:val="1"/>
          <w:sz w:val="18"/>
        </w:rPr>
        <w:t>n</w:t>
      </w:r>
      <w:r>
        <w:rPr>
          <w:rFonts w:ascii="Times New Roman" w:hAnsi="Times New Roman" w:eastAsia="Times New Roman"/>
          <w:spacing w:val="-1"/>
          <w:sz w:val="18"/>
        </w:rPr>
        <w:t>ce</w:t>
      </w:r>
      <w:r>
        <w:rPr>
          <w:spacing w:val="-14"/>
          <w:sz w:val="18"/>
        </w:rPr>
        <w:t>”、“</w:t>
      </w:r>
      <w:r>
        <w:rPr>
          <w:rFonts w:ascii="Times New Roman" w:hAnsi="Times New Roman" w:eastAsia="Times New Roman"/>
          <w:spacing w:val="-1"/>
          <w:sz w:val="18"/>
        </w:rPr>
        <w:t>ca</w:t>
      </w:r>
      <w:r>
        <w:rPr>
          <w:rFonts w:ascii="Times New Roman" w:hAnsi="Times New Roman" w:eastAsia="Times New Roman"/>
          <w:sz w:val="18"/>
        </w:rPr>
        <w:t>r</w:t>
      </w:r>
      <w:r>
        <w:rPr>
          <w:rFonts w:ascii="Times New Roman" w:hAnsi="Times New Roman" w:eastAsia="Times New Roman"/>
          <w:spacing w:val="-1"/>
          <w:sz w:val="18"/>
        </w:rPr>
        <w:t>ee</w:t>
      </w:r>
      <w:r>
        <w:rPr>
          <w:rFonts w:ascii="Times New Roman" w:hAnsi="Times New Roman" w:eastAsia="Times New Roman"/>
          <w:sz w:val="18"/>
        </w:rPr>
        <w:t>r </w:t>
      </w:r>
      <w:r>
        <w:rPr>
          <w:rFonts w:ascii="Times New Roman" w:hAnsi="Times New Roman" w:eastAsia="Times New Roman"/>
          <w:spacing w:val="-1"/>
          <w:sz w:val="18"/>
        </w:rPr>
        <w:t>c</w:t>
      </w:r>
      <w:r>
        <w:rPr>
          <w:rFonts w:ascii="Times New Roman" w:hAnsi="Times New Roman" w:eastAsia="Times New Roman"/>
          <w:spacing w:val="1"/>
          <w:sz w:val="18"/>
        </w:rPr>
        <w:t>ou</w:t>
      </w:r>
      <w:r>
        <w:rPr>
          <w:rFonts w:ascii="Times New Roman" w:hAnsi="Times New Roman" w:eastAsia="Times New Roman"/>
          <w:spacing w:val="-2"/>
          <w:sz w:val="18"/>
        </w:rPr>
        <w:t>n</w:t>
      </w:r>
      <w:r>
        <w:rPr>
          <w:rFonts w:ascii="Times New Roman" w:hAnsi="Times New Roman" w:eastAsia="Times New Roman"/>
          <w:spacing w:val="-1"/>
          <w:sz w:val="18"/>
        </w:rPr>
        <w:t>se</w:t>
      </w:r>
      <w:r>
        <w:rPr>
          <w:rFonts w:ascii="Times New Roman" w:hAnsi="Times New Roman" w:eastAsia="Times New Roman"/>
          <w:sz w:val="18"/>
        </w:rPr>
        <w:t>li</w:t>
      </w:r>
      <w:r>
        <w:rPr>
          <w:rFonts w:ascii="Times New Roman" w:hAnsi="Times New Roman" w:eastAsia="Times New Roman"/>
          <w:spacing w:val="1"/>
          <w:sz w:val="18"/>
        </w:rPr>
        <w:t>n</w:t>
      </w:r>
      <w:r>
        <w:rPr>
          <w:rFonts w:ascii="Times New Roman" w:hAnsi="Times New Roman" w:eastAsia="Times New Roman"/>
          <w:spacing w:val="-4"/>
          <w:sz w:val="18"/>
        </w:rPr>
        <w:t>g</w:t>
      </w:r>
      <w:r>
        <w:rPr>
          <w:spacing w:val="-45"/>
          <w:sz w:val="18"/>
        </w:rPr>
        <w:t>”、 “</w:t>
      </w:r>
      <w:r>
        <w:rPr>
          <w:rFonts w:ascii="Times New Roman" w:hAnsi="Times New Roman" w:eastAsia="Times New Roman"/>
          <w:spacing w:val="-45"/>
          <w:sz w:val="18"/>
        </w:rPr>
        <w:t>career </w:t>
      </w:r>
      <w:r>
        <w:rPr>
          <w:rFonts w:ascii="Times New Roman" w:hAnsi="Times New Roman" w:eastAsia="Times New Roman"/>
          <w:sz w:val="18"/>
        </w:rPr>
        <w:t>education</w:t>
      </w:r>
      <w:r>
        <w:rPr>
          <w:sz w:val="18"/>
        </w:rPr>
        <w:t>”、“</w:t>
      </w:r>
      <w:r>
        <w:rPr>
          <w:rFonts w:ascii="Times New Roman" w:hAnsi="Times New Roman" w:eastAsia="Times New Roman"/>
          <w:sz w:val="18"/>
        </w:rPr>
        <w:t>career education and guidance</w:t>
      </w:r>
      <w:r>
        <w:rPr>
          <w:sz w:val="18"/>
        </w:rPr>
        <w:t>”均视为“生涯规划教育”的相关文献.</w:t>
      </w:r>
    </w:p>
    <w:p>
      <w:pPr>
        <w:spacing w:after="0" w:line="367" w:lineRule="auto"/>
        <w:jc w:val="left"/>
        <w:rPr>
          <w:sz w:val="18"/>
        </w:rPr>
        <w:sectPr>
          <w:pgSz w:w="11910" w:h="16840"/>
          <w:pgMar w:header="878" w:footer="1191" w:top="1300" w:bottom="1380" w:left="480" w:right="220"/>
        </w:sectPr>
      </w:pPr>
    </w:p>
    <w:p>
      <w:pPr>
        <w:pStyle w:val="BodyText"/>
        <w:spacing w:before="3"/>
        <w:rPr>
          <w:sz w:val="11"/>
        </w:rPr>
      </w:pPr>
    </w:p>
    <w:p>
      <w:pPr>
        <w:pStyle w:val="BodyText"/>
        <w:spacing w:line="364" w:lineRule="auto" w:before="66"/>
        <w:ind w:left="1319" w:right="1575"/>
        <w:jc w:val="both"/>
        <w:rPr>
          <w:rFonts w:ascii="Times New Roman" w:hAnsi="Times New Roman" w:eastAsia="Times New Roman"/>
          <w:sz w:val="15"/>
        </w:rPr>
      </w:pPr>
      <w:r>
        <w:rPr>
          <w:spacing w:val="-9"/>
        </w:rPr>
        <w:t>生涯规划教育。从幼儿园、小学、中学，直至大学，不同阶段各具特色的生涯规</w:t>
      </w:r>
      <w:r>
        <w:rPr/>
        <w:t>划教育构成了一个完整的体系。</w:t>
      </w:r>
      <w:hyperlink w:history="true" w:anchor="_bookmark38">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9"/>
        </w:rPr>
        <w:t>英国政府 </w:t>
      </w:r>
      <w:r>
        <w:rPr>
          <w:rFonts w:ascii="Times New Roman" w:hAnsi="Times New Roman" w:eastAsia="Times New Roman"/>
        </w:rPr>
        <w:t>2010 </w:t>
      </w:r>
      <w:r>
        <w:rPr/>
        <w:t>年最新颁布的《</w:t>
      </w:r>
      <w:r>
        <w:rPr>
          <w:rFonts w:ascii="Times New Roman" w:hAnsi="Times New Roman" w:eastAsia="Times New Roman"/>
        </w:rPr>
        <w:t>7-19 </w:t>
      </w:r>
      <w:r>
        <w:rPr/>
        <w:t>岁生涯教</w:t>
      </w:r>
      <w:r>
        <w:rPr>
          <w:spacing w:val="-5"/>
        </w:rPr>
        <w:t>育框架》中要求 </w:t>
      </w:r>
      <w:r>
        <w:rPr>
          <w:rFonts w:ascii="Times New Roman" w:hAnsi="Times New Roman" w:eastAsia="Times New Roman"/>
        </w:rPr>
        <w:t>7-19 </w:t>
      </w:r>
      <w:r>
        <w:rPr/>
        <w:t>岁的学生都必须接受生涯教育；日本从小学阶段直到大学</w:t>
      </w:r>
      <w:r>
        <w:rPr>
          <w:spacing w:val="-8"/>
        </w:rPr>
        <w:t>阶段均对学生进行相关的“出路指导”；加拿大生涯规划教育起源于美国，至今已经呈现出该国特色，该国的生涯规划教育始于小学阶段，深入而系统的生涯规</w:t>
      </w:r>
      <w:r>
        <w:rPr/>
        <w:t>划教育在中学及以后的阶段。</w:t>
      </w:r>
      <w:r>
        <w:rPr>
          <w:rFonts w:ascii="Times New Roman" w:hAnsi="Times New Roman" w:eastAsia="Times New Roman"/>
          <w:position w:val="8"/>
          <w:sz w:val="15"/>
        </w:rPr>
        <w:t>[</w:t>
      </w:r>
      <w:hyperlink w:history="true" w:anchor="_bookmark39">
        <w:r>
          <w:rPr>
            <w:rFonts w:ascii="Times New Roman" w:hAnsi="Times New Roman" w:eastAsia="Times New Roman"/>
            <w:position w:val="8"/>
            <w:sz w:val="15"/>
          </w:rPr>
          <w:t>2</w:t>
        </w:r>
      </w:hyperlink>
      <w:r>
        <w:rPr>
          <w:rFonts w:ascii="Times New Roman" w:hAnsi="Times New Roman" w:eastAsia="Times New Roman"/>
          <w:position w:val="8"/>
          <w:sz w:val="15"/>
        </w:rPr>
        <w:t>]</w:t>
      </w:r>
    </w:p>
    <w:p>
      <w:pPr>
        <w:pStyle w:val="ListParagraph"/>
        <w:numPr>
          <w:ilvl w:val="0"/>
          <w:numId w:val="4"/>
        </w:numPr>
        <w:tabs>
          <w:tab w:pos="2401" w:val="left" w:leader="none"/>
        </w:tabs>
        <w:spacing w:line="240" w:lineRule="auto" w:before="4" w:after="0"/>
        <w:ind w:left="2401" w:right="0" w:hanging="602"/>
        <w:jc w:val="left"/>
        <w:rPr>
          <w:rFonts w:ascii="Times New Roman" w:eastAsia="Times New Roman"/>
          <w:sz w:val="15"/>
        </w:rPr>
      </w:pPr>
      <w:r>
        <w:rPr>
          <w:sz w:val="24"/>
        </w:rPr>
        <w:t>生涯规划教育实施方式的多样化</w:t>
      </w:r>
      <w:r>
        <w:rPr>
          <w:rFonts w:ascii="Times New Roman" w:eastAsia="Times New Roman"/>
          <w:position w:val="8"/>
          <w:sz w:val="15"/>
        </w:rPr>
        <w:t>[</w:t>
      </w:r>
      <w:hyperlink w:history="true" w:anchor="_bookmark40">
        <w:r>
          <w:rPr>
            <w:rFonts w:ascii="Times New Roman" w:eastAsia="Times New Roman"/>
            <w:position w:val="8"/>
            <w:sz w:val="15"/>
          </w:rPr>
          <w:t>3</w:t>
        </w:r>
      </w:hyperlink>
      <w:r>
        <w:rPr>
          <w:rFonts w:ascii="Times New Roman" w:eastAsia="Times New Roman"/>
          <w:position w:val="8"/>
          <w:sz w:val="15"/>
        </w:rPr>
        <w:t>]</w:t>
      </w:r>
    </w:p>
    <w:p>
      <w:pPr>
        <w:pStyle w:val="BodyText"/>
        <w:spacing w:before="160"/>
        <w:ind w:left="1799"/>
      </w:pPr>
      <w:r>
        <w:rPr/>
        <w:t>多样化是指生涯规划教育利用多种形式开展，主要包括以下三种方式：</w:t>
      </w:r>
    </w:p>
    <w:p>
      <w:pPr>
        <w:pStyle w:val="BodyText"/>
        <w:spacing w:line="364" w:lineRule="auto" w:before="161"/>
        <w:ind w:left="1319" w:right="1577" w:firstLine="480"/>
        <w:jc w:val="both"/>
        <w:rPr>
          <w:rFonts w:ascii="Times New Roman" w:hAnsi="Times New Roman" w:eastAsia="Times New Roman"/>
          <w:sz w:val="15"/>
        </w:rPr>
      </w:pPr>
      <w:r>
        <w:rPr>
          <w:spacing w:val="-10"/>
        </w:rPr>
        <w:t>一是课堂教学。从国外开设的生涯规划教育课程来看，包括基础性较强的生</w:t>
      </w:r>
      <w:r>
        <w:rPr>
          <w:spacing w:val="-5"/>
        </w:rPr>
        <w:t>涯规划指导课程和专业性较强的生涯与技术教育课程。其中，基础性生涯规划指</w:t>
      </w:r>
      <w:r>
        <w:rPr>
          <w:spacing w:val="-8"/>
        </w:rPr>
        <w:t>导课程包括独立的“生涯规划教育课程”，以及在学科课程中渗透生涯规划教育</w:t>
      </w:r>
      <w:r>
        <w:rPr>
          <w:spacing w:val="-11"/>
        </w:rPr>
        <w:t>理念，间接指导学生的“生涯相关的学术课程”。如，美国的德克萨斯州在初中</w:t>
      </w:r>
      <w:r>
        <w:rPr/>
        <w:t>7-8</w:t>
      </w:r>
      <w:r>
        <w:rPr>
          <w:spacing w:val="-10"/>
        </w:rPr>
        <w:t> 年级开设了“生涯探索”、“生涯入门”，为高中开设了“生涯准备 </w:t>
      </w:r>
      <w:r>
        <w:rPr/>
        <w:t>1</w:t>
      </w:r>
      <w:r>
        <w:rPr>
          <w:spacing w:val="-6"/>
        </w:rPr>
        <w:t>”、</w:t>
      </w:r>
      <w:r>
        <w:rPr>
          <w:spacing w:val="-10"/>
        </w:rPr>
        <w:t>“生涯准备 </w:t>
      </w:r>
      <w:r>
        <w:rPr/>
        <w:t>2”和“问题与解决”三门课程。</w:t>
      </w:r>
      <w:r>
        <w:rPr>
          <w:rFonts w:ascii="Times New Roman" w:hAnsi="Times New Roman" w:eastAsia="Times New Roman"/>
          <w:position w:val="8"/>
          <w:sz w:val="15"/>
        </w:rPr>
        <w:t>[</w:t>
      </w:r>
      <w:hyperlink w:history="true" w:anchor="_bookmark41">
        <w:r>
          <w:rPr>
            <w:rFonts w:ascii="Times New Roman" w:hAnsi="Times New Roman" w:eastAsia="Times New Roman"/>
            <w:position w:val="8"/>
            <w:sz w:val="15"/>
          </w:rPr>
          <w:t>4</w:t>
        </w:r>
      </w:hyperlink>
      <w:r>
        <w:rPr>
          <w:rFonts w:ascii="Times New Roman" w:hAnsi="Times New Roman" w:eastAsia="Times New Roman"/>
          <w:position w:val="8"/>
          <w:sz w:val="15"/>
        </w:rPr>
        <w:t>]</w:t>
      </w:r>
    </w:p>
    <w:p>
      <w:pPr>
        <w:pStyle w:val="BodyText"/>
        <w:spacing w:line="364" w:lineRule="auto" w:before="3"/>
        <w:ind w:left="1319" w:right="1485" w:firstLine="480"/>
        <w:rPr>
          <w:rFonts w:ascii="Times New Roman" w:hAnsi="Times New Roman" w:eastAsia="Times New Roman"/>
          <w:sz w:val="15"/>
        </w:rPr>
      </w:pPr>
      <w:r>
        <w:rPr>
          <w:spacing w:val="-1"/>
        </w:rPr>
        <w:t>二是生涯体验活动。生涯体验活动的类型丰富，依据体验情境的真实与否， </w:t>
      </w:r>
      <w:r>
        <w:rPr>
          <w:spacing w:val="-2"/>
        </w:rPr>
        <w:t>可分为直接体验和间接体验。</w:t>
      </w:r>
      <w:hyperlink w:history="true" w:anchor="_bookmark42">
        <w:r>
          <w:rPr>
            <w:rFonts w:ascii="Times New Roman" w:hAnsi="Times New Roman" w:eastAsia="Times New Roman"/>
            <w:position w:val="8"/>
            <w:sz w:val="15"/>
          </w:rPr>
          <w:t>[5</w:t>
        </w:r>
      </w:hyperlink>
      <w:r>
        <w:rPr>
          <w:rFonts w:ascii="Times New Roman" w:hAnsi="Times New Roman" w:eastAsia="Times New Roman"/>
          <w:position w:val="8"/>
          <w:sz w:val="15"/>
        </w:rPr>
        <w:t>]</w:t>
      </w:r>
      <w:r>
        <w:rPr>
          <w:spacing w:val="-1"/>
        </w:rPr>
        <w:t>直接体验引导学生有计划地参与社会实践、社会</w:t>
      </w:r>
      <w:r>
        <w:rPr>
          <w:spacing w:val="-11"/>
        </w:rPr>
        <w:t>调查、工作实习等，让学生在实践中了解世界，增进对职业的认识及培养职业技</w:t>
      </w:r>
      <w:r>
        <w:rPr>
          <w:spacing w:val="-10"/>
        </w:rPr>
        <w:t>能；间接体验指通过学校或者社会机构等创设的模拟情境，让学生在模拟活动中</w:t>
      </w:r>
      <w:r>
        <w:rPr>
          <w:spacing w:val="-13"/>
        </w:rPr>
        <w:t>间接体验职业。其中，“职业日”、讲座、参观活动，是几乎所有发达国家都提</w:t>
      </w:r>
      <w:r>
        <w:rPr>
          <w:spacing w:val="-16"/>
        </w:rPr>
        <w:t>及的生涯规划教育实施方式。如，职场体验活动是较有日本特色的教育活动，包括角色互换和职场体验。</w:t>
      </w:r>
      <w:r>
        <w:rPr>
          <w:rFonts w:ascii="Times New Roman" w:hAnsi="Times New Roman" w:eastAsia="Times New Roman"/>
          <w:position w:val="8"/>
          <w:sz w:val="15"/>
        </w:rPr>
        <w:t>[</w:t>
      </w:r>
      <w:hyperlink w:history="true" w:anchor="_bookmark43">
        <w:r>
          <w:rPr>
            <w:rFonts w:ascii="Times New Roman" w:hAnsi="Times New Roman" w:eastAsia="Times New Roman"/>
            <w:position w:val="8"/>
            <w:sz w:val="15"/>
          </w:rPr>
          <w:t>6</w:t>
        </w:r>
      </w:hyperlink>
      <w:r>
        <w:rPr>
          <w:rFonts w:ascii="Times New Roman" w:hAnsi="Times New Roman" w:eastAsia="Times New Roman"/>
          <w:position w:val="8"/>
          <w:sz w:val="15"/>
        </w:rPr>
        <w:t>]</w:t>
      </w:r>
      <w:r>
        <w:rPr>
          <w:spacing w:val="-2"/>
        </w:rPr>
        <w:t>美国中小学经常组织学生到工厂、医院、公司等现场进行参观。</w:t>
      </w:r>
      <w:r>
        <w:rPr>
          <w:rFonts w:ascii="Times New Roman" w:hAnsi="Times New Roman" w:eastAsia="Times New Roman"/>
          <w:spacing w:val="-2"/>
          <w:position w:val="8"/>
          <w:sz w:val="15"/>
        </w:rPr>
        <w:t>[</w:t>
      </w:r>
      <w:hyperlink w:history="true" w:anchor="_bookmark44">
        <w:r>
          <w:rPr>
            <w:rFonts w:ascii="Times New Roman" w:hAnsi="Times New Roman" w:eastAsia="Times New Roman"/>
            <w:spacing w:val="-2"/>
            <w:position w:val="8"/>
            <w:sz w:val="15"/>
          </w:rPr>
          <w:t>7</w:t>
        </w:r>
      </w:hyperlink>
      <w:r>
        <w:rPr>
          <w:rFonts w:ascii="Times New Roman" w:hAnsi="Times New Roman" w:eastAsia="Times New Roman"/>
          <w:spacing w:val="-2"/>
          <w:position w:val="8"/>
          <w:sz w:val="15"/>
        </w:rPr>
        <w:t>]</w:t>
      </w:r>
    </w:p>
    <w:p>
      <w:pPr>
        <w:pStyle w:val="BodyText"/>
        <w:spacing w:before="5"/>
        <w:ind w:left="1799"/>
      </w:pPr>
      <w:r>
        <w:rPr/>
        <w:t>三是个性化的生涯指导。针对学生个体差异给予个性化指导。美国、英国、</w:t>
      </w:r>
    </w:p>
    <w:p>
      <w:pPr>
        <w:pStyle w:val="BodyText"/>
        <w:spacing w:before="8"/>
        <w:rPr>
          <w:sz w:val="17"/>
        </w:rPr>
      </w:pPr>
      <w:r>
        <w:rPr/>
        <w:pict>
          <v:shape style="position:absolute;margin-left:90pt;margin-top:13.281485pt;width:144pt;height:.1pt;mso-position-horizontal-relative:page;mso-position-vertical-relative:paragraph;z-index:-251635712;mso-wrap-distance-left:0;mso-wrap-distance-right:0" coordorigin="1800,266" coordsize="2880,0" path="m1800,266l4680,266e" filled="false" stroked="true" strokeweight="0pt" strokecolor="#000000">
            <v:path arrowok="t"/>
            <v:stroke dashstyle="solid"/>
            <w10:wrap type="topAndBottom"/>
          </v:shape>
        </w:pict>
      </w:r>
    </w:p>
    <w:p>
      <w:pPr>
        <w:spacing w:before="99"/>
        <w:ind w:left="1320" w:right="0" w:firstLine="0"/>
        <w:jc w:val="left"/>
        <w:rPr>
          <w:rFonts w:ascii="Times New Roman" w:eastAsia="Times New Roman"/>
          <w:sz w:val="18"/>
        </w:rPr>
      </w:pPr>
      <w:bookmarkStart w:name="_bookmark38" w:id="41"/>
      <w:bookmarkEnd w:id="41"/>
      <w:r>
        <w:rPr/>
      </w:r>
      <w:r>
        <w:rPr>
          <w:rFonts w:ascii="Times New Roman" w:eastAsia="Times New Roman"/>
          <w:position w:val="7"/>
          <w:sz w:val="13"/>
        </w:rPr>
        <w:t>[1] </w:t>
      </w:r>
      <w:r>
        <w:rPr>
          <w:sz w:val="18"/>
        </w:rPr>
        <w:t>王政忠</w:t>
      </w:r>
      <w:r>
        <w:rPr>
          <w:rFonts w:ascii="Times New Roman" w:eastAsia="Times New Roman"/>
          <w:sz w:val="18"/>
        </w:rPr>
        <w:t>.</w:t>
      </w:r>
      <w:r>
        <w:rPr>
          <w:sz w:val="18"/>
        </w:rPr>
        <w:t>美国学校职业生涯教育及启示</w:t>
      </w:r>
      <w:r>
        <w:rPr>
          <w:rFonts w:ascii="Times New Roman" w:eastAsia="Times New Roman"/>
          <w:sz w:val="18"/>
        </w:rPr>
        <w:t>.[J].</w:t>
      </w:r>
      <w:r>
        <w:rPr>
          <w:sz w:val="18"/>
        </w:rPr>
        <w:t>法制与社会，</w:t>
      </w:r>
      <w:r>
        <w:rPr>
          <w:rFonts w:ascii="Times New Roman" w:eastAsia="Times New Roman"/>
          <w:sz w:val="18"/>
        </w:rPr>
        <w:t>2007</w:t>
      </w:r>
      <w:r>
        <w:rPr>
          <w:sz w:val="18"/>
        </w:rPr>
        <w:t>（</w:t>
      </w:r>
      <w:r>
        <w:rPr>
          <w:rFonts w:ascii="Times New Roman" w:eastAsia="Times New Roman"/>
          <w:sz w:val="18"/>
        </w:rPr>
        <w:t>7</w:t>
      </w:r>
      <w:r>
        <w:rPr>
          <w:sz w:val="18"/>
        </w:rPr>
        <w:t>）：</w:t>
      </w:r>
      <w:r>
        <w:rPr>
          <w:rFonts w:ascii="Times New Roman" w:eastAsia="Times New Roman"/>
          <w:sz w:val="18"/>
        </w:rPr>
        <w:t>617.</w:t>
      </w:r>
    </w:p>
    <w:p>
      <w:pPr>
        <w:spacing w:before="126"/>
        <w:ind w:left="1320" w:right="0" w:firstLine="0"/>
        <w:jc w:val="left"/>
        <w:rPr>
          <w:rFonts w:ascii="Times New Roman" w:eastAsia="Times New Roman"/>
          <w:sz w:val="18"/>
        </w:rPr>
      </w:pPr>
      <w:bookmarkStart w:name="_bookmark39" w:id="42"/>
      <w:bookmarkEnd w:id="42"/>
      <w:r>
        <w:rPr/>
      </w:r>
      <w:r>
        <w:rPr>
          <w:rFonts w:ascii="Times New Roman" w:eastAsia="Times New Roman"/>
          <w:position w:val="7"/>
          <w:sz w:val="13"/>
        </w:rPr>
        <w:t>[2] </w:t>
      </w:r>
      <w:r>
        <w:rPr>
          <w:sz w:val="18"/>
        </w:rPr>
        <w:t>张晓露</w:t>
      </w:r>
      <w:r>
        <w:rPr>
          <w:rFonts w:ascii="Times New Roman" w:eastAsia="Times New Roman"/>
          <w:sz w:val="18"/>
        </w:rPr>
        <w:t>.</w:t>
      </w:r>
      <w:r>
        <w:rPr>
          <w:sz w:val="18"/>
        </w:rPr>
        <w:t>加拿大：从小学到大学的职业生涯教育链</w:t>
      </w:r>
      <w:r>
        <w:rPr>
          <w:rFonts w:ascii="Times New Roman" w:eastAsia="Times New Roman"/>
          <w:sz w:val="18"/>
        </w:rPr>
        <w:t>.[J].</w:t>
      </w:r>
      <w:r>
        <w:rPr>
          <w:sz w:val="18"/>
        </w:rPr>
        <w:t>上海教育，</w:t>
      </w:r>
      <w:r>
        <w:rPr>
          <w:rFonts w:ascii="Times New Roman" w:eastAsia="Times New Roman"/>
          <w:sz w:val="18"/>
        </w:rPr>
        <w:t>2014</w:t>
      </w:r>
      <w:r>
        <w:rPr>
          <w:sz w:val="18"/>
        </w:rPr>
        <w:t>（</w:t>
      </w:r>
      <w:r>
        <w:rPr>
          <w:rFonts w:ascii="Times New Roman" w:eastAsia="Times New Roman"/>
          <w:sz w:val="18"/>
        </w:rPr>
        <w:t>29</w:t>
      </w:r>
      <w:r>
        <w:rPr>
          <w:sz w:val="18"/>
        </w:rPr>
        <w:t>）：</w:t>
      </w:r>
      <w:r>
        <w:rPr>
          <w:rFonts w:ascii="Times New Roman" w:eastAsia="Times New Roman"/>
          <w:sz w:val="18"/>
        </w:rPr>
        <w:t>31-35.</w:t>
      </w:r>
    </w:p>
    <w:p>
      <w:pPr>
        <w:spacing w:before="127"/>
        <w:ind w:left="1320" w:right="0" w:firstLine="0"/>
        <w:jc w:val="left"/>
        <w:rPr>
          <w:rFonts w:ascii="Times New Roman" w:eastAsia="Times New Roman"/>
          <w:sz w:val="18"/>
        </w:rPr>
      </w:pPr>
      <w:bookmarkStart w:name="_bookmark40" w:id="43"/>
      <w:bookmarkEnd w:id="43"/>
      <w:r>
        <w:rPr/>
      </w:r>
      <w:r>
        <w:rPr>
          <w:rFonts w:ascii="Times New Roman" w:eastAsia="Times New Roman"/>
          <w:position w:val="7"/>
          <w:sz w:val="13"/>
        </w:rPr>
        <w:t>[3] </w:t>
      </w:r>
      <w:r>
        <w:rPr>
          <w:sz w:val="18"/>
        </w:rPr>
        <w:t>邓宏宝</w:t>
      </w:r>
      <w:r>
        <w:rPr>
          <w:rFonts w:ascii="Times New Roman" w:eastAsia="Times New Roman"/>
          <w:sz w:val="18"/>
        </w:rPr>
        <w:t>.</w:t>
      </w:r>
      <w:r>
        <w:rPr>
          <w:sz w:val="18"/>
        </w:rPr>
        <w:t>国外中学生生涯教育课程实施：经验与启示</w:t>
      </w:r>
      <w:r>
        <w:rPr>
          <w:rFonts w:ascii="Times New Roman" w:eastAsia="Times New Roman"/>
          <w:sz w:val="18"/>
        </w:rPr>
        <w:t>.[J].</w:t>
      </w:r>
      <w:r>
        <w:rPr>
          <w:sz w:val="18"/>
        </w:rPr>
        <w:t>外国中小学教育，</w:t>
      </w:r>
      <w:r>
        <w:rPr>
          <w:rFonts w:ascii="Times New Roman" w:eastAsia="Times New Roman"/>
          <w:sz w:val="18"/>
        </w:rPr>
        <w:t>2013</w:t>
      </w:r>
      <w:r>
        <w:rPr>
          <w:sz w:val="18"/>
        </w:rPr>
        <w:t>（</w:t>
      </w:r>
      <w:r>
        <w:rPr>
          <w:rFonts w:ascii="Times New Roman" w:eastAsia="Times New Roman"/>
          <w:sz w:val="18"/>
        </w:rPr>
        <w:t>10</w:t>
      </w:r>
      <w:r>
        <w:rPr>
          <w:sz w:val="18"/>
        </w:rPr>
        <w:t>）：</w:t>
      </w:r>
      <w:r>
        <w:rPr>
          <w:rFonts w:ascii="Times New Roman" w:eastAsia="Times New Roman"/>
          <w:sz w:val="18"/>
        </w:rPr>
        <w:t>26.</w:t>
      </w:r>
    </w:p>
    <w:p>
      <w:pPr>
        <w:spacing w:line="388" w:lineRule="auto" w:before="125"/>
        <w:ind w:left="1320" w:right="1485" w:firstLine="0"/>
        <w:jc w:val="left"/>
        <w:rPr>
          <w:rFonts w:ascii="Times New Roman"/>
          <w:sz w:val="18"/>
        </w:rPr>
      </w:pPr>
      <w:bookmarkStart w:name="_bookmark41" w:id="44"/>
      <w:bookmarkEnd w:id="44"/>
      <w:r>
        <w:rPr/>
      </w:r>
      <w:r>
        <w:rPr>
          <w:rFonts w:ascii="Times New Roman"/>
          <w:position w:val="7"/>
          <w:sz w:val="13"/>
        </w:rPr>
        <w:t>[4] </w:t>
      </w:r>
      <w:r>
        <w:rPr>
          <w:rFonts w:ascii="Times New Roman"/>
          <w:sz w:val="18"/>
        </w:rPr>
        <w:t>The Texas Education Agency.Chapter 127. Texas Essential Knowledge and Skills for Career Development Subchapter B. High School.[EB/OL]</w:t>
      </w:r>
      <w:hyperlink r:id="rId19">
        <w:r>
          <w:rPr>
            <w:rFonts w:ascii="Times New Roman"/>
            <w:sz w:val="18"/>
          </w:rPr>
          <w:t>.http://ritter.tea.state.tx.us/rules/tac/chapter127/ch127b.html.2015-6-10.</w:t>
        </w:r>
      </w:hyperlink>
    </w:p>
    <w:p>
      <w:pPr>
        <w:spacing w:line="222" w:lineRule="exact" w:before="0"/>
        <w:ind w:left="1320" w:right="0" w:firstLine="0"/>
        <w:jc w:val="left"/>
        <w:rPr>
          <w:rFonts w:ascii="Times New Roman" w:eastAsia="Times New Roman"/>
          <w:sz w:val="18"/>
        </w:rPr>
      </w:pPr>
      <w:bookmarkStart w:name="_bookmark42" w:id="45"/>
      <w:bookmarkEnd w:id="45"/>
      <w:r>
        <w:rPr/>
      </w:r>
      <w:r>
        <w:rPr>
          <w:rFonts w:ascii="Times New Roman" w:eastAsia="Times New Roman"/>
          <w:position w:val="7"/>
          <w:sz w:val="13"/>
        </w:rPr>
        <w:t>[5] </w:t>
      </w:r>
      <w:r>
        <w:rPr>
          <w:sz w:val="18"/>
        </w:rPr>
        <w:t>张瑜</w:t>
      </w:r>
      <w:r>
        <w:rPr>
          <w:rFonts w:ascii="Times New Roman" w:eastAsia="Times New Roman"/>
          <w:sz w:val="18"/>
        </w:rPr>
        <w:t>.</w:t>
      </w:r>
      <w:r>
        <w:rPr>
          <w:sz w:val="18"/>
        </w:rPr>
        <w:t>体验学习：关注学生生命在场的学习方式</w:t>
      </w:r>
      <w:r>
        <w:rPr>
          <w:rFonts w:ascii="Times New Roman" w:eastAsia="Times New Roman"/>
          <w:sz w:val="18"/>
        </w:rPr>
        <w:t>.[D].</w:t>
      </w:r>
      <w:r>
        <w:rPr>
          <w:sz w:val="18"/>
        </w:rPr>
        <w:t>扬州市：扬州大学硕士论文，</w:t>
      </w:r>
      <w:r>
        <w:rPr>
          <w:rFonts w:ascii="Times New Roman" w:eastAsia="Times New Roman"/>
          <w:sz w:val="18"/>
        </w:rPr>
        <w:t>2011</w:t>
      </w:r>
      <w:r>
        <w:rPr>
          <w:sz w:val="18"/>
        </w:rPr>
        <w:t>：</w:t>
      </w:r>
      <w:r>
        <w:rPr>
          <w:rFonts w:ascii="Times New Roman" w:eastAsia="Times New Roman"/>
          <w:sz w:val="18"/>
        </w:rPr>
        <w:t>71.</w:t>
      </w:r>
    </w:p>
    <w:p>
      <w:pPr>
        <w:spacing w:before="128"/>
        <w:ind w:left="1320" w:right="0" w:firstLine="0"/>
        <w:jc w:val="left"/>
        <w:rPr>
          <w:rFonts w:ascii="Times New Roman" w:eastAsia="Times New Roman"/>
          <w:sz w:val="18"/>
        </w:rPr>
      </w:pPr>
      <w:bookmarkStart w:name="_bookmark43" w:id="46"/>
      <w:bookmarkEnd w:id="46"/>
      <w:r>
        <w:rPr/>
      </w:r>
      <w:r>
        <w:rPr>
          <w:rFonts w:ascii="Times New Roman" w:eastAsia="Times New Roman"/>
          <w:position w:val="7"/>
          <w:sz w:val="13"/>
        </w:rPr>
        <w:t>[6] </w:t>
      </w:r>
      <w:r>
        <w:rPr>
          <w:sz w:val="18"/>
        </w:rPr>
        <w:t>韩晓玥</w:t>
      </w:r>
      <w:r>
        <w:rPr>
          <w:rFonts w:ascii="Times New Roman" w:eastAsia="Times New Roman"/>
          <w:sz w:val="18"/>
        </w:rPr>
        <w:t>.</w:t>
      </w:r>
      <w:r>
        <w:rPr>
          <w:sz w:val="18"/>
        </w:rPr>
        <w:t>日本普通高中学生职业生涯教育研究</w:t>
      </w:r>
      <w:r>
        <w:rPr>
          <w:rFonts w:ascii="Times New Roman" w:eastAsia="Times New Roman"/>
          <w:sz w:val="18"/>
        </w:rPr>
        <w:t>[D].</w:t>
      </w:r>
      <w:r>
        <w:rPr>
          <w:sz w:val="18"/>
        </w:rPr>
        <w:t>大连</w:t>
      </w:r>
      <w:r>
        <w:rPr>
          <w:rFonts w:ascii="Times New Roman" w:eastAsia="Times New Roman"/>
          <w:sz w:val="18"/>
        </w:rPr>
        <w:t>:</w:t>
      </w:r>
      <w:r>
        <w:rPr>
          <w:sz w:val="18"/>
        </w:rPr>
        <w:t>辽宁师范大学硕士论文，</w:t>
      </w:r>
      <w:r>
        <w:rPr>
          <w:rFonts w:ascii="Times New Roman" w:eastAsia="Times New Roman"/>
          <w:sz w:val="18"/>
        </w:rPr>
        <w:t>2009</w:t>
      </w:r>
      <w:r>
        <w:rPr>
          <w:sz w:val="18"/>
        </w:rPr>
        <w:t>（</w:t>
      </w:r>
      <w:r>
        <w:rPr>
          <w:rFonts w:ascii="Times New Roman" w:eastAsia="Times New Roman"/>
          <w:sz w:val="18"/>
        </w:rPr>
        <w:t>5</w:t>
      </w:r>
      <w:r>
        <w:rPr>
          <w:sz w:val="18"/>
        </w:rPr>
        <w:t>）：</w:t>
      </w:r>
      <w:r>
        <w:rPr>
          <w:rFonts w:ascii="Times New Roman" w:eastAsia="Times New Roman"/>
          <w:sz w:val="18"/>
        </w:rPr>
        <w:t>21.</w:t>
      </w:r>
    </w:p>
    <w:p>
      <w:pPr>
        <w:spacing w:before="128"/>
        <w:ind w:left="1320" w:right="0" w:firstLine="0"/>
        <w:jc w:val="left"/>
        <w:rPr>
          <w:rFonts w:ascii="Times New Roman" w:eastAsia="Times New Roman"/>
          <w:sz w:val="18"/>
        </w:rPr>
      </w:pPr>
      <w:bookmarkStart w:name="_bookmark44" w:id="47"/>
      <w:bookmarkEnd w:id="47"/>
      <w:r>
        <w:rPr/>
      </w:r>
      <w:r>
        <w:rPr>
          <w:rFonts w:ascii="Times New Roman" w:eastAsia="Times New Roman"/>
          <w:position w:val="7"/>
          <w:sz w:val="13"/>
        </w:rPr>
        <w:t>[7] </w:t>
      </w:r>
      <w:r>
        <w:rPr>
          <w:sz w:val="18"/>
        </w:rPr>
        <w:t>于 珍</w:t>
      </w:r>
      <w:r>
        <w:rPr>
          <w:rFonts w:ascii="Times New Roman" w:eastAsia="Times New Roman"/>
          <w:sz w:val="18"/>
        </w:rPr>
        <w:t>.</w:t>
      </w:r>
      <w:r>
        <w:rPr>
          <w:sz w:val="18"/>
        </w:rPr>
        <w:t>中小学职业生涯教育</w:t>
      </w:r>
      <w:r>
        <w:rPr>
          <w:rFonts w:ascii="Times New Roman" w:eastAsia="Times New Roman"/>
          <w:sz w:val="18"/>
        </w:rPr>
        <w:t>:</w:t>
      </w:r>
      <w:r>
        <w:rPr>
          <w:sz w:val="18"/>
        </w:rPr>
        <w:t>来自美国的经验与启示</w:t>
      </w:r>
      <w:r>
        <w:rPr>
          <w:rFonts w:ascii="Times New Roman" w:eastAsia="Times New Roman"/>
          <w:sz w:val="18"/>
        </w:rPr>
        <w:t>[J].</w:t>
      </w:r>
      <w:r>
        <w:rPr>
          <w:sz w:val="18"/>
        </w:rPr>
        <w:t>外国中小学教育，</w:t>
      </w:r>
      <w:r>
        <w:rPr>
          <w:rFonts w:ascii="Times New Roman" w:eastAsia="Times New Roman"/>
          <w:sz w:val="18"/>
        </w:rPr>
        <w:t>2008</w:t>
      </w:r>
      <w:r>
        <w:rPr>
          <w:sz w:val="18"/>
        </w:rPr>
        <w:t>（</w:t>
      </w:r>
      <w:r>
        <w:rPr>
          <w:rFonts w:ascii="Times New Roman" w:eastAsia="Times New Roman"/>
          <w:sz w:val="18"/>
        </w:rPr>
        <w:t>3</w:t>
      </w:r>
      <w:r>
        <w:rPr>
          <w:sz w:val="18"/>
        </w:rPr>
        <w:t>）：</w:t>
      </w:r>
      <w:r>
        <w:rPr>
          <w:rFonts w:ascii="Times New Roman" w:eastAsia="Times New Roman"/>
          <w:sz w:val="18"/>
        </w:rPr>
        <w:t>52-55.</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455"/>
        <w:rPr>
          <w:rFonts w:ascii="Times New Roman" w:eastAsia="Times New Roman"/>
          <w:sz w:val="15"/>
        </w:rPr>
      </w:pPr>
      <w:r>
        <w:rPr>
          <w:spacing w:val="-9"/>
        </w:rPr>
        <w:t>日本、澳大利亚等国家的大部分学校都设置了专门的生涯指导机构，并配备专门</w:t>
      </w:r>
      <w:r>
        <w:rPr>
          <w:spacing w:val="-13"/>
        </w:rPr>
        <w:t>生涯指导教师，有针对性地实施个别指导，为学生解疑答惑，指导学生做好生涯</w:t>
      </w:r>
      <w:r>
        <w:rPr>
          <w:spacing w:val="-15"/>
        </w:rPr>
        <w:t>规划。如，美国犹他州的全面咨询和指导项目，利用学生教育职业计划</w:t>
      </w:r>
      <w:r>
        <w:rPr>
          <w:spacing w:val="-3"/>
        </w:rPr>
        <w:t>（</w:t>
      </w:r>
      <w:r>
        <w:rPr>
          <w:rFonts w:ascii="Times New Roman" w:eastAsia="Times New Roman"/>
          <w:spacing w:val="-3"/>
        </w:rPr>
        <w:t>SEOPs</w:t>
      </w:r>
      <w:r>
        <w:rPr>
          <w:spacing w:val="-3"/>
        </w:rPr>
        <w:t>） </w:t>
      </w:r>
      <w:r>
        <w:rPr>
          <w:spacing w:val="-8"/>
        </w:rPr>
        <w:t>为学校辅导员提供模板，通过 </w:t>
      </w:r>
      <w:r>
        <w:rPr>
          <w:rFonts w:ascii="Times New Roman" w:eastAsia="Times New Roman"/>
        </w:rPr>
        <w:t>SEOP </w:t>
      </w:r>
      <w:r>
        <w:rPr>
          <w:spacing w:val="-7"/>
        </w:rPr>
        <w:t>过程，辅导员确定满足每个学生的兴趣，能力和目标的发展途径。</w:t>
      </w:r>
      <w:r>
        <w:rPr>
          <w:rFonts w:ascii="Times New Roman" w:eastAsia="Times New Roman"/>
          <w:spacing w:val="-7"/>
          <w:position w:val="8"/>
          <w:sz w:val="15"/>
        </w:rPr>
        <w:t>[</w:t>
      </w:r>
      <w:hyperlink w:history="true" w:anchor="_bookmark45">
        <w:r>
          <w:rPr>
            <w:rFonts w:ascii="Times New Roman" w:eastAsia="Times New Roman"/>
            <w:spacing w:val="-7"/>
            <w:position w:val="8"/>
            <w:sz w:val="15"/>
          </w:rPr>
          <w:t>1</w:t>
        </w:r>
      </w:hyperlink>
      <w:r>
        <w:rPr>
          <w:rFonts w:ascii="Times New Roman" w:eastAsia="Times New Roman"/>
          <w:spacing w:val="-7"/>
          <w:position w:val="8"/>
          <w:sz w:val="15"/>
        </w:rPr>
        <w:t>]</w:t>
      </w:r>
    </w:p>
    <w:p>
      <w:pPr>
        <w:pStyle w:val="BodyText"/>
        <w:spacing w:before="3"/>
        <w:ind w:left="1800"/>
      </w:pPr>
      <w:r>
        <w:rPr/>
        <w:t>（3）生涯规划教育实施保障的多元化</w:t>
      </w:r>
    </w:p>
    <w:p>
      <w:pPr>
        <w:pStyle w:val="BodyText"/>
        <w:spacing w:line="364" w:lineRule="auto" w:before="160"/>
        <w:ind w:left="1319" w:right="1485" w:firstLine="480"/>
      </w:pPr>
      <w:r>
        <w:rPr>
          <w:spacing w:val="-2"/>
        </w:rPr>
        <w:t>为保障生涯规划教育的顺利开展，美国</w:t>
      </w:r>
      <w:r>
        <w:rPr>
          <w:rFonts w:ascii="Times New Roman" w:eastAsia="Times New Roman"/>
          <w:position w:val="8"/>
          <w:sz w:val="15"/>
        </w:rPr>
        <w:t>[</w:t>
      </w:r>
      <w:hyperlink w:history="true" w:anchor="_bookmark46">
        <w:r>
          <w:rPr>
            <w:rFonts w:ascii="Times New Roman" w:eastAsia="Times New Roman"/>
            <w:position w:val="8"/>
            <w:sz w:val="15"/>
          </w:rPr>
          <w:t>2</w:t>
        </w:r>
      </w:hyperlink>
      <w:r>
        <w:rPr>
          <w:rFonts w:ascii="Times New Roman" w:eastAsia="Times New Roman"/>
          <w:position w:val="8"/>
          <w:sz w:val="15"/>
        </w:rPr>
        <w:t>]</w:t>
      </w:r>
      <w:r>
        <w:rPr>
          <w:spacing w:val="-8"/>
        </w:rPr>
        <w:t>、英国</w:t>
      </w:r>
      <w:r>
        <w:rPr>
          <w:rFonts w:ascii="Times New Roman" w:eastAsia="Times New Roman"/>
          <w:position w:val="8"/>
          <w:sz w:val="15"/>
        </w:rPr>
        <w:t>[</w:t>
      </w:r>
      <w:hyperlink w:history="true" w:anchor="_bookmark47">
        <w:r>
          <w:rPr>
            <w:rFonts w:ascii="Times New Roman" w:eastAsia="Times New Roman"/>
            <w:position w:val="8"/>
            <w:sz w:val="15"/>
          </w:rPr>
          <w:t>3</w:t>
        </w:r>
      </w:hyperlink>
      <w:r>
        <w:rPr>
          <w:rFonts w:ascii="Times New Roman" w:eastAsia="Times New Roman"/>
          <w:position w:val="8"/>
          <w:sz w:val="15"/>
        </w:rPr>
        <w:t>]</w:t>
      </w:r>
      <w:r>
        <w:rPr>
          <w:spacing w:val="-8"/>
        </w:rPr>
        <w:t>、日本</w:t>
      </w:r>
      <w:r>
        <w:rPr>
          <w:rFonts w:ascii="Times New Roman" w:eastAsia="Times New Roman"/>
          <w:position w:val="8"/>
          <w:sz w:val="15"/>
        </w:rPr>
        <w:t>[</w:t>
      </w:r>
      <w:hyperlink w:history="true" w:anchor="_bookmark48">
        <w:r>
          <w:rPr>
            <w:rFonts w:ascii="Times New Roman" w:eastAsia="Times New Roman"/>
            <w:position w:val="8"/>
            <w:sz w:val="15"/>
          </w:rPr>
          <w:t>4</w:t>
        </w:r>
      </w:hyperlink>
      <w:r>
        <w:rPr>
          <w:rFonts w:ascii="Times New Roman" w:eastAsia="Times New Roman"/>
          <w:position w:val="8"/>
          <w:sz w:val="15"/>
        </w:rPr>
        <w:t>]</w:t>
      </w:r>
      <w:r>
        <w:rPr>
          <w:spacing w:val="-6"/>
        </w:rPr>
        <w:t>、新西兰</w:t>
      </w:r>
      <w:r>
        <w:rPr>
          <w:rFonts w:ascii="Times New Roman" w:eastAsia="Times New Roman"/>
          <w:position w:val="8"/>
          <w:sz w:val="15"/>
        </w:rPr>
        <w:t>[</w:t>
      </w:r>
      <w:hyperlink w:history="true" w:anchor="_bookmark49">
        <w:r>
          <w:rPr>
            <w:rFonts w:ascii="Times New Roman" w:eastAsia="Times New Roman"/>
            <w:position w:val="8"/>
            <w:sz w:val="15"/>
          </w:rPr>
          <w:t>5</w:t>
        </w:r>
      </w:hyperlink>
      <w:r>
        <w:rPr>
          <w:rFonts w:ascii="Times New Roman" w:eastAsia="Times New Roman"/>
          <w:position w:val="8"/>
          <w:sz w:val="15"/>
        </w:rPr>
        <w:t>]</w:t>
      </w:r>
      <w:r>
        <w:rPr/>
        <w:t>等发达</w:t>
      </w:r>
      <w:r>
        <w:rPr>
          <w:spacing w:val="-2"/>
        </w:rPr>
        <w:t>国家政府和社会各界做了以下努力：</w:t>
      </w:r>
      <w:r>
        <w:rPr>
          <w:rFonts w:ascii="Times New Roman" w:eastAsia="Times New Roman"/>
          <w:spacing w:val="-4"/>
          <w:position w:val="8"/>
          <w:sz w:val="15"/>
        </w:rPr>
        <w:t>[</w:t>
      </w:r>
      <w:hyperlink w:history="true" w:anchor="_bookmark50">
        <w:r>
          <w:rPr>
            <w:rFonts w:ascii="Times New Roman" w:eastAsia="Times New Roman"/>
            <w:spacing w:val="-4"/>
            <w:position w:val="8"/>
            <w:sz w:val="15"/>
          </w:rPr>
          <w:t>6</w:t>
        </w:r>
      </w:hyperlink>
      <w:r>
        <w:rPr>
          <w:rFonts w:ascii="Times New Roman" w:eastAsia="Times New Roman"/>
          <w:spacing w:val="-4"/>
          <w:position w:val="8"/>
          <w:sz w:val="15"/>
        </w:rPr>
        <w:t>]</w:t>
      </w:r>
      <w:r>
        <w:rPr>
          <w:spacing w:val="-4"/>
        </w:rPr>
        <w:t>第一，完善法律制度。发达国家不仅立法</w:t>
      </w:r>
      <w:r>
        <w:rPr>
          <w:spacing w:val="-9"/>
        </w:rPr>
        <w:t>确立了生涯规划教育在国家教育改革中的地位，还通过法律对生涯规划教育的教</w:t>
      </w:r>
      <w:r>
        <w:rPr>
          <w:spacing w:val="-10"/>
        </w:rPr>
        <w:t>育目的、内容、实施及评估手段等做了详尽的规定，增强了其可操作性。第二， </w:t>
      </w:r>
      <w:r>
        <w:rPr>
          <w:spacing w:val="-8"/>
        </w:rPr>
        <w:t>提供财政支持，提供专项资金支持。第三，争取社会各界的广泛支持。在各国政</w:t>
      </w:r>
      <w:r>
        <w:rPr>
          <w:spacing w:val="-13"/>
        </w:rPr>
        <w:t>府的大力倡导之下，越来越多的企业、社会团体参与到学校生涯规划教育，他们</w:t>
      </w:r>
      <w:r>
        <w:rPr>
          <w:spacing w:val="-15"/>
        </w:rPr>
        <w:t>不仅提供资金资助，也为学校生涯规划教育组织学生校外参观、见习等实践活动</w:t>
      </w:r>
      <w:r>
        <w:rPr>
          <w:spacing w:val="-12"/>
        </w:rPr>
        <w:t>提供平台。生涯规划教育的开展也获得了广大家长的支持与配合。通过家长、学校、政府、企业的通力合作，生涯规划教育得以更好地落实。</w:t>
      </w:r>
    </w:p>
    <w:p>
      <w:pPr>
        <w:pStyle w:val="ListParagraph"/>
        <w:numPr>
          <w:ilvl w:val="3"/>
          <w:numId w:val="3"/>
        </w:numPr>
        <w:tabs>
          <w:tab w:pos="2100" w:val="left" w:leader="none"/>
        </w:tabs>
        <w:spacing w:line="240" w:lineRule="auto" w:before="6" w:after="0"/>
        <w:ind w:left="2100" w:right="0" w:hanging="781"/>
        <w:jc w:val="left"/>
        <w:rPr>
          <w:sz w:val="24"/>
        </w:rPr>
      </w:pPr>
      <w:r>
        <w:rPr>
          <w:sz w:val="24"/>
        </w:rPr>
        <w:t>国内关于生涯规划教育的研究综述</w:t>
      </w:r>
    </w:p>
    <w:p>
      <w:pPr>
        <w:pStyle w:val="BodyText"/>
        <w:spacing w:line="364" w:lineRule="auto" w:before="160"/>
        <w:ind w:left="1319" w:right="1577" w:firstLine="480"/>
      </w:pPr>
      <w:r>
        <w:rPr>
          <w:spacing w:val="-8"/>
        </w:rPr>
        <w:t>通过对已有文献的分析和整理，本研究认为我国有关生涯规划教育的研究主</w:t>
      </w:r>
      <w:r>
        <w:rPr/>
        <w:t>要集中在以下几个方面：</w:t>
      </w:r>
    </w:p>
    <w:p>
      <w:pPr>
        <w:pStyle w:val="BodyText"/>
        <w:spacing w:before="2"/>
        <w:ind w:left="1799"/>
      </w:pPr>
      <w:r>
        <w:rPr/>
        <w:t>（1）关于生涯规划教育的国际经验介绍</w:t>
      </w:r>
    </w:p>
    <w:p>
      <w:pPr>
        <w:pStyle w:val="BodyText"/>
        <w:spacing w:before="160"/>
        <w:ind w:left="1799"/>
      </w:pPr>
      <w:r>
        <w:rPr/>
        <w:t>对国外生涯规划教育经验的介绍主要集中在美国、英国等发达国家。首先，</w:t>
      </w:r>
    </w:p>
    <w:p>
      <w:pPr>
        <w:pStyle w:val="BodyText"/>
        <w:rPr>
          <w:sz w:val="20"/>
        </w:rPr>
      </w:pPr>
    </w:p>
    <w:p>
      <w:pPr>
        <w:pStyle w:val="BodyText"/>
        <w:spacing w:before="9"/>
        <w:rPr>
          <w:sz w:val="19"/>
        </w:rPr>
      </w:pPr>
      <w:r>
        <w:rPr/>
        <w:pict>
          <v:shape style="position:absolute;margin-left:90pt;margin-top:14.571445pt;width:144pt;height:.1pt;mso-position-horizontal-relative:page;mso-position-vertical-relative:paragraph;z-index:-251634688;mso-wrap-distance-left:0;mso-wrap-distance-right:0" coordorigin="1800,291" coordsize="2880,0" path="m1800,291l4680,291e" filled="false" stroked="true" strokeweight="0pt" strokecolor="#000000">
            <v:path arrowok="t"/>
            <v:stroke dashstyle="solid"/>
            <w10:wrap type="topAndBottom"/>
          </v:shape>
        </w:pict>
      </w:r>
    </w:p>
    <w:p>
      <w:pPr>
        <w:spacing w:line="417" w:lineRule="auto" w:before="96"/>
        <w:ind w:left="1320" w:right="1859" w:firstLine="0"/>
        <w:jc w:val="left"/>
        <w:rPr>
          <w:rFonts w:ascii="Times New Roman" w:eastAsia="Times New Roman"/>
          <w:sz w:val="18"/>
        </w:rPr>
      </w:pPr>
      <w:bookmarkStart w:name="_bookmark45" w:id="48"/>
      <w:bookmarkEnd w:id="48"/>
      <w:r>
        <w:rPr/>
      </w:r>
      <w:r>
        <w:rPr>
          <w:rFonts w:ascii="Times New Roman" w:eastAsia="Times New Roman"/>
          <w:position w:val="8"/>
          <w:sz w:val="15"/>
        </w:rPr>
        <w:t>[1] </w:t>
      </w:r>
      <w:r>
        <w:rPr>
          <w:rFonts w:ascii="Times New Roman" w:eastAsia="Times New Roman"/>
          <w:sz w:val="18"/>
        </w:rPr>
        <w:t>Reese,Susan.A Leading Role for Career Guidance Counselors Connecting Education and Careers[J]</w:t>
      </w:r>
      <w:hyperlink r:id="rId20">
        <w:r>
          <w:rPr>
            <w:rFonts w:ascii="Times New Roman" w:eastAsia="Times New Roman"/>
            <w:sz w:val="18"/>
          </w:rPr>
          <w:t>.Tech</w:t>
        </w:r>
      </w:hyperlink>
      <w:hyperlink r:id="rId20">
        <w:r>
          <w:rPr>
            <w:rFonts w:ascii="Times New Roman" w:eastAsia="Times New Roman"/>
            <w:sz w:val="18"/>
          </w:rPr>
          <w:t> niques Connecting Education &amp; Careers.</w:t>
        </w:r>
      </w:hyperlink>
      <w:r>
        <w:rPr>
          <w:rFonts w:ascii="Times New Roman" w:eastAsia="Times New Roman"/>
          <w:sz w:val="18"/>
        </w:rPr>
        <w:t>2010</w:t>
      </w:r>
      <w:r>
        <w:rPr>
          <w:sz w:val="18"/>
        </w:rPr>
        <w:t>（</w:t>
      </w:r>
      <w:r>
        <w:rPr>
          <w:rFonts w:ascii="Times New Roman" w:eastAsia="Times New Roman"/>
          <w:sz w:val="18"/>
        </w:rPr>
        <w:t>10</w:t>
      </w:r>
      <w:r>
        <w:rPr>
          <w:sz w:val="18"/>
        </w:rPr>
        <w:t>）：</w:t>
      </w:r>
      <w:r>
        <w:rPr>
          <w:rFonts w:ascii="Times New Roman" w:eastAsia="Times New Roman"/>
          <w:sz w:val="18"/>
        </w:rPr>
        <w:t>16-19.</w:t>
      </w:r>
    </w:p>
    <w:p>
      <w:pPr>
        <w:spacing w:line="194" w:lineRule="exact" w:before="0"/>
        <w:ind w:left="1320" w:right="0" w:firstLine="0"/>
        <w:jc w:val="left"/>
        <w:rPr>
          <w:rFonts w:ascii="Times New Roman" w:eastAsia="Times New Roman"/>
          <w:sz w:val="18"/>
        </w:rPr>
      </w:pPr>
      <w:bookmarkStart w:name="_bookmark46" w:id="49"/>
      <w:bookmarkEnd w:id="49"/>
      <w:r>
        <w:rPr/>
      </w:r>
      <w:r>
        <w:rPr>
          <w:rFonts w:ascii="Times New Roman" w:eastAsia="Times New Roman"/>
          <w:position w:val="7"/>
          <w:sz w:val="13"/>
        </w:rPr>
        <w:t>[2] </w:t>
      </w:r>
      <w:r>
        <w:rPr>
          <w:sz w:val="18"/>
        </w:rPr>
        <w:t>于珍</w:t>
      </w:r>
      <w:r>
        <w:rPr>
          <w:rFonts w:ascii="Times New Roman" w:eastAsia="Times New Roman"/>
          <w:sz w:val="18"/>
        </w:rPr>
        <w:t>.</w:t>
      </w:r>
      <w:r>
        <w:rPr>
          <w:sz w:val="18"/>
        </w:rPr>
        <w:t>中小学生涯教育： 来自美国的经验与启示</w:t>
      </w:r>
      <w:r>
        <w:rPr>
          <w:rFonts w:ascii="Times New Roman" w:eastAsia="Times New Roman"/>
          <w:sz w:val="18"/>
        </w:rPr>
        <w:t>[J].</w:t>
      </w:r>
      <w:r>
        <w:rPr>
          <w:sz w:val="18"/>
        </w:rPr>
        <w:t>外国中小学教育，</w:t>
      </w:r>
      <w:r>
        <w:rPr>
          <w:rFonts w:ascii="Times New Roman" w:eastAsia="Times New Roman"/>
          <w:sz w:val="18"/>
        </w:rPr>
        <w:t>2008</w:t>
      </w:r>
      <w:r>
        <w:rPr>
          <w:sz w:val="18"/>
        </w:rPr>
        <w:t>（</w:t>
      </w:r>
      <w:r>
        <w:rPr>
          <w:rFonts w:ascii="Times New Roman" w:eastAsia="Times New Roman"/>
          <w:sz w:val="18"/>
        </w:rPr>
        <w:t>3</w:t>
      </w:r>
      <w:r>
        <w:rPr>
          <w:sz w:val="18"/>
        </w:rPr>
        <w:t>）：</w:t>
      </w:r>
      <w:r>
        <w:rPr>
          <w:rFonts w:ascii="Times New Roman" w:eastAsia="Times New Roman"/>
          <w:sz w:val="18"/>
        </w:rPr>
        <w:t>52-55</w:t>
      </w:r>
    </w:p>
    <w:p>
      <w:pPr>
        <w:spacing w:before="127"/>
        <w:ind w:left="1320" w:right="0" w:firstLine="0"/>
        <w:jc w:val="left"/>
        <w:rPr>
          <w:rFonts w:ascii="Times New Roman" w:eastAsia="Times New Roman"/>
          <w:sz w:val="18"/>
        </w:rPr>
      </w:pPr>
      <w:bookmarkStart w:name="_bookmark47" w:id="50"/>
      <w:bookmarkEnd w:id="50"/>
      <w:r>
        <w:rPr/>
      </w:r>
      <w:r>
        <w:rPr>
          <w:rFonts w:ascii="Times New Roman" w:eastAsia="Times New Roman"/>
          <w:position w:val="7"/>
          <w:sz w:val="13"/>
        </w:rPr>
        <w:t>[3] </w:t>
      </w:r>
      <w:r>
        <w:rPr>
          <w:sz w:val="18"/>
        </w:rPr>
        <w:t>陈娜</w:t>
      </w:r>
      <w:r>
        <w:rPr>
          <w:rFonts w:ascii="Times New Roman" w:eastAsia="Times New Roman"/>
          <w:sz w:val="18"/>
        </w:rPr>
        <w:t>.</w:t>
      </w:r>
      <w:r>
        <w:rPr>
          <w:sz w:val="18"/>
        </w:rPr>
        <w:t>英国：注重中学生涯教育</w:t>
      </w:r>
      <w:r>
        <w:rPr>
          <w:rFonts w:ascii="Times New Roman" w:eastAsia="Times New Roman"/>
          <w:sz w:val="18"/>
        </w:rPr>
        <w:t>.[J]</w:t>
      </w:r>
      <w:r>
        <w:rPr>
          <w:sz w:val="18"/>
        </w:rPr>
        <w:t>上海教育，</w:t>
      </w:r>
      <w:r>
        <w:rPr>
          <w:rFonts w:ascii="Times New Roman" w:eastAsia="Times New Roman"/>
          <w:sz w:val="18"/>
        </w:rPr>
        <w:t>2007</w:t>
      </w:r>
      <w:r>
        <w:rPr>
          <w:sz w:val="18"/>
        </w:rPr>
        <w:t>（</w:t>
      </w:r>
      <w:r>
        <w:rPr>
          <w:rFonts w:ascii="Times New Roman" w:eastAsia="Times New Roman"/>
          <w:sz w:val="18"/>
        </w:rPr>
        <w:t>1</w:t>
      </w:r>
      <w:r>
        <w:rPr>
          <w:sz w:val="18"/>
        </w:rPr>
        <w:t>）</w:t>
      </w:r>
      <w:r>
        <w:rPr>
          <w:rFonts w:ascii="Times New Roman" w:eastAsia="Times New Roman"/>
          <w:sz w:val="18"/>
        </w:rPr>
        <w:t>:37-38.</w:t>
      </w:r>
    </w:p>
    <w:p>
      <w:pPr>
        <w:spacing w:before="128"/>
        <w:ind w:left="1319" w:right="0" w:firstLine="0"/>
        <w:jc w:val="left"/>
        <w:rPr>
          <w:rFonts w:ascii="Times New Roman" w:eastAsia="Times New Roman"/>
          <w:sz w:val="18"/>
        </w:rPr>
      </w:pPr>
      <w:bookmarkStart w:name="_bookmark48" w:id="51"/>
      <w:bookmarkEnd w:id="51"/>
      <w:r>
        <w:rPr/>
      </w:r>
      <w:r>
        <w:rPr>
          <w:rFonts w:ascii="Times New Roman" w:eastAsia="Times New Roman"/>
          <w:position w:val="7"/>
          <w:sz w:val="13"/>
        </w:rPr>
        <w:t>[4] </w:t>
      </w:r>
      <w:r>
        <w:rPr>
          <w:sz w:val="18"/>
        </w:rPr>
        <w:t>韩晓玥</w:t>
      </w:r>
      <w:r>
        <w:rPr>
          <w:rFonts w:ascii="Times New Roman" w:eastAsia="Times New Roman"/>
          <w:sz w:val="18"/>
        </w:rPr>
        <w:t>.</w:t>
      </w:r>
      <w:r>
        <w:rPr>
          <w:sz w:val="18"/>
        </w:rPr>
        <w:t>日本普通高中学生职业生涯教育研究</w:t>
      </w:r>
      <w:r>
        <w:rPr>
          <w:rFonts w:ascii="Times New Roman" w:eastAsia="Times New Roman"/>
          <w:sz w:val="18"/>
        </w:rPr>
        <w:t>.[D]</w:t>
      </w:r>
      <w:r>
        <w:rPr>
          <w:sz w:val="18"/>
        </w:rPr>
        <w:t>大连：辽宁师范大学硕士论文，</w:t>
      </w:r>
      <w:r>
        <w:rPr>
          <w:rFonts w:ascii="Times New Roman" w:eastAsia="Times New Roman"/>
          <w:sz w:val="18"/>
        </w:rPr>
        <w:t>2009:30-31.</w:t>
      </w:r>
    </w:p>
    <w:p>
      <w:pPr>
        <w:spacing w:before="128"/>
        <w:ind w:left="1319" w:right="0" w:firstLine="0"/>
        <w:jc w:val="left"/>
        <w:rPr>
          <w:rFonts w:ascii="Times New Roman" w:eastAsia="Times New Roman"/>
          <w:sz w:val="18"/>
        </w:rPr>
      </w:pPr>
      <w:bookmarkStart w:name="_bookmark49" w:id="52"/>
      <w:bookmarkEnd w:id="52"/>
      <w:r>
        <w:rPr/>
      </w:r>
      <w:r>
        <w:rPr>
          <w:rFonts w:ascii="Times New Roman" w:eastAsia="Times New Roman"/>
          <w:position w:val="7"/>
          <w:sz w:val="13"/>
        </w:rPr>
        <w:t>[5] </w:t>
      </w:r>
      <w:r>
        <w:rPr>
          <w:sz w:val="18"/>
        </w:rPr>
        <w:t>朱凌云</w:t>
      </w:r>
      <w:r>
        <w:rPr>
          <w:rFonts w:ascii="Times New Roman" w:eastAsia="Times New Roman"/>
          <w:sz w:val="18"/>
        </w:rPr>
        <w:t>.</w:t>
      </w:r>
      <w:r>
        <w:rPr>
          <w:sz w:val="18"/>
        </w:rPr>
        <w:t>新西兰中小学生涯教育的特点与启示</w:t>
      </w:r>
      <w:r>
        <w:rPr>
          <w:rFonts w:ascii="Times New Roman" w:eastAsia="Times New Roman"/>
          <w:sz w:val="18"/>
        </w:rPr>
        <w:t>.[J].</w:t>
      </w:r>
      <w:r>
        <w:rPr>
          <w:sz w:val="18"/>
        </w:rPr>
        <w:t>外国教育研究，</w:t>
      </w:r>
      <w:r>
        <w:rPr>
          <w:rFonts w:ascii="Times New Roman" w:eastAsia="Times New Roman"/>
          <w:sz w:val="18"/>
        </w:rPr>
        <w:t>2003</w:t>
      </w:r>
      <w:r>
        <w:rPr>
          <w:sz w:val="18"/>
        </w:rPr>
        <w:t>（</w:t>
      </w:r>
      <w:r>
        <w:rPr>
          <w:rFonts w:ascii="Times New Roman" w:eastAsia="Times New Roman"/>
          <w:sz w:val="18"/>
        </w:rPr>
        <w:t>8</w:t>
      </w:r>
      <w:r>
        <w:rPr>
          <w:sz w:val="18"/>
        </w:rPr>
        <w:t>）：</w:t>
      </w:r>
      <w:r>
        <w:rPr>
          <w:rFonts w:ascii="Times New Roman" w:eastAsia="Times New Roman"/>
          <w:sz w:val="18"/>
        </w:rPr>
        <w:t>20-26.</w:t>
      </w:r>
    </w:p>
    <w:p>
      <w:pPr>
        <w:spacing w:line="364" w:lineRule="auto" w:before="125"/>
        <w:ind w:left="1319" w:right="1488" w:firstLine="0"/>
        <w:jc w:val="left"/>
        <w:rPr>
          <w:rFonts w:ascii="Times New Roman" w:eastAsia="Times New Roman"/>
          <w:sz w:val="18"/>
        </w:rPr>
      </w:pPr>
      <w:bookmarkStart w:name="_bookmark50" w:id="53"/>
      <w:bookmarkEnd w:id="53"/>
      <w:r>
        <w:rPr/>
      </w:r>
      <w:r>
        <w:rPr>
          <w:rFonts w:ascii="Times New Roman" w:eastAsia="Times New Roman"/>
          <w:position w:val="7"/>
          <w:sz w:val="13"/>
        </w:rPr>
        <w:t>[6</w:t>
      </w:r>
      <w:r>
        <w:rPr>
          <w:rFonts w:ascii="Times New Roman" w:eastAsia="Times New Roman"/>
          <w:spacing w:val="13"/>
          <w:position w:val="7"/>
          <w:sz w:val="13"/>
        </w:rPr>
        <w:t>] </w:t>
      </w:r>
      <w:r>
        <w:rPr>
          <w:spacing w:val="-4"/>
          <w:sz w:val="18"/>
        </w:rPr>
        <w:t>依据国内众多学者的研究，生涯规划教育的保障体系多元化主要体现在法律制度、财政支持、社会力量的支持这三个方面，具体还可参见：王雅文</w:t>
      </w:r>
      <w:r>
        <w:rPr>
          <w:rFonts w:ascii="Times New Roman" w:eastAsia="Times New Roman"/>
          <w:spacing w:val="-4"/>
          <w:sz w:val="18"/>
        </w:rPr>
        <w:t>.</w:t>
      </w:r>
      <w:r>
        <w:rPr>
          <w:spacing w:val="-4"/>
          <w:sz w:val="18"/>
        </w:rPr>
        <w:t>普通高中职业生涯教育现状和对策研究</w:t>
      </w:r>
      <w:r>
        <w:rPr>
          <w:rFonts w:ascii="Times New Roman" w:eastAsia="Times New Roman"/>
          <w:spacing w:val="-4"/>
          <w:sz w:val="18"/>
        </w:rPr>
        <w:t>.[D].</w:t>
      </w:r>
      <w:r>
        <w:rPr>
          <w:spacing w:val="-4"/>
          <w:sz w:val="18"/>
        </w:rPr>
        <w:t>上海：华东师范大</w:t>
      </w:r>
      <w:r>
        <w:rPr>
          <w:spacing w:val="-14"/>
          <w:sz w:val="18"/>
        </w:rPr>
        <w:t>学硕士论文，</w:t>
      </w:r>
      <w:r>
        <w:rPr>
          <w:rFonts w:ascii="Times New Roman" w:eastAsia="Times New Roman"/>
          <w:spacing w:val="1"/>
          <w:sz w:val="18"/>
        </w:rPr>
        <w:t>2</w:t>
      </w:r>
      <w:r>
        <w:rPr>
          <w:rFonts w:ascii="Times New Roman" w:eastAsia="Times New Roman"/>
          <w:spacing w:val="-2"/>
          <w:sz w:val="18"/>
        </w:rPr>
        <w:t>0</w:t>
      </w:r>
      <w:r>
        <w:rPr>
          <w:rFonts w:ascii="Times New Roman" w:eastAsia="Times New Roman"/>
          <w:spacing w:val="1"/>
          <w:sz w:val="18"/>
        </w:rPr>
        <w:t>1</w:t>
      </w:r>
      <w:r>
        <w:rPr>
          <w:rFonts w:ascii="Times New Roman" w:eastAsia="Times New Roman"/>
          <w:spacing w:val="-2"/>
          <w:sz w:val="18"/>
        </w:rPr>
        <w:t>4</w:t>
      </w:r>
      <w:r>
        <w:rPr>
          <w:spacing w:val="-65"/>
          <w:sz w:val="18"/>
        </w:rPr>
        <w:t>：</w:t>
      </w:r>
      <w:r>
        <w:rPr>
          <w:rFonts w:ascii="Times New Roman" w:eastAsia="Times New Roman"/>
          <w:spacing w:val="1"/>
          <w:sz w:val="18"/>
        </w:rPr>
        <w:t>5</w:t>
      </w:r>
      <w:r>
        <w:rPr>
          <w:rFonts w:ascii="Times New Roman" w:eastAsia="Times New Roman"/>
          <w:sz w:val="18"/>
        </w:rPr>
        <w:t>-</w:t>
      </w:r>
      <w:r>
        <w:rPr>
          <w:rFonts w:ascii="Times New Roman" w:eastAsia="Times New Roman"/>
          <w:spacing w:val="-2"/>
          <w:sz w:val="18"/>
        </w:rPr>
        <w:t>7</w:t>
      </w:r>
      <w:r>
        <w:rPr>
          <w:rFonts w:ascii="Times New Roman" w:eastAsia="Times New Roman"/>
          <w:sz w:val="18"/>
        </w:rPr>
        <w:t>.  </w:t>
      </w:r>
      <w:r>
        <w:rPr>
          <w:sz w:val="18"/>
        </w:rPr>
        <w:t>邓宏宝</w:t>
      </w:r>
      <w:r>
        <w:rPr>
          <w:rFonts w:ascii="Times New Roman" w:eastAsia="Times New Roman"/>
          <w:spacing w:val="-2"/>
          <w:sz w:val="18"/>
        </w:rPr>
        <w:t>.</w:t>
      </w:r>
      <w:r>
        <w:rPr>
          <w:spacing w:val="-5"/>
          <w:sz w:val="18"/>
        </w:rPr>
        <w:t>国外中学生生涯教育课程实施：经验与启示</w:t>
      </w:r>
      <w:r>
        <w:rPr>
          <w:rFonts w:ascii="Times New Roman" w:eastAsia="Times New Roman"/>
          <w:sz w:val="18"/>
        </w:rPr>
        <w:t>.[</w:t>
      </w:r>
      <w:r>
        <w:rPr>
          <w:rFonts w:ascii="Times New Roman" w:eastAsia="Times New Roman"/>
          <w:spacing w:val="-1"/>
          <w:sz w:val="18"/>
        </w:rPr>
        <w:t>J</w:t>
      </w:r>
      <w:r>
        <w:rPr>
          <w:rFonts w:ascii="Times New Roman" w:eastAsia="Times New Roman"/>
          <w:sz w:val="18"/>
        </w:rPr>
        <w:t>].</w:t>
      </w:r>
      <w:r>
        <w:rPr>
          <w:spacing w:val="-8"/>
          <w:sz w:val="18"/>
        </w:rPr>
        <w:t>外国中小学教育，</w:t>
      </w:r>
      <w:r>
        <w:rPr>
          <w:rFonts w:ascii="Times New Roman" w:eastAsia="Times New Roman"/>
          <w:spacing w:val="1"/>
          <w:sz w:val="18"/>
        </w:rPr>
        <w:t>2</w:t>
      </w:r>
      <w:r>
        <w:rPr>
          <w:rFonts w:ascii="Times New Roman" w:eastAsia="Times New Roman"/>
          <w:spacing w:val="-2"/>
          <w:sz w:val="18"/>
        </w:rPr>
        <w:t>0</w:t>
      </w:r>
      <w:r>
        <w:rPr>
          <w:rFonts w:ascii="Times New Roman" w:eastAsia="Times New Roman"/>
          <w:spacing w:val="1"/>
          <w:sz w:val="18"/>
        </w:rPr>
        <w:t>1</w:t>
      </w:r>
      <w:r>
        <w:rPr>
          <w:rFonts w:ascii="Times New Roman" w:eastAsia="Times New Roman"/>
          <w:spacing w:val="-62"/>
          <w:sz w:val="18"/>
        </w:rPr>
        <w:t>3</w:t>
      </w:r>
      <w:r>
        <w:rPr>
          <w:spacing w:val="-3"/>
          <w:sz w:val="18"/>
        </w:rPr>
        <w:t>（</w:t>
      </w:r>
      <w:r>
        <w:rPr>
          <w:rFonts w:ascii="Times New Roman" w:eastAsia="Times New Roman"/>
          <w:spacing w:val="1"/>
          <w:sz w:val="18"/>
        </w:rPr>
        <w:t>1</w:t>
      </w:r>
      <w:r>
        <w:rPr>
          <w:rFonts w:ascii="Times New Roman" w:eastAsia="Times New Roman"/>
          <w:spacing w:val="-2"/>
          <w:sz w:val="18"/>
        </w:rPr>
        <w:t>0</w:t>
      </w:r>
      <w:r>
        <w:rPr>
          <w:spacing w:val="-92"/>
          <w:sz w:val="18"/>
        </w:rPr>
        <w:t>）</w:t>
      </w:r>
      <w:r>
        <w:rPr>
          <w:sz w:val="18"/>
        </w:rPr>
        <w:t>： </w:t>
      </w:r>
      <w:r>
        <w:rPr>
          <w:rFonts w:ascii="Times New Roman" w:eastAsia="Times New Roman"/>
          <w:sz w:val="18"/>
        </w:rPr>
        <w:t>24-31.</w:t>
      </w:r>
      <w:r>
        <w:rPr>
          <w:sz w:val="18"/>
        </w:rPr>
        <w:t>罗汉书</w:t>
      </w:r>
      <w:r>
        <w:rPr>
          <w:rFonts w:ascii="Times New Roman" w:eastAsia="Times New Roman"/>
          <w:sz w:val="18"/>
        </w:rPr>
        <w:t>.</w:t>
      </w:r>
      <w:r>
        <w:rPr>
          <w:sz w:val="18"/>
        </w:rPr>
        <w:t>职业生涯规划教育的国际经验剖析</w:t>
      </w:r>
      <w:r>
        <w:rPr>
          <w:rFonts w:ascii="Times New Roman" w:eastAsia="Times New Roman"/>
          <w:sz w:val="18"/>
        </w:rPr>
        <w:t>.[J].</w:t>
      </w:r>
      <w:r>
        <w:rPr>
          <w:sz w:val="18"/>
        </w:rPr>
        <w:t>教育发展研究，</w:t>
      </w:r>
      <w:r>
        <w:rPr>
          <w:rFonts w:ascii="Times New Roman" w:eastAsia="Times New Roman"/>
          <w:sz w:val="18"/>
        </w:rPr>
        <w:t>2005</w:t>
      </w:r>
      <w:r>
        <w:rPr>
          <w:sz w:val="18"/>
        </w:rPr>
        <w:t>（</w:t>
      </w:r>
      <w:r>
        <w:rPr>
          <w:rFonts w:ascii="Times New Roman" w:eastAsia="Times New Roman"/>
          <w:sz w:val="18"/>
        </w:rPr>
        <w:t>7</w:t>
      </w:r>
      <w:r>
        <w:rPr>
          <w:sz w:val="18"/>
        </w:rPr>
        <w:t>）</w:t>
      </w:r>
      <w:r>
        <w:rPr>
          <w:rFonts w:ascii="Times New Roman" w:eastAsia="Times New Roman"/>
          <w:sz w:val="18"/>
        </w:rPr>
        <w:t>:42-45.</w:t>
      </w:r>
      <w:r>
        <w:rPr>
          <w:sz w:val="18"/>
        </w:rPr>
        <w:t>陆小玲</w:t>
      </w:r>
      <w:r>
        <w:rPr>
          <w:rFonts w:ascii="Times New Roman" w:eastAsia="Times New Roman"/>
          <w:sz w:val="18"/>
        </w:rPr>
        <w:t>.</w:t>
      </w:r>
      <w:r>
        <w:rPr>
          <w:sz w:val="18"/>
        </w:rPr>
        <w:t>国外高校职业生涯规划教育对我国的启示</w:t>
      </w:r>
      <w:r>
        <w:rPr>
          <w:rFonts w:ascii="Times New Roman" w:eastAsia="Times New Roman"/>
          <w:sz w:val="18"/>
        </w:rPr>
        <w:t>.[J</w:t>
      </w:r>
      <w:r>
        <w:rPr>
          <w:rFonts w:ascii="Times New Roman" w:eastAsia="Times New Roman"/>
          <w:spacing w:val="21"/>
          <w:sz w:val="18"/>
        </w:rPr>
        <w:t>] </w:t>
      </w:r>
      <w:r>
        <w:rPr>
          <w:sz w:val="18"/>
        </w:rPr>
        <w:t>教育探，</w:t>
      </w:r>
      <w:r>
        <w:rPr>
          <w:rFonts w:ascii="Times New Roman" w:eastAsia="Times New Roman"/>
          <w:sz w:val="18"/>
        </w:rPr>
        <w:t>2011</w:t>
      </w:r>
      <w:r>
        <w:rPr>
          <w:sz w:val="18"/>
        </w:rPr>
        <w:t>（</w:t>
      </w:r>
      <w:r>
        <w:rPr>
          <w:rFonts w:ascii="Times New Roman" w:eastAsia="Times New Roman"/>
          <w:sz w:val="18"/>
        </w:rPr>
        <w:t>3</w:t>
      </w:r>
      <w:r>
        <w:rPr>
          <w:sz w:val="18"/>
        </w:rPr>
        <w:t>）：</w:t>
      </w:r>
      <w:r>
        <w:rPr>
          <w:rFonts w:ascii="Times New Roman" w:eastAsia="Times New Roman"/>
          <w:sz w:val="18"/>
        </w:rPr>
        <w:t>156-157.</w:t>
      </w:r>
    </w:p>
    <w:p>
      <w:pPr>
        <w:spacing w:after="0" w:line="364" w:lineRule="auto"/>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19" w:right="1572"/>
        <w:jc w:val="both"/>
      </w:pPr>
      <w:r>
        <w:rPr>
          <w:spacing w:val="-6"/>
        </w:rPr>
        <w:t>美国是生涯规划教育的发源地，研究美国生涯规划教育的文献居多。其中，刘义</w:t>
      </w:r>
      <w:r>
        <w:rPr/>
        <w:t>兵</w:t>
      </w:r>
      <w:r>
        <w:rPr>
          <w:rFonts w:ascii="Times New Roman" w:eastAsia="Times New Roman"/>
          <w:position w:val="8"/>
          <w:sz w:val="15"/>
        </w:rPr>
        <w:t>[</w:t>
      </w:r>
      <w:hyperlink w:history="true" w:anchor="_bookmark51">
        <w:r>
          <w:rPr>
            <w:rFonts w:ascii="Times New Roman" w:eastAsia="Times New Roman"/>
            <w:position w:val="8"/>
            <w:sz w:val="15"/>
          </w:rPr>
          <w:t>1</w:t>
        </w:r>
      </w:hyperlink>
      <w:r>
        <w:rPr>
          <w:rFonts w:ascii="Times New Roman" w:eastAsia="Times New Roman"/>
          <w:position w:val="8"/>
          <w:sz w:val="15"/>
        </w:rPr>
        <w:t>]</w:t>
      </w:r>
      <w:r>
        <w:rPr>
          <w:spacing w:val="1"/>
        </w:rPr>
        <w:t>、田义夫</w:t>
      </w:r>
      <w:r>
        <w:rPr>
          <w:rFonts w:ascii="Times New Roman" w:eastAsia="Times New Roman"/>
          <w:position w:val="8"/>
          <w:sz w:val="15"/>
        </w:rPr>
        <w:t>[</w:t>
      </w:r>
      <w:hyperlink w:history="true" w:anchor="_bookmark52">
        <w:r>
          <w:rPr>
            <w:rFonts w:ascii="Times New Roman" w:eastAsia="Times New Roman"/>
            <w:position w:val="8"/>
            <w:sz w:val="15"/>
          </w:rPr>
          <w:t>2</w:t>
        </w:r>
      </w:hyperlink>
      <w:r>
        <w:rPr>
          <w:rFonts w:ascii="Times New Roman" w:eastAsia="Times New Roman"/>
          <w:position w:val="8"/>
          <w:sz w:val="15"/>
        </w:rPr>
        <w:t>]</w:t>
      </w:r>
      <w:r>
        <w:rPr>
          <w:spacing w:val="-7"/>
        </w:rPr>
        <w:t>等介绍了美国 </w:t>
      </w:r>
      <w:r>
        <w:rPr>
          <w:rFonts w:ascii="Times New Roman" w:eastAsia="Times New Roman"/>
        </w:rPr>
        <w:t>20 </w:t>
      </w:r>
      <w:r>
        <w:rPr>
          <w:spacing w:val="-15"/>
        </w:rPr>
        <w:t>世纪 </w:t>
      </w:r>
      <w:r>
        <w:rPr>
          <w:rFonts w:ascii="Times New Roman" w:eastAsia="Times New Roman"/>
        </w:rPr>
        <w:t>70 </w:t>
      </w:r>
      <w:r>
        <w:rPr/>
        <w:t>年代的生计教育运动；李亦桃</w:t>
      </w:r>
      <w:r>
        <w:rPr>
          <w:rFonts w:ascii="Times New Roman" w:eastAsia="Times New Roman"/>
          <w:position w:val="8"/>
          <w:sz w:val="15"/>
        </w:rPr>
        <w:t>[</w:t>
      </w:r>
      <w:hyperlink w:history="true" w:anchor="_bookmark53">
        <w:r>
          <w:rPr>
            <w:rFonts w:ascii="Times New Roman" w:eastAsia="Times New Roman"/>
            <w:position w:val="8"/>
            <w:sz w:val="15"/>
          </w:rPr>
          <w:t>3</w:t>
        </w:r>
      </w:hyperlink>
      <w:r>
        <w:rPr>
          <w:rFonts w:ascii="Times New Roman" w:eastAsia="Times New Roman"/>
          <w:position w:val="8"/>
          <w:sz w:val="15"/>
        </w:rPr>
        <w:t>]</w:t>
      </w:r>
      <w:r>
        <w:rPr/>
        <w:t>描述了</w:t>
      </w:r>
      <w:r>
        <w:rPr>
          <w:spacing w:val="-7"/>
        </w:rPr>
        <w:t>美国生涯规划教育的全貌，系统阐述了美国生涯规划教育的理论基础、历史发展</w:t>
      </w:r>
      <w:r>
        <w:rPr/>
        <w:t>及高中生涯规划教育的状况等</w:t>
      </w:r>
      <w:r>
        <w:rPr>
          <w:rFonts w:ascii="Times New Roman" w:eastAsia="Times New Roman"/>
        </w:rPr>
        <w:t>;</w:t>
      </w:r>
      <w:r>
        <w:rPr/>
        <w:t>也有学者对美国生涯规划教育的发展历程进行专</w:t>
      </w:r>
      <w:r>
        <w:rPr>
          <w:spacing w:val="-5"/>
        </w:rPr>
        <w:t>门研究，如魏燕明</w:t>
      </w:r>
      <w:r>
        <w:rPr>
          <w:rFonts w:ascii="Times New Roman" w:eastAsia="Times New Roman"/>
          <w:position w:val="8"/>
          <w:sz w:val="15"/>
        </w:rPr>
        <w:t>[</w:t>
      </w:r>
      <w:hyperlink w:history="true" w:anchor="_bookmark54">
        <w:r>
          <w:rPr>
            <w:rFonts w:ascii="Times New Roman" w:eastAsia="Times New Roman"/>
            <w:position w:val="8"/>
            <w:sz w:val="15"/>
          </w:rPr>
          <w:t>4</w:t>
        </w:r>
      </w:hyperlink>
      <w:r>
        <w:rPr>
          <w:rFonts w:ascii="Times New Roman" w:eastAsia="Times New Roman"/>
          <w:position w:val="8"/>
          <w:sz w:val="15"/>
        </w:rPr>
        <w:t>]</w:t>
      </w:r>
      <w:r>
        <w:rPr>
          <w:spacing w:val="-6"/>
        </w:rPr>
        <w:t>、韩巧霞</w:t>
      </w:r>
      <w:r>
        <w:rPr>
          <w:rFonts w:ascii="Times New Roman" w:eastAsia="Times New Roman"/>
          <w:position w:val="8"/>
          <w:sz w:val="15"/>
        </w:rPr>
        <w:t>[</w:t>
      </w:r>
      <w:hyperlink w:history="true" w:anchor="_bookmark55">
        <w:r>
          <w:rPr>
            <w:rFonts w:ascii="Times New Roman" w:eastAsia="Times New Roman"/>
            <w:position w:val="8"/>
            <w:sz w:val="15"/>
          </w:rPr>
          <w:t>5</w:t>
        </w:r>
      </w:hyperlink>
      <w:r>
        <w:rPr>
          <w:rFonts w:ascii="Times New Roman" w:eastAsia="Times New Roman"/>
          <w:position w:val="8"/>
          <w:sz w:val="15"/>
        </w:rPr>
        <w:t>]</w:t>
      </w:r>
      <w:r>
        <w:rPr>
          <w:spacing w:val="-6"/>
        </w:rPr>
        <w:t>等。陈娜</w:t>
      </w:r>
      <w:r>
        <w:rPr>
          <w:rFonts w:ascii="Times New Roman" w:eastAsia="Times New Roman"/>
          <w:position w:val="8"/>
          <w:sz w:val="15"/>
        </w:rPr>
        <w:t>[</w:t>
      </w:r>
      <w:hyperlink w:history="true" w:anchor="_bookmark56">
        <w:r>
          <w:rPr>
            <w:rFonts w:ascii="Times New Roman" w:eastAsia="Times New Roman"/>
            <w:position w:val="8"/>
            <w:sz w:val="15"/>
          </w:rPr>
          <w:t>6</w:t>
        </w:r>
      </w:hyperlink>
      <w:r>
        <w:rPr>
          <w:rFonts w:ascii="Times New Roman" w:eastAsia="Times New Roman"/>
          <w:position w:val="8"/>
          <w:sz w:val="15"/>
        </w:rPr>
        <w:t>]</w:t>
      </w:r>
      <w:r>
        <w:rPr>
          <w:spacing w:val="-6"/>
        </w:rPr>
        <w:t>、刘晓倩</w:t>
      </w:r>
      <w:r>
        <w:rPr>
          <w:rFonts w:ascii="Times New Roman" w:eastAsia="Times New Roman"/>
          <w:position w:val="8"/>
          <w:sz w:val="15"/>
        </w:rPr>
        <w:t>[</w:t>
      </w:r>
      <w:hyperlink w:history="true" w:anchor="_bookmark57">
        <w:r>
          <w:rPr>
            <w:rFonts w:ascii="Times New Roman" w:eastAsia="Times New Roman"/>
            <w:position w:val="8"/>
            <w:sz w:val="15"/>
          </w:rPr>
          <w:t>7</w:t>
        </w:r>
      </w:hyperlink>
      <w:r>
        <w:rPr>
          <w:rFonts w:ascii="Times New Roman" w:eastAsia="Times New Roman"/>
          <w:position w:val="8"/>
          <w:sz w:val="15"/>
        </w:rPr>
        <w:t>]</w:t>
      </w:r>
      <w:r>
        <w:rPr/>
        <w:t>等介绍英国中学阶段的生涯</w:t>
      </w:r>
      <w:r>
        <w:rPr>
          <w:spacing w:val="-4"/>
        </w:rPr>
        <w:t>规划教育，景宏华</w:t>
      </w:r>
      <w:r>
        <w:rPr>
          <w:rFonts w:ascii="Times New Roman" w:eastAsia="Times New Roman"/>
          <w:position w:val="8"/>
          <w:sz w:val="15"/>
        </w:rPr>
        <w:t>[</w:t>
      </w:r>
      <w:hyperlink w:history="true" w:anchor="_bookmark58">
        <w:r>
          <w:rPr>
            <w:rFonts w:ascii="Times New Roman" w:eastAsia="Times New Roman"/>
            <w:position w:val="8"/>
            <w:sz w:val="15"/>
          </w:rPr>
          <w:t>8</w:t>
        </w:r>
      </w:hyperlink>
      <w:r>
        <w:rPr>
          <w:rFonts w:ascii="Times New Roman" w:eastAsia="Times New Roman"/>
          <w:position w:val="8"/>
          <w:sz w:val="15"/>
        </w:rPr>
        <w:t>]</w:t>
      </w:r>
      <w:r>
        <w:rPr>
          <w:spacing w:val="-1"/>
        </w:rPr>
        <w:t>对英国生涯规划教育机构的职能和服务标准进行了阐释。此外，还有研究者对日本</w:t>
      </w:r>
      <w:r>
        <w:rPr>
          <w:rFonts w:ascii="Times New Roman" w:eastAsia="Times New Roman"/>
          <w:spacing w:val="-1"/>
          <w:position w:val="8"/>
          <w:sz w:val="15"/>
        </w:rPr>
        <w:t>[</w:t>
      </w:r>
      <w:hyperlink w:history="true" w:anchor="_bookmark59">
        <w:r>
          <w:rPr>
            <w:rFonts w:ascii="Times New Roman" w:eastAsia="Times New Roman"/>
            <w:spacing w:val="-1"/>
            <w:position w:val="8"/>
            <w:sz w:val="15"/>
          </w:rPr>
          <w:t>9</w:t>
        </w:r>
      </w:hyperlink>
      <w:r>
        <w:rPr>
          <w:rFonts w:ascii="Times New Roman" w:eastAsia="Times New Roman"/>
          <w:spacing w:val="-1"/>
          <w:position w:val="8"/>
          <w:sz w:val="15"/>
        </w:rPr>
        <w:t>]</w:t>
      </w:r>
      <w:r>
        <w:rPr>
          <w:spacing w:val="-1"/>
        </w:rPr>
        <w:t>、加拿大</w:t>
      </w:r>
      <w:r>
        <w:rPr>
          <w:rFonts w:ascii="Times New Roman" w:eastAsia="Times New Roman"/>
          <w:spacing w:val="-1"/>
          <w:position w:val="8"/>
          <w:sz w:val="15"/>
        </w:rPr>
        <w:t>[</w:t>
      </w:r>
      <w:hyperlink w:history="true" w:anchor="_bookmark60">
        <w:r>
          <w:rPr>
            <w:rFonts w:ascii="Times New Roman" w:eastAsia="Times New Roman"/>
            <w:spacing w:val="-1"/>
            <w:position w:val="8"/>
            <w:sz w:val="15"/>
          </w:rPr>
          <w:t>10</w:t>
        </w:r>
      </w:hyperlink>
      <w:r>
        <w:rPr>
          <w:rFonts w:ascii="Times New Roman" w:eastAsia="Times New Roman"/>
          <w:spacing w:val="-1"/>
          <w:position w:val="8"/>
          <w:sz w:val="15"/>
        </w:rPr>
        <w:t>]</w:t>
      </w:r>
      <w:r>
        <w:rPr>
          <w:spacing w:val="-1"/>
        </w:rPr>
        <w:t>等国家的生涯规划教育进行了探索。</w:t>
      </w:r>
    </w:p>
    <w:p>
      <w:pPr>
        <w:pStyle w:val="BodyText"/>
        <w:spacing w:before="4"/>
        <w:ind w:left="1799"/>
      </w:pPr>
      <w:r>
        <w:rPr/>
        <w:t>（2）关于生涯规划教育的内涵及其价值的研究</w:t>
      </w:r>
    </w:p>
    <w:p>
      <w:pPr>
        <w:pStyle w:val="BodyText"/>
        <w:spacing w:line="364" w:lineRule="auto" w:before="161"/>
        <w:ind w:left="1319" w:right="1464" w:firstLine="480"/>
      </w:pPr>
      <w:r>
        <w:rPr>
          <w:spacing w:val="-10"/>
        </w:rPr>
        <w:t>从现有文献看来，国内较早对生涯规划教育理论及相关概念进行较为系统的</w:t>
      </w:r>
      <w:r>
        <w:rPr>
          <w:spacing w:val="-16"/>
        </w:rPr>
        <w:t>论述的是沈之菲。</w:t>
      </w:r>
      <w:r>
        <w:rPr>
          <w:rFonts w:ascii="Times New Roman" w:eastAsia="Times New Roman"/>
          <w:position w:val="8"/>
          <w:sz w:val="15"/>
        </w:rPr>
        <w:t>[</w:t>
      </w:r>
      <w:hyperlink w:history="true" w:anchor="_bookmark61">
        <w:r>
          <w:rPr>
            <w:rFonts w:ascii="Times New Roman" w:eastAsia="Times New Roman"/>
            <w:position w:val="8"/>
            <w:sz w:val="15"/>
          </w:rPr>
          <w:t>11</w:t>
        </w:r>
      </w:hyperlink>
      <w:r>
        <w:rPr>
          <w:rFonts w:ascii="Times New Roman" w:eastAsia="Times New Roman"/>
          <w:position w:val="8"/>
          <w:sz w:val="15"/>
        </w:rPr>
        <w:t>]</w:t>
      </w:r>
      <w:r>
        <w:rPr>
          <w:spacing w:val="-3"/>
        </w:rPr>
        <w:t>随着对生涯规划教育概念认识的逐渐深入，越来越多的学者</w:t>
      </w:r>
      <w:r>
        <w:rPr>
          <w:spacing w:val="-11"/>
        </w:rPr>
        <w:t>试图诠释生涯规划教育的概念，南海</w:t>
      </w:r>
      <w:r>
        <w:rPr>
          <w:rFonts w:ascii="Times New Roman" w:eastAsia="Times New Roman"/>
          <w:position w:val="8"/>
          <w:sz w:val="15"/>
        </w:rPr>
        <w:t>[</w:t>
      </w:r>
      <w:hyperlink w:history="true" w:anchor="_bookmark62">
        <w:r>
          <w:rPr>
            <w:rFonts w:ascii="Times New Roman" w:eastAsia="Times New Roman"/>
            <w:position w:val="8"/>
            <w:sz w:val="15"/>
          </w:rPr>
          <w:t>12</w:t>
        </w:r>
      </w:hyperlink>
      <w:r>
        <w:rPr>
          <w:rFonts w:ascii="Times New Roman" w:eastAsia="Times New Roman"/>
          <w:position w:val="8"/>
          <w:sz w:val="15"/>
        </w:rPr>
        <w:t>]</w:t>
      </w:r>
      <w:r>
        <w:rPr/>
        <w:t>从哲学的角度对生涯规划教育做了内涵解</w:t>
      </w:r>
      <w:r>
        <w:rPr>
          <w:spacing w:val="-11"/>
        </w:rPr>
        <w:t>读，并梳理了生涯规划教育与素质教育的辩证关系；尤敬党、吴大同</w:t>
      </w:r>
      <w:r>
        <w:rPr>
          <w:rFonts w:ascii="Times New Roman" w:eastAsia="Times New Roman"/>
          <w:position w:val="8"/>
          <w:sz w:val="15"/>
        </w:rPr>
        <w:t>[</w:t>
      </w:r>
      <w:hyperlink w:history="true" w:anchor="_bookmark63">
        <w:r>
          <w:rPr>
            <w:rFonts w:ascii="Times New Roman" w:eastAsia="Times New Roman"/>
            <w:position w:val="8"/>
            <w:sz w:val="15"/>
          </w:rPr>
          <w:t>13</w:t>
        </w:r>
      </w:hyperlink>
      <w:r>
        <w:rPr>
          <w:rFonts w:ascii="Times New Roman" w:eastAsia="Times New Roman"/>
          <w:position w:val="8"/>
          <w:sz w:val="15"/>
        </w:rPr>
        <w:t>]</w:t>
      </w:r>
      <w:r>
        <w:rPr/>
        <w:t>基于生涯</w:t>
      </w:r>
      <w:r>
        <w:rPr>
          <w:spacing w:val="-5"/>
        </w:rPr>
        <w:t>规划教育发展的背景论及生涯规划教育的基本概念、主要内容、实施方法和途径等；刘静</w:t>
      </w:r>
      <w:r>
        <w:rPr>
          <w:rFonts w:ascii="Times New Roman" w:eastAsia="Times New Roman"/>
          <w:spacing w:val="-5"/>
          <w:position w:val="8"/>
          <w:sz w:val="15"/>
        </w:rPr>
        <w:t>[</w:t>
      </w:r>
      <w:hyperlink w:history="true" w:anchor="_bookmark64">
        <w:r>
          <w:rPr>
            <w:rFonts w:ascii="Times New Roman" w:eastAsia="Times New Roman"/>
            <w:spacing w:val="-5"/>
            <w:position w:val="8"/>
            <w:sz w:val="15"/>
          </w:rPr>
          <w:t>14</w:t>
        </w:r>
      </w:hyperlink>
      <w:r>
        <w:rPr>
          <w:rFonts w:ascii="Times New Roman" w:eastAsia="Times New Roman"/>
          <w:spacing w:val="-5"/>
          <w:position w:val="8"/>
          <w:sz w:val="15"/>
        </w:rPr>
        <w:t>]</w:t>
      </w:r>
      <w:r>
        <w:rPr>
          <w:spacing w:val="-6"/>
        </w:rPr>
        <w:t>强调在高考改革视野下，应重新对现有的高中生涯规划教育的内涵、</w:t>
      </w:r>
      <w:r>
        <w:rPr/>
        <w:t>目标、内容等加以审视。</w:t>
      </w:r>
    </w:p>
    <w:p>
      <w:pPr>
        <w:pStyle w:val="BodyText"/>
        <w:spacing w:before="4"/>
        <w:ind w:left="1799"/>
      </w:pPr>
      <w:r>
        <w:rPr/>
        <w:t>随着新课程改革的深化，在基础教育领域推行生涯规划教育受到众多学者关</w:t>
      </w:r>
    </w:p>
    <w:p>
      <w:pPr>
        <w:pStyle w:val="BodyText"/>
        <w:rPr>
          <w:sz w:val="20"/>
        </w:rPr>
      </w:pPr>
    </w:p>
    <w:p>
      <w:pPr>
        <w:pStyle w:val="BodyText"/>
        <w:rPr>
          <w:sz w:val="20"/>
        </w:rPr>
      </w:pPr>
    </w:p>
    <w:p>
      <w:pPr>
        <w:pStyle w:val="BodyText"/>
        <w:spacing w:before="10"/>
        <w:rPr>
          <w:sz w:val="16"/>
        </w:rPr>
      </w:pPr>
      <w:r>
        <w:rPr/>
        <w:pict>
          <v:shape style="position:absolute;margin-left:90pt;margin-top:12.748945pt;width:144pt;height:.1pt;mso-position-horizontal-relative:page;mso-position-vertical-relative:paragraph;z-index:-251633664;mso-wrap-distance-left:0;mso-wrap-distance-right:0" coordorigin="1800,255" coordsize="2880,0" path="m1800,255l4680,255e" filled="false" stroked="true" strokeweight="0pt" strokecolor="#000000">
            <v:path arrowok="t"/>
            <v:stroke dashstyle="solid"/>
            <w10:wrap type="topAndBottom"/>
          </v:shape>
        </w:pict>
      </w:r>
    </w:p>
    <w:p>
      <w:pPr>
        <w:spacing w:before="99"/>
        <w:ind w:left="1320" w:right="0" w:firstLine="0"/>
        <w:jc w:val="left"/>
        <w:rPr>
          <w:rFonts w:ascii="Times New Roman" w:eastAsia="Times New Roman"/>
          <w:sz w:val="18"/>
        </w:rPr>
      </w:pPr>
      <w:bookmarkStart w:name="_bookmark51" w:id="54"/>
      <w:bookmarkEnd w:id="54"/>
      <w:r>
        <w:rPr/>
      </w:r>
      <w:r>
        <w:rPr>
          <w:rFonts w:ascii="Times New Roman" w:eastAsia="Times New Roman"/>
          <w:position w:val="7"/>
          <w:sz w:val="13"/>
        </w:rPr>
        <w:t>[1] </w:t>
      </w:r>
      <w:r>
        <w:rPr>
          <w:sz w:val="18"/>
        </w:rPr>
        <w:t>刘义兵</w:t>
      </w:r>
      <w:r>
        <w:rPr>
          <w:rFonts w:ascii="Times New Roman" w:eastAsia="Times New Roman"/>
          <w:sz w:val="18"/>
        </w:rPr>
        <w:t>.</w:t>
      </w:r>
      <w:r>
        <w:rPr>
          <w:sz w:val="18"/>
        </w:rPr>
        <w:t>美国的生计教育运动</w:t>
      </w:r>
      <w:r>
        <w:rPr>
          <w:rFonts w:ascii="Times New Roman" w:eastAsia="Times New Roman"/>
          <w:sz w:val="18"/>
        </w:rPr>
        <w:t>[J].</w:t>
      </w:r>
      <w:r>
        <w:rPr>
          <w:sz w:val="18"/>
        </w:rPr>
        <w:t>外国教育动态，</w:t>
      </w:r>
      <w:r>
        <w:rPr>
          <w:rFonts w:ascii="Times New Roman" w:eastAsia="Times New Roman"/>
          <w:sz w:val="18"/>
        </w:rPr>
        <w:t>1988</w:t>
      </w:r>
      <w:r>
        <w:rPr>
          <w:sz w:val="18"/>
        </w:rPr>
        <w:t>（</w:t>
      </w:r>
      <w:r>
        <w:rPr>
          <w:rFonts w:ascii="Times New Roman" w:eastAsia="Times New Roman"/>
          <w:sz w:val="18"/>
        </w:rPr>
        <w:t>04</w:t>
      </w:r>
      <w:r>
        <w:rPr>
          <w:sz w:val="18"/>
        </w:rPr>
        <w:t>）：</w:t>
      </w:r>
      <w:r>
        <w:rPr>
          <w:rFonts w:ascii="Times New Roman" w:eastAsia="Times New Roman"/>
          <w:sz w:val="18"/>
        </w:rPr>
        <w:t>26.</w:t>
      </w:r>
    </w:p>
    <w:p>
      <w:pPr>
        <w:spacing w:before="125"/>
        <w:ind w:left="1320" w:right="0" w:firstLine="0"/>
        <w:jc w:val="left"/>
        <w:rPr>
          <w:rFonts w:ascii="Times New Roman" w:eastAsia="Times New Roman"/>
          <w:sz w:val="18"/>
        </w:rPr>
      </w:pPr>
      <w:bookmarkStart w:name="_bookmark52" w:id="55"/>
      <w:bookmarkEnd w:id="55"/>
      <w:r>
        <w:rPr/>
      </w:r>
      <w:r>
        <w:rPr>
          <w:rFonts w:ascii="Times New Roman" w:eastAsia="Times New Roman"/>
          <w:position w:val="7"/>
          <w:sz w:val="13"/>
        </w:rPr>
        <w:t>[2] </w:t>
      </w:r>
      <w:r>
        <w:rPr>
          <w:sz w:val="18"/>
        </w:rPr>
        <w:t>田义夫</w:t>
      </w:r>
      <w:r>
        <w:rPr>
          <w:rFonts w:ascii="Times New Roman" w:eastAsia="Times New Roman"/>
          <w:sz w:val="18"/>
        </w:rPr>
        <w:t>.</w:t>
      </w:r>
      <w:r>
        <w:rPr>
          <w:sz w:val="18"/>
        </w:rPr>
        <w:t>美国的生计教育</w:t>
      </w:r>
      <w:r>
        <w:rPr>
          <w:rFonts w:ascii="Times New Roman" w:eastAsia="Times New Roman"/>
          <w:sz w:val="18"/>
        </w:rPr>
        <w:t>[J].</w:t>
      </w:r>
      <w:r>
        <w:rPr>
          <w:sz w:val="18"/>
        </w:rPr>
        <w:t>外国中小学教育，</w:t>
      </w:r>
      <w:r>
        <w:rPr>
          <w:rFonts w:ascii="Times New Roman" w:eastAsia="Times New Roman"/>
          <w:sz w:val="18"/>
        </w:rPr>
        <w:t>1994</w:t>
      </w:r>
      <w:r>
        <w:rPr>
          <w:sz w:val="18"/>
        </w:rPr>
        <w:t>（</w:t>
      </w:r>
      <w:r>
        <w:rPr>
          <w:rFonts w:ascii="Times New Roman" w:eastAsia="Times New Roman"/>
          <w:sz w:val="18"/>
        </w:rPr>
        <w:t>03</w:t>
      </w:r>
      <w:r>
        <w:rPr>
          <w:sz w:val="18"/>
        </w:rPr>
        <w:t>）：</w:t>
      </w:r>
      <w:r>
        <w:rPr>
          <w:rFonts w:ascii="Times New Roman" w:eastAsia="Times New Roman"/>
          <w:sz w:val="18"/>
        </w:rPr>
        <w:t>43-44.</w:t>
      </w:r>
    </w:p>
    <w:p>
      <w:pPr>
        <w:spacing w:before="128"/>
        <w:ind w:left="1319" w:right="0" w:firstLine="0"/>
        <w:jc w:val="left"/>
        <w:rPr>
          <w:rFonts w:ascii="Times New Roman" w:eastAsia="Times New Roman"/>
          <w:sz w:val="18"/>
        </w:rPr>
      </w:pPr>
      <w:bookmarkStart w:name="_bookmark53" w:id="56"/>
      <w:bookmarkEnd w:id="56"/>
      <w:r>
        <w:rPr/>
      </w:r>
      <w:r>
        <w:rPr>
          <w:rFonts w:ascii="Times New Roman" w:eastAsia="Times New Roman"/>
          <w:position w:val="7"/>
          <w:sz w:val="13"/>
        </w:rPr>
        <w:t>[3] </w:t>
      </w:r>
      <w:r>
        <w:rPr>
          <w:sz w:val="18"/>
        </w:rPr>
        <w:t>李亦桃</w:t>
      </w:r>
      <w:r>
        <w:rPr>
          <w:rFonts w:ascii="Times New Roman" w:eastAsia="Times New Roman"/>
          <w:sz w:val="18"/>
        </w:rPr>
        <w:t>.</w:t>
      </w:r>
      <w:r>
        <w:rPr>
          <w:sz w:val="18"/>
        </w:rPr>
        <w:t>美国生涯教育初探</w:t>
      </w:r>
      <w:r>
        <w:rPr>
          <w:rFonts w:ascii="Times New Roman" w:eastAsia="Times New Roman"/>
          <w:sz w:val="18"/>
        </w:rPr>
        <w:t>[D].</w:t>
      </w:r>
      <w:r>
        <w:rPr>
          <w:sz w:val="18"/>
        </w:rPr>
        <w:t>重庆</w:t>
      </w:r>
      <w:r>
        <w:rPr>
          <w:rFonts w:ascii="Times New Roman" w:eastAsia="Times New Roman"/>
          <w:sz w:val="18"/>
        </w:rPr>
        <w:t>:</w:t>
      </w:r>
      <w:r>
        <w:rPr>
          <w:sz w:val="18"/>
        </w:rPr>
        <w:t>西南师范大学硕士论文，</w:t>
      </w:r>
      <w:r>
        <w:rPr>
          <w:rFonts w:ascii="Times New Roman" w:eastAsia="Times New Roman"/>
          <w:sz w:val="18"/>
        </w:rPr>
        <w:t>2005</w:t>
      </w:r>
      <w:r>
        <w:rPr>
          <w:sz w:val="18"/>
        </w:rPr>
        <w:t>：</w:t>
      </w:r>
      <w:r>
        <w:rPr>
          <w:rFonts w:ascii="Times New Roman" w:eastAsia="Times New Roman"/>
          <w:sz w:val="18"/>
        </w:rPr>
        <w:t>1-56.</w:t>
      </w:r>
    </w:p>
    <w:p>
      <w:pPr>
        <w:pStyle w:val="ListParagraph"/>
        <w:numPr>
          <w:ilvl w:val="0"/>
          <w:numId w:val="5"/>
        </w:numPr>
        <w:tabs>
          <w:tab w:pos="1558" w:val="left" w:leader="none"/>
        </w:tabs>
        <w:spacing w:line="240" w:lineRule="auto" w:before="127" w:after="0"/>
        <w:ind w:left="1557" w:right="0" w:hanging="239"/>
        <w:jc w:val="left"/>
        <w:rPr>
          <w:rFonts w:ascii="Times New Roman" w:eastAsia="Times New Roman"/>
          <w:sz w:val="18"/>
        </w:rPr>
      </w:pPr>
      <w:bookmarkStart w:name="_bookmark54" w:id="57"/>
      <w:bookmarkEnd w:id="57"/>
      <w:r>
        <w:rPr/>
      </w:r>
      <w:bookmarkStart w:name="_bookmark54" w:id="58"/>
      <w:bookmarkEnd w:id="58"/>
      <w:r>
        <w:rPr>
          <w:sz w:val="18"/>
        </w:rPr>
        <w:t>魏燕明</w:t>
      </w:r>
      <w:r>
        <w:rPr>
          <w:rFonts w:ascii="Times New Roman" w:eastAsia="Times New Roman"/>
          <w:sz w:val="18"/>
        </w:rPr>
        <w:t>.</w:t>
      </w:r>
      <w:r>
        <w:rPr>
          <w:sz w:val="18"/>
        </w:rPr>
        <w:t>美国生涯教育发展历程、特点与借鉴</w:t>
      </w:r>
      <w:r>
        <w:rPr>
          <w:rFonts w:ascii="Times New Roman" w:eastAsia="Times New Roman"/>
          <w:sz w:val="18"/>
        </w:rPr>
        <w:t>[J].</w:t>
      </w:r>
      <w:r>
        <w:rPr>
          <w:sz w:val="18"/>
        </w:rPr>
        <w:t>成人教育，</w:t>
      </w:r>
      <w:r>
        <w:rPr>
          <w:rFonts w:ascii="Times New Roman" w:eastAsia="Times New Roman"/>
          <w:sz w:val="18"/>
        </w:rPr>
        <w:t>2011</w:t>
      </w:r>
      <w:r>
        <w:rPr>
          <w:sz w:val="18"/>
        </w:rPr>
        <w:t>（</w:t>
      </w:r>
      <w:r>
        <w:rPr>
          <w:rFonts w:ascii="Times New Roman" w:eastAsia="Times New Roman"/>
          <w:sz w:val="18"/>
        </w:rPr>
        <w:t>1</w:t>
      </w:r>
      <w:r>
        <w:rPr>
          <w:sz w:val="18"/>
        </w:rPr>
        <w:t>）：</w:t>
      </w:r>
      <w:r>
        <w:rPr>
          <w:rFonts w:ascii="Times New Roman" w:eastAsia="Times New Roman"/>
          <w:sz w:val="18"/>
        </w:rPr>
        <w:t>125-126.</w:t>
      </w:r>
    </w:p>
    <w:p>
      <w:pPr>
        <w:pStyle w:val="ListParagraph"/>
        <w:numPr>
          <w:ilvl w:val="0"/>
          <w:numId w:val="5"/>
        </w:numPr>
        <w:tabs>
          <w:tab w:pos="1558" w:val="left" w:leader="none"/>
        </w:tabs>
        <w:spacing w:line="240" w:lineRule="auto" w:before="143" w:after="0"/>
        <w:ind w:left="1557" w:right="0" w:hanging="239"/>
        <w:jc w:val="left"/>
        <w:rPr>
          <w:rFonts w:ascii="Times New Roman" w:eastAsia="Times New Roman"/>
          <w:sz w:val="18"/>
        </w:rPr>
      </w:pPr>
      <w:bookmarkStart w:name="_bookmark55" w:id="59"/>
      <w:bookmarkEnd w:id="59"/>
      <w:r>
        <w:rPr/>
      </w:r>
      <w:bookmarkStart w:name="_bookmark55" w:id="60"/>
      <w:bookmarkEnd w:id="60"/>
      <w:r>
        <w:rPr>
          <w:sz w:val="18"/>
        </w:rPr>
        <w:t>韩巧霞</w:t>
      </w:r>
      <w:r>
        <w:rPr>
          <w:rFonts w:ascii="Times New Roman" w:eastAsia="Times New Roman"/>
          <w:sz w:val="18"/>
        </w:rPr>
        <w:t>.</w:t>
      </w:r>
      <w:r>
        <w:rPr>
          <w:sz w:val="18"/>
        </w:rPr>
        <w:t>美国生涯教育的发展及启示</w:t>
      </w:r>
      <w:r>
        <w:rPr>
          <w:rFonts w:ascii="Times New Roman" w:eastAsia="Times New Roman"/>
          <w:sz w:val="18"/>
        </w:rPr>
        <w:t>[J].</w:t>
      </w:r>
      <w:r>
        <w:rPr>
          <w:sz w:val="18"/>
        </w:rPr>
        <w:t>继续教育，</w:t>
      </w:r>
      <w:r>
        <w:rPr>
          <w:rFonts w:ascii="Times New Roman" w:eastAsia="Times New Roman"/>
          <w:sz w:val="18"/>
        </w:rPr>
        <w:t>2009</w:t>
      </w:r>
      <w:r>
        <w:rPr>
          <w:sz w:val="18"/>
        </w:rPr>
        <w:t>（</w:t>
      </w:r>
      <w:r>
        <w:rPr>
          <w:rFonts w:ascii="Times New Roman" w:eastAsia="Times New Roman"/>
          <w:sz w:val="18"/>
        </w:rPr>
        <w:t>06</w:t>
      </w:r>
      <w:r>
        <w:rPr>
          <w:sz w:val="18"/>
        </w:rPr>
        <w:t>）：</w:t>
      </w:r>
      <w:r>
        <w:rPr>
          <w:rFonts w:ascii="Times New Roman" w:eastAsia="Times New Roman"/>
          <w:sz w:val="18"/>
        </w:rPr>
        <w:t>62-62.</w:t>
      </w:r>
    </w:p>
    <w:p>
      <w:pPr>
        <w:spacing w:before="144"/>
        <w:ind w:left="1319" w:right="0" w:firstLine="0"/>
        <w:jc w:val="left"/>
        <w:rPr>
          <w:rFonts w:ascii="Times New Roman" w:eastAsia="Times New Roman"/>
          <w:sz w:val="18"/>
        </w:rPr>
      </w:pPr>
      <w:bookmarkStart w:name="_bookmark56" w:id="61"/>
      <w:bookmarkEnd w:id="61"/>
      <w:r>
        <w:rPr/>
      </w:r>
      <w:r>
        <w:rPr>
          <w:rFonts w:ascii="Times New Roman" w:eastAsia="Times New Roman"/>
          <w:position w:val="8"/>
          <w:sz w:val="15"/>
        </w:rPr>
        <w:t>[6] </w:t>
      </w:r>
      <w:r>
        <w:rPr>
          <w:sz w:val="18"/>
        </w:rPr>
        <w:t>陈娜</w:t>
      </w:r>
      <w:r>
        <w:rPr>
          <w:rFonts w:ascii="Times New Roman" w:eastAsia="Times New Roman"/>
          <w:sz w:val="18"/>
        </w:rPr>
        <w:t>.</w:t>
      </w:r>
      <w:r>
        <w:rPr>
          <w:sz w:val="18"/>
        </w:rPr>
        <w:t>英国生涯教育简介</w:t>
      </w:r>
      <w:r>
        <w:rPr>
          <w:rFonts w:ascii="Times New Roman" w:eastAsia="Times New Roman"/>
          <w:sz w:val="18"/>
        </w:rPr>
        <w:t>[J].</w:t>
      </w:r>
      <w:r>
        <w:rPr>
          <w:sz w:val="18"/>
        </w:rPr>
        <w:t>思想理论教育，</w:t>
      </w:r>
      <w:r>
        <w:rPr>
          <w:rFonts w:ascii="Times New Roman" w:eastAsia="Times New Roman"/>
          <w:sz w:val="18"/>
        </w:rPr>
        <w:t>2010(</w:t>
      </w:r>
      <w:r>
        <w:rPr>
          <w:sz w:val="18"/>
        </w:rPr>
        <w:t>（</w:t>
      </w:r>
      <w:r>
        <w:rPr>
          <w:rFonts w:ascii="Times New Roman" w:eastAsia="Times New Roman"/>
          <w:sz w:val="18"/>
        </w:rPr>
        <w:t>10</w:t>
      </w:r>
      <w:r>
        <w:rPr>
          <w:sz w:val="18"/>
        </w:rPr>
        <w:t>）：</w:t>
      </w:r>
      <w:r>
        <w:rPr>
          <w:rFonts w:ascii="Times New Roman" w:eastAsia="Times New Roman"/>
          <w:sz w:val="18"/>
        </w:rPr>
        <w:t>94.</w:t>
      </w:r>
    </w:p>
    <w:p>
      <w:pPr>
        <w:pStyle w:val="ListParagraph"/>
        <w:numPr>
          <w:ilvl w:val="0"/>
          <w:numId w:val="6"/>
        </w:numPr>
        <w:tabs>
          <w:tab w:pos="1558" w:val="left" w:leader="none"/>
        </w:tabs>
        <w:spacing w:line="240" w:lineRule="auto" w:before="142" w:after="0"/>
        <w:ind w:left="1557" w:right="0" w:hanging="239"/>
        <w:jc w:val="left"/>
        <w:rPr>
          <w:rFonts w:ascii="Times New Roman" w:eastAsia="Times New Roman"/>
          <w:sz w:val="18"/>
        </w:rPr>
      </w:pPr>
      <w:bookmarkStart w:name="_bookmark57" w:id="62"/>
      <w:bookmarkEnd w:id="62"/>
      <w:r>
        <w:rPr/>
      </w:r>
      <w:bookmarkStart w:name="_bookmark57" w:id="63"/>
      <w:bookmarkEnd w:id="63"/>
      <w:r>
        <w:rPr>
          <w:sz w:val="18"/>
        </w:rPr>
        <w:t>刘晓倩</w:t>
      </w:r>
      <w:r>
        <w:rPr>
          <w:rFonts w:ascii="Times New Roman" w:eastAsia="Times New Roman"/>
          <w:sz w:val="18"/>
        </w:rPr>
        <w:t>.</w:t>
      </w:r>
      <w:r>
        <w:rPr>
          <w:sz w:val="18"/>
        </w:rPr>
        <w:t>英国中学生涯教育述评</w:t>
      </w:r>
      <w:r>
        <w:rPr>
          <w:rFonts w:ascii="Times New Roman" w:eastAsia="Times New Roman"/>
          <w:sz w:val="18"/>
        </w:rPr>
        <w:t>[J].</w:t>
      </w:r>
      <w:r>
        <w:rPr>
          <w:sz w:val="18"/>
        </w:rPr>
        <w:t>外国中小学教育，</w:t>
      </w:r>
      <w:r>
        <w:rPr>
          <w:rFonts w:ascii="Times New Roman" w:eastAsia="Times New Roman"/>
          <w:sz w:val="18"/>
        </w:rPr>
        <w:t>2014</w:t>
      </w:r>
      <w:r>
        <w:rPr>
          <w:sz w:val="18"/>
        </w:rPr>
        <w:t>（</w:t>
      </w:r>
      <w:r>
        <w:rPr>
          <w:rFonts w:ascii="Times New Roman" w:eastAsia="Times New Roman"/>
          <w:sz w:val="18"/>
        </w:rPr>
        <w:t>06</w:t>
      </w:r>
      <w:r>
        <w:rPr>
          <w:sz w:val="18"/>
        </w:rPr>
        <w:t>）：</w:t>
      </w:r>
      <w:r>
        <w:rPr>
          <w:rFonts w:ascii="Times New Roman" w:eastAsia="Times New Roman"/>
          <w:sz w:val="18"/>
        </w:rPr>
        <w:t>28-32.</w:t>
      </w:r>
    </w:p>
    <w:p>
      <w:pPr>
        <w:pStyle w:val="ListParagraph"/>
        <w:numPr>
          <w:ilvl w:val="0"/>
          <w:numId w:val="6"/>
        </w:numPr>
        <w:tabs>
          <w:tab w:pos="1558" w:val="left" w:leader="none"/>
        </w:tabs>
        <w:spacing w:line="240" w:lineRule="auto" w:before="145" w:after="0"/>
        <w:ind w:left="1557" w:right="0" w:hanging="239"/>
        <w:jc w:val="left"/>
        <w:rPr>
          <w:rFonts w:ascii="Times New Roman" w:eastAsia="Times New Roman"/>
          <w:sz w:val="18"/>
        </w:rPr>
      </w:pPr>
      <w:bookmarkStart w:name="_bookmark58" w:id="64"/>
      <w:bookmarkEnd w:id="64"/>
      <w:r>
        <w:rPr/>
      </w:r>
      <w:bookmarkStart w:name="_bookmark58" w:id="65"/>
      <w:bookmarkEnd w:id="65"/>
      <w:r>
        <w:rPr>
          <w:sz w:val="18"/>
        </w:rPr>
        <w:t>景宏华</w:t>
      </w:r>
      <w:r>
        <w:rPr>
          <w:rFonts w:ascii="Times New Roman" w:eastAsia="Times New Roman"/>
          <w:sz w:val="18"/>
        </w:rPr>
        <w:t>.</w:t>
      </w:r>
      <w:r>
        <w:rPr>
          <w:sz w:val="18"/>
        </w:rPr>
        <w:t>英国的生涯教育机构标准及启示</w:t>
      </w:r>
      <w:r>
        <w:rPr>
          <w:rFonts w:ascii="Times New Roman" w:eastAsia="Times New Roman"/>
          <w:sz w:val="18"/>
        </w:rPr>
        <w:t>[J].</w:t>
      </w:r>
      <w:r>
        <w:rPr>
          <w:sz w:val="18"/>
        </w:rPr>
        <w:t>中国职业技术教育，</w:t>
      </w:r>
      <w:r>
        <w:rPr>
          <w:rFonts w:ascii="Times New Roman" w:eastAsia="Times New Roman"/>
          <w:sz w:val="18"/>
        </w:rPr>
        <w:t>2007</w:t>
      </w:r>
      <w:r>
        <w:rPr>
          <w:sz w:val="18"/>
        </w:rPr>
        <w:t>（</w:t>
      </w:r>
      <w:r>
        <w:rPr>
          <w:rFonts w:ascii="Times New Roman" w:eastAsia="Times New Roman"/>
          <w:sz w:val="18"/>
        </w:rPr>
        <w:t>33</w:t>
      </w:r>
      <w:r>
        <w:rPr>
          <w:sz w:val="18"/>
        </w:rPr>
        <w:t>）：</w:t>
      </w:r>
      <w:r>
        <w:rPr>
          <w:rFonts w:ascii="Times New Roman" w:eastAsia="Times New Roman"/>
          <w:sz w:val="18"/>
        </w:rPr>
        <w:t>41-43.</w:t>
      </w:r>
    </w:p>
    <w:p>
      <w:pPr>
        <w:pStyle w:val="ListParagraph"/>
        <w:numPr>
          <w:ilvl w:val="0"/>
          <w:numId w:val="6"/>
        </w:numPr>
        <w:tabs>
          <w:tab w:pos="1577" w:val="left" w:leader="none"/>
        </w:tabs>
        <w:spacing w:line="240" w:lineRule="auto" w:before="142" w:after="0"/>
        <w:ind w:left="1576" w:right="0" w:hanging="257"/>
        <w:jc w:val="left"/>
        <w:rPr>
          <w:rFonts w:ascii="Times New Roman" w:eastAsia="Times New Roman"/>
          <w:sz w:val="18"/>
        </w:rPr>
      </w:pPr>
      <w:bookmarkStart w:name="_bookmark59" w:id="66"/>
      <w:bookmarkEnd w:id="66"/>
      <w:r>
        <w:rPr/>
      </w:r>
      <w:bookmarkStart w:name="_bookmark59" w:id="67"/>
      <w:bookmarkEnd w:id="67"/>
      <w:r>
        <w:rPr>
          <w:sz w:val="18"/>
        </w:rPr>
        <w:t>韩晓玥</w:t>
      </w:r>
      <w:r>
        <w:rPr>
          <w:rFonts w:ascii="Times New Roman" w:eastAsia="Times New Roman"/>
          <w:sz w:val="18"/>
        </w:rPr>
        <w:t>.</w:t>
      </w:r>
      <w:r>
        <w:rPr>
          <w:sz w:val="18"/>
        </w:rPr>
        <w:t>日本普通高中学生职业生涯教育研究</w:t>
      </w:r>
      <w:r>
        <w:rPr>
          <w:rFonts w:ascii="Times New Roman" w:eastAsia="Times New Roman"/>
          <w:sz w:val="18"/>
        </w:rPr>
        <w:t>[D].</w:t>
      </w:r>
      <w:r>
        <w:rPr>
          <w:sz w:val="18"/>
        </w:rPr>
        <w:t>大连</w:t>
      </w:r>
      <w:r>
        <w:rPr>
          <w:rFonts w:ascii="Times New Roman" w:eastAsia="Times New Roman"/>
          <w:sz w:val="18"/>
        </w:rPr>
        <w:t>:</w:t>
      </w:r>
      <w:r>
        <w:rPr>
          <w:sz w:val="18"/>
        </w:rPr>
        <w:t>辽宁师范大学硕士论文，</w:t>
      </w:r>
      <w:r>
        <w:rPr>
          <w:rFonts w:ascii="Times New Roman" w:eastAsia="Times New Roman"/>
          <w:sz w:val="18"/>
        </w:rPr>
        <w:t>2009</w:t>
      </w:r>
      <w:r>
        <w:rPr>
          <w:sz w:val="18"/>
        </w:rPr>
        <w:t>：</w:t>
      </w:r>
      <w:r>
        <w:rPr>
          <w:rFonts w:ascii="Times New Roman" w:eastAsia="Times New Roman"/>
          <w:sz w:val="18"/>
        </w:rPr>
        <w:t>21.</w:t>
      </w:r>
    </w:p>
    <w:p>
      <w:pPr>
        <w:pStyle w:val="ListParagraph"/>
        <w:numPr>
          <w:ilvl w:val="0"/>
          <w:numId w:val="6"/>
        </w:numPr>
        <w:tabs>
          <w:tab w:pos="1637" w:val="left" w:leader="none"/>
        </w:tabs>
        <w:spacing w:line="240" w:lineRule="auto" w:before="144" w:after="0"/>
        <w:ind w:left="1636" w:right="0" w:hanging="318"/>
        <w:jc w:val="left"/>
        <w:rPr>
          <w:rFonts w:ascii="Times New Roman" w:eastAsia="Times New Roman"/>
          <w:sz w:val="18"/>
        </w:rPr>
      </w:pPr>
      <w:bookmarkStart w:name="_bookmark60" w:id="68"/>
      <w:bookmarkEnd w:id="68"/>
      <w:r>
        <w:rPr/>
      </w:r>
      <w:bookmarkStart w:name="_bookmark60" w:id="69"/>
      <w:bookmarkEnd w:id="69"/>
      <w:r>
        <w:rPr>
          <w:sz w:val="18"/>
        </w:rPr>
        <w:t>彭妙</w:t>
      </w:r>
      <w:r>
        <w:rPr>
          <w:rFonts w:ascii="Times New Roman" w:eastAsia="Times New Roman"/>
          <w:sz w:val="18"/>
        </w:rPr>
        <w:t>.</w:t>
      </w:r>
      <w:r>
        <w:rPr>
          <w:sz w:val="18"/>
        </w:rPr>
        <w:t>加拿大中学生生涯辅导实践及对我国的启示</w:t>
      </w:r>
      <w:r>
        <w:rPr>
          <w:rFonts w:ascii="Times New Roman" w:eastAsia="Times New Roman"/>
          <w:sz w:val="18"/>
        </w:rPr>
        <w:t>[D].</w:t>
      </w:r>
      <w:r>
        <w:rPr>
          <w:sz w:val="18"/>
        </w:rPr>
        <w:t>长沙</w:t>
      </w:r>
      <w:r>
        <w:rPr>
          <w:rFonts w:ascii="Times New Roman" w:eastAsia="Times New Roman"/>
          <w:sz w:val="18"/>
        </w:rPr>
        <w:t>:</w:t>
      </w:r>
      <w:r>
        <w:rPr>
          <w:sz w:val="18"/>
        </w:rPr>
        <w:t>湖南大学硕士论文，</w:t>
      </w:r>
      <w:r>
        <w:rPr>
          <w:rFonts w:ascii="Times New Roman" w:eastAsia="Times New Roman"/>
          <w:sz w:val="18"/>
        </w:rPr>
        <w:t>2010</w:t>
      </w:r>
      <w:r>
        <w:rPr>
          <w:sz w:val="18"/>
        </w:rPr>
        <w:t>：</w:t>
      </w:r>
      <w:r>
        <w:rPr>
          <w:rFonts w:ascii="Times New Roman" w:eastAsia="Times New Roman"/>
          <w:sz w:val="18"/>
        </w:rPr>
        <w:t>1-64.</w:t>
      </w:r>
    </w:p>
    <w:p>
      <w:pPr>
        <w:pStyle w:val="ListParagraph"/>
        <w:numPr>
          <w:ilvl w:val="0"/>
          <w:numId w:val="6"/>
        </w:numPr>
        <w:tabs>
          <w:tab w:pos="1637" w:val="left" w:leader="none"/>
        </w:tabs>
        <w:spacing w:line="240" w:lineRule="auto" w:before="143" w:after="0"/>
        <w:ind w:left="1636" w:right="0" w:hanging="318"/>
        <w:jc w:val="left"/>
        <w:rPr>
          <w:rFonts w:ascii="Times New Roman" w:eastAsia="Times New Roman"/>
          <w:sz w:val="18"/>
        </w:rPr>
      </w:pPr>
      <w:bookmarkStart w:name="_bookmark61" w:id="70"/>
      <w:bookmarkEnd w:id="70"/>
      <w:r>
        <w:rPr/>
      </w:r>
      <w:bookmarkStart w:name="_bookmark61" w:id="71"/>
      <w:bookmarkEnd w:id="71"/>
      <w:r>
        <w:rPr>
          <w:sz w:val="18"/>
        </w:rPr>
        <w:t>沈之菲</w:t>
      </w:r>
      <w:r>
        <w:rPr>
          <w:rFonts w:ascii="Times New Roman" w:eastAsia="Times New Roman"/>
          <w:sz w:val="18"/>
        </w:rPr>
        <w:t>.</w:t>
      </w:r>
      <w:r>
        <w:rPr>
          <w:sz w:val="18"/>
        </w:rPr>
        <w:t>生涯心理辅导</w:t>
      </w:r>
      <w:r>
        <w:rPr>
          <w:rFonts w:ascii="Times New Roman" w:eastAsia="Times New Roman"/>
          <w:sz w:val="18"/>
        </w:rPr>
        <w:t>[M].</w:t>
      </w:r>
      <w:r>
        <w:rPr>
          <w:sz w:val="18"/>
        </w:rPr>
        <w:t>上海</w:t>
      </w:r>
      <w:r>
        <w:rPr>
          <w:rFonts w:ascii="Times New Roman" w:eastAsia="Times New Roman"/>
          <w:sz w:val="18"/>
        </w:rPr>
        <w:t>:</w:t>
      </w:r>
      <w:r>
        <w:rPr>
          <w:sz w:val="18"/>
        </w:rPr>
        <w:t>上海教育出版社，</w:t>
      </w:r>
      <w:r>
        <w:rPr>
          <w:rFonts w:ascii="Times New Roman" w:eastAsia="Times New Roman"/>
          <w:sz w:val="18"/>
        </w:rPr>
        <w:t>2000</w:t>
      </w:r>
      <w:r>
        <w:rPr>
          <w:sz w:val="18"/>
        </w:rPr>
        <w:t>：</w:t>
      </w:r>
      <w:r>
        <w:rPr>
          <w:rFonts w:ascii="Times New Roman" w:eastAsia="Times New Roman"/>
          <w:sz w:val="18"/>
        </w:rPr>
        <w:t>1-100.</w:t>
      </w:r>
    </w:p>
    <w:p>
      <w:pPr>
        <w:pStyle w:val="ListParagraph"/>
        <w:numPr>
          <w:ilvl w:val="0"/>
          <w:numId w:val="6"/>
        </w:numPr>
        <w:tabs>
          <w:tab w:pos="1668" w:val="left" w:leader="none"/>
        </w:tabs>
        <w:spacing w:line="240" w:lineRule="auto" w:before="144" w:after="0"/>
        <w:ind w:left="1668" w:right="0" w:hanging="349"/>
        <w:jc w:val="left"/>
        <w:rPr>
          <w:rFonts w:ascii="Times New Roman" w:eastAsia="Times New Roman"/>
          <w:sz w:val="18"/>
        </w:rPr>
      </w:pPr>
      <w:bookmarkStart w:name="_bookmark62" w:id="72"/>
      <w:bookmarkEnd w:id="72"/>
      <w:r>
        <w:rPr/>
      </w:r>
      <w:bookmarkStart w:name="_bookmark62" w:id="73"/>
      <w:bookmarkEnd w:id="73"/>
      <w:r>
        <w:rPr>
          <w:sz w:val="18"/>
        </w:rPr>
        <w:t>南海</w:t>
      </w:r>
      <w:r>
        <w:rPr>
          <w:rFonts w:ascii="Times New Roman" w:eastAsia="Times New Roman"/>
          <w:sz w:val="18"/>
        </w:rPr>
        <w:t>.</w:t>
      </w:r>
      <w:r>
        <w:rPr>
          <w:sz w:val="18"/>
        </w:rPr>
        <w:t>对生涯教育的哲学思考</w:t>
      </w:r>
      <w:r>
        <w:rPr>
          <w:rFonts w:ascii="Times New Roman" w:eastAsia="Times New Roman"/>
          <w:sz w:val="18"/>
        </w:rPr>
        <w:t>[J].</w:t>
      </w:r>
      <w:r>
        <w:rPr>
          <w:sz w:val="18"/>
        </w:rPr>
        <w:t>山西教育学院学报，</w:t>
      </w:r>
      <w:r>
        <w:rPr>
          <w:rFonts w:ascii="Times New Roman" w:eastAsia="Times New Roman"/>
          <w:sz w:val="18"/>
        </w:rPr>
        <w:t>2001</w:t>
      </w:r>
      <w:r>
        <w:rPr>
          <w:sz w:val="18"/>
        </w:rPr>
        <w:t>（</w:t>
      </w:r>
      <w:r>
        <w:rPr>
          <w:rFonts w:ascii="Times New Roman" w:eastAsia="Times New Roman"/>
          <w:sz w:val="18"/>
        </w:rPr>
        <w:t>04</w:t>
      </w:r>
      <w:r>
        <w:rPr>
          <w:sz w:val="18"/>
        </w:rPr>
        <w:t>）：</w:t>
      </w:r>
      <w:r>
        <w:rPr>
          <w:rFonts w:ascii="Times New Roman" w:eastAsia="Times New Roman"/>
          <w:sz w:val="18"/>
        </w:rPr>
        <w:t>31-32.</w:t>
      </w:r>
    </w:p>
    <w:p>
      <w:pPr>
        <w:pStyle w:val="ListParagraph"/>
        <w:numPr>
          <w:ilvl w:val="0"/>
          <w:numId w:val="6"/>
        </w:numPr>
        <w:tabs>
          <w:tab w:pos="1637" w:val="left" w:leader="none"/>
        </w:tabs>
        <w:spacing w:line="240" w:lineRule="auto" w:before="142" w:after="0"/>
        <w:ind w:left="1636" w:right="0" w:hanging="318"/>
        <w:jc w:val="left"/>
        <w:rPr>
          <w:rFonts w:ascii="Times New Roman" w:eastAsia="Times New Roman"/>
          <w:sz w:val="18"/>
        </w:rPr>
      </w:pPr>
      <w:bookmarkStart w:name="_bookmark63" w:id="74"/>
      <w:bookmarkEnd w:id="74"/>
      <w:r>
        <w:rPr/>
      </w:r>
      <w:bookmarkStart w:name="_bookmark63" w:id="75"/>
      <w:bookmarkEnd w:id="75"/>
      <w:r>
        <w:rPr>
          <w:sz w:val="18"/>
        </w:rPr>
        <w:t>尤敬党</w:t>
      </w:r>
      <w:r>
        <w:rPr>
          <w:rFonts w:ascii="Times New Roman" w:eastAsia="Times New Roman"/>
          <w:sz w:val="18"/>
        </w:rPr>
        <w:t>,</w:t>
      </w:r>
      <w:r>
        <w:rPr>
          <w:sz w:val="18"/>
        </w:rPr>
        <w:t>吴大同</w:t>
      </w:r>
      <w:r>
        <w:rPr>
          <w:rFonts w:ascii="Times New Roman" w:eastAsia="Times New Roman"/>
          <w:sz w:val="18"/>
        </w:rPr>
        <w:t>.</w:t>
      </w:r>
      <w:r>
        <w:rPr>
          <w:sz w:val="18"/>
        </w:rPr>
        <w:t>生涯教育论</w:t>
      </w:r>
      <w:r>
        <w:rPr>
          <w:rFonts w:ascii="Times New Roman" w:eastAsia="Times New Roman"/>
          <w:sz w:val="18"/>
        </w:rPr>
        <w:t>[J].</w:t>
      </w:r>
      <w:r>
        <w:rPr>
          <w:sz w:val="18"/>
        </w:rPr>
        <w:t>江苏教育学院</w:t>
      </w:r>
      <w:r>
        <w:rPr>
          <w:rFonts w:ascii="Times New Roman" w:eastAsia="Times New Roman"/>
          <w:sz w:val="18"/>
        </w:rPr>
        <w:t>(</w:t>
      </w:r>
      <w:r>
        <w:rPr>
          <w:sz w:val="18"/>
        </w:rPr>
        <w:t>社会科学版</w:t>
      </w:r>
      <w:r>
        <w:rPr>
          <w:rFonts w:ascii="Times New Roman" w:eastAsia="Times New Roman"/>
          <w:sz w:val="18"/>
        </w:rPr>
        <w:t>)</w:t>
      </w:r>
      <w:r>
        <w:rPr>
          <w:sz w:val="18"/>
        </w:rPr>
        <w:t>，</w:t>
      </w:r>
      <w:r>
        <w:rPr>
          <w:rFonts w:ascii="Times New Roman" w:eastAsia="Times New Roman"/>
          <w:sz w:val="18"/>
        </w:rPr>
        <w:t>20</w:t>
      </w:r>
      <w:r>
        <w:rPr>
          <w:sz w:val="18"/>
        </w:rPr>
        <w:t>（</w:t>
      </w:r>
      <w:r>
        <w:rPr>
          <w:rFonts w:ascii="Times New Roman" w:eastAsia="Times New Roman"/>
          <w:sz w:val="18"/>
        </w:rPr>
        <w:t>1</w:t>
      </w:r>
      <w:r>
        <w:rPr>
          <w:sz w:val="18"/>
        </w:rPr>
        <w:t>）：</w:t>
      </w:r>
      <w:r>
        <w:rPr>
          <w:rFonts w:ascii="Times New Roman" w:eastAsia="Times New Roman"/>
          <w:sz w:val="18"/>
        </w:rPr>
        <w:t>12-16.</w:t>
      </w:r>
    </w:p>
    <w:p>
      <w:pPr>
        <w:pStyle w:val="ListParagraph"/>
        <w:numPr>
          <w:ilvl w:val="0"/>
          <w:numId w:val="6"/>
        </w:numPr>
        <w:tabs>
          <w:tab w:pos="1637" w:val="left" w:leader="none"/>
        </w:tabs>
        <w:spacing w:line="240" w:lineRule="auto" w:before="145" w:after="0"/>
        <w:ind w:left="1636" w:right="0" w:hanging="318"/>
        <w:jc w:val="left"/>
        <w:rPr>
          <w:rFonts w:ascii="Times New Roman" w:eastAsia="Times New Roman"/>
          <w:sz w:val="18"/>
        </w:rPr>
      </w:pPr>
      <w:bookmarkStart w:name="_bookmark64" w:id="76"/>
      <w:bookmarkEnd w:id="76"/>
      <w:r>
        <w:rPr/>
      </w:r>
      <w:bookmarkStart w:name="_bookmark64" w:id="77"/>
      <w:bookmarkEnd w:id="77"/>
      <w:r>
        <w:rPr>
          <w:sz w:val="18"/>
        </w:rPr>
        <w:t>刘静</w:t>
      </w:r>
      <w:r>
        <w:rPr>
          <w:rFonts w:ascii="Times New Roman" w:eastAsia="Times New Roman"/>
          <w:sz w:val="18"/>
        </w:rPr>
        <w:t>.</w:t>
      </w:r>
      <w:r>
        <w:rPr>
          <w:sz w:val="18"/>
        </w:rPr>
        <w:t>高考改革背景下高中生涯规划教育的重新审视</w:t>
      </w:r>
      <w:r>
        <w:rPr>
          <w:rFonts w:ascii="Times New Roman" w:eastAsia="Times New Roman"/>
          <w:sz w:val="18"/>
        </w:rPr>
        <w:t>[J].</w:t>
      </w:r>
      <w:r>
        <w:rPr>
          <w:sz w:val="18"/>
        </w:rPr>
        <w:t>教育发展研究，</w:t>
      </w:r>
      <w:r>
        <w:rPr>
          <w:rFonts w:ascii="Times New Roman" w:eastAsia="Times New Roman"/>
          <w:sz w:val="18"/>
        </w:rPr>
        <w:t>2015</w:t>
      </w:r>
      <w:r>
        <w:rPr>
          <w:sz w:val="18"/>
        </w:rPr>
        <w:t>（</w:t>
      </w:r>
      <w:r>
        <w:rPr>
          <w:rFonts w:ascii="Times New Roman" w:eastAsia="Times New Roman"/>
          <w:sz w:val="18"/>
        </w:rPr>
        <w:t>20</w:t>
      </w:r>
      <w:r>
        <w:rPr>
          <w:sz w:val="18"/>
        </w:rPr>
        <w:t>）：</w:t>
      </w:r>
      <w:r>
        <w:rPr>
          <w:rFonts w:ascii="Times New Roman" w:eastAsia="Times New Roman"/>
          <w:sz w:val="18"/>
        </w:rPr>
        <w:t>32-38.</w:t>
      </w:r>
    </w:p>
    <w:p>
      <w:pPr>
        <w:spacing w:after="0" w:line="240" w:lineRule="auto"/>
        <w:jc w:val="left"/>
        <w:rPr>
          <w:rFonts w:ascii="Times New Roman" w:eastAsia="Times New Roman"/>
          <w:sz w:val="18"/>
        </w:rPr>
        <w:sectPr>
          <w:pgSz w:w="11910" w:h="16840"/>
          <w:pgMar w:header="878" w:footer="1191" w:top="1300" w:bottom="1380" w:left="480" w:right="220"/>
        </w:sectPr>
      </w:pPr>
    </w:p>
    <w:p>
      <w:pPr>
        <w:pStyle w:val="BodyText"/>
        <w:spacing w:before="3"/>
        <w:rPr>
          <w:rFonts w:ascii="Times New Roman"/>
          <w:sz w:val="11"/>
        </w:rPr>
      </w:pPr>
    </w:p>
    <w:p>
      <w:pPr>
        <w:pStyle w:val="BodyText"/>
        <w:spacing w:line="364" w:lineRule="auto" w:before="80"/>
        <w:ind w:left="1320" w:right="1455"/>
      </w:pPr>
      <w:r>
        <w:rPr>
          <w:spacing w:val="-9"/>
        </w:rPr>
        <w:t>注，如李金碧</w:t>
      </w:r>
      <w:hyperlink w:history="true" w:anchor="_bookmark65">
        <w:r>
          <w:rPr>
            <w:rFonts w:ascii="Times New Roman" w:eastAsia="Times New Roman"/>
            <w:position w:val="8"/>
            <w:sz w:val="15"/>
          </w:rPr>
          <w:t>[1</w:t>
        </w:r>
      </w:hyperlink>
      <w:r>
        <w:rPr>
          <w:rFonts w:ascii="Times New Roman" w:eastAsia="Times New Roman"/>
          <w:position w:val="8"/>
          <w:sz w:val="15"/>
        </w:rPr>
        <w:t>]</w:t>
      </w:r>
      <w:r>
        <w:rPr>
          <w:spacing w:val="-16"/>
        </w:rPr>
        <w:t>、刘华</w:t>
      </w:r>
      <w:r>
        <w:rPr>
          <w:rFonts w:ascii="Times New Roman" w:eastAsia="Times New Roman"/>
          <w:position w:val="8"/>
          <w:sz w:val="15"/>
        </w:rPr>
        <w:t>[</w:t>
      </w:r>
      <w:hyperlink w:history="true" w:anchor="_bookmark66">
        <w:r>
          <w:rPr>
            <w:rFonts w:ascii="Times New Roman" w:eastAsia="Times New Roman"/>
            <w:position w:val="8"/>
            <w:sz w:val="15"/>
          </w:rPr>
          <w:t>2</w:t>
        </w:r>
      </w:hyperlink>
      <w:r>
        <w:rPr>
          <w:rFonts w:ascii="Times New Roman" w:eastAsia="Times New Roman"/>
          <w:position w:val="8"/>
          <w:sz w:val="15"/>
        </w:rPr>
        <w:t>]</w:t>
      </w:r>
      <w:r>
        <w:rPr>
          <w:spacing w:val="-1"/>
        </w:rPr>
        <w:t>等人指出了生涯规划教育在基础教育领域中的重要意义。</w:t>
      </w:r>
      <w:r>
        <w:rPr/>
        <w:t>申仁洪</w:t>
      </w:r>
      <w:r>
        <w:rPr>
          <w:rFonts w:ascii="Times New Roman" w:eastAsia="Times New Roman"/>
          <w:position w:val="8"/>
          <w:sz w:val="15"/>
        </w:rPr>
        <w:t>[</w:t>
      </w:r>
      <w:hyperlink w:history="true" w:anchor="_bookmark67">
        <w:r>
          <w:rPr>
            <w:rFonts w:ascii="Times New Roman" w:eastAsia="Times New Roman"/>
            <w:position w:val="8"/>
            <w:sz w:val="15"/>
          </w:rPr>
          <w:t>3</w:t>
        </w:r>
      </w:hyperlink>
      <w:r>
        <w:rPr>
          <w:rFonts w:ascii="Times New Roman" w:eastAsia="Times New Roman"/>
          <w:position w:val="8"/>
          <w:sz w:val="15"/>
        </w:rPr>
        <w:t>]</w:t>
      </w:r>
      <w:r>
        <w:rPr>
          <w:spacing w:val="-2"/>
        </w:rPr>
        <w:t>提出以生涯发展的视角思考基础教育课程，有利于真正实现其训练心智</w:t>
      </w:r>
      <w:r>
        <w:rPr>
          <w:spacing w:val="-10"/>
        </w:rPr>
        <w:t>与提升实用技能的双重价值。高中阶段的生涯规划教育也逐渐成为了学者研究的重点，如赵清海、李丽芳</w:t>
      </w:r>
      <w:r>
        <w:rPr>
          <w:rFonts w:ascii="Times New Roman" w:eastAsia="Times New Roman"/>
          <w:spacing w:val="-10"/>
          <w:position w:val="8"/>
          <w:sz w:val="15"/>
        </w:rPr>
        <w:t>[</w:t>
      </w:r>
      <w:hyperlink w:history="true" w:anchor="_bookmark68">
        <w:r>
          <w:rPr>
            <w:rFonts w:ascii="Times New Roman" w:eastAsia="Times New Roman"/>
            <w:spacing w:val="-10"/>
            <w:position w:val="8"/>
            <w:sz w:val="15"/>
          </w:rPr>
          <w:t>4</w:t>
        </w:r>
      </w:hyperlink>
      <w:r>
        <w:rPr>
          <w:rFonts w:ascii="Times New Roman" w:eastAsia="Times New Roman"/>
          <w:spacing w:val="-10"/>
          <w:position w:val="8"/>
          <w:sz w:val="15"/>
        </w:rPr>
        <w:t>]</w:t>
      </w:r>
      <w:r>
        <w:rPr>
          <w:spacing w:val="-10"/>
        </w:rPr>
        <w:t>对高中生涯规划教育的价值进行了分析；阮越</w:t>
      </w:r>
      <w:r>
        <w:rPr>
          <w:rFonts w:ascii="Times New Roman" w:eastAsia="Times New Roman"/>
          <w:spacing w:val="-10"/>
          <w:position w:val="8"/>
          <w:sz w:val="15"/>
        </w:rPr>
        <w:t>[</w:t>
      </w:r>
      <w:hyperlink w:history="true" w:anchor="_bookmark69">
        <w:r>
          <w:rPr>
            <w:rFonts w:ascii="Times New Roman" w:eastAsia="Times New Roman"/>
            <w:spacing w:val="-10"/>
            <w:position w:val="8"/>
            <w:sz w:val="15"/>
          </w:rPr>
          <w:t>5</w:t>
        </w:r>
      </w:hyperlink>
      <w:r>
        <w:rPr>
          <w:rFonts w:ascii="Times New Roman" w:eastAsia="Times New Roman"/>
          <w:spacing w:val="-10"/>
          <w:position w:val="8"/>
          <w:sz w:val="15"/>
        </w:rPr>
        <w:t>]</w:t>
      </w:r>
      <w:r>
        <w:rPr>
          <w:spacing w:val="-10"/>
        </w:rPr>
        <w:t>等学者探析了高中生涯规划教育的内涵。</w:t>
      </w:r>
    </w:p>
    <w:p>
      <w:pPr>
        <w:pStyle w:val="ListParagraph"/>
        <w:numPr>
          <w:ilvl w:val="0"/>
          <w:numId w:val="4"/>
        </w:numPr>
        <w:tabs>
          <w:tab w:pos="2401" w:val="left" w:leader="none"/>
        </w:tabs>
        <w:spacing w:line="240" w:lineRule="auto" w:before="3" w:after="0"/>
        <w:ind w:left="2401" w:right="0" w:hanging="601"/>
        <w:jc w:val="left"/>
        <w:rPr>
          <w:sz w:val="24"/>
        </w:rPr>
      </w:pPr>
      <w:r>
        <w:rPr>
          <w:sz w:val="24"/>
        </w:rPr>
        <w:t>关于生涯规划教育的实施研究</w:t>
      </w:r>
    </w:p>
    <w:p>
      <w:pPr>
        <w:pStyle w:val="BodyText"/>
        <w:spacing w:line="364" w:lineRule="auto" w:before="161"/>
        <w:ind w:left="1319" w:right="1455" w:firstLine="480"/>
      </w:pPr>
      <w:r>
        <w:rPr>
          <w:spacing w:val="-4"/>
        </w:rPr>
        <w:t>当前关于基础教育领域生涯规划教育实施的研究主要集中于高中阶段，如蔡娅丽</w:t>
      </w:r>
      <w:hyperlink w:history="true" w:anchor="_bookmark70">
        <w:r>
          <w:rPr>
            <w:rFonts w:ascii="Times New Roman" w:eastAsia="Times New Roman"/>
            <w:spacing w:val="-4"/>
            <w:position w:val="8"/>
            <w:sz w:val="15"/>
          </w:rPr>
          <w:t>[6</w:t>
        </w:r>
      </w:hyperlink>
      <w:r>
        <w:rPr>
          <w:rFonts w:ascii="Times New Roman" w:eastAsia="Times New Roman"/>
          <w:spacing w:val="-4"/>
          <w:position w:val="8"/>
          <w:sz w:val="15"/>
        </w:rPr>
        <w:t>]</w:t>
      </w:r>
      <w:r>
        <w:rPr>
          <w:spacing w:val="-4"/>
        </w:rPr>
        <w:t>、李荣</w:t>
      </w:r>
      <w:r>
        <w:rPr>
          <w:rFonts w:ascii="Times New Roman" w:eastAsia="Times New Roman"/>
          <w:spacing w:val="-4"/>
          <w:position w:val="8"/>
          <w:sz w:val="15"/>
        </w:rPr>
        <w:t>[</w:t>
      </w:r>
      <w:hyperlink w:history="true" w:anchor="_bookmark71">
        <w:r>
          <w:rPr>
            <w:rFonts w:ascii="Times New Roman" w:eastAsia="Times New Roman"/>
            <w:spacing w:val="-4"/>
            <w:position w:val="8"/>
            <w:sz w:val="15"/>
          </w:rPr>
          <w:t>7</w:t>
        </w:r>
      </w:hyperlink>
      <w:r>
        <w:rPr>
          <w:rFonts w:ascii="Times New Roman" w:eastAsia="Times New Roman"/>
          <w:spacing w:val="-4"/>
          <w:position w:val="8"/>
          <w:sz w:val="15"/>
        </w:rPr>
        <w:t>]</w:t>
      </w:r>
      <w:r>
        <w:rPr>
          <w:spacing w:val="-4"/>
        </w:rPr>
        <w:t>等众多学者都对如何在普通高中开展生涯规划教育进行了探讨。</w:t>
      </w:r>
      <w:r>
        <w:rPr>
          <w:spacing w:val="-17"/>
        </w:rPr>
        <w:t>大致可以分两类：其一，借鉴发达国家的成熟经验，从生涯规划教育实施的目标、</w:t>
      </w:r>
      <w:r>
        <w:rPr>
          <w:spacing w:val="-9"/>
        </w:rPr>
        <w:t>原则、方式等方面系统阐释了我国普通高中生涯规划教育推进的途径与策略，如梁淑琴</w:t>
      </w:r>
      <w:r>
        <w:rPr>
          <w:rFonts w:ascii="Times New Roman" w:eastAsia="Times New Roman"/>
          <w:spacing w:val="-9"/>
          <w:position w:val="8"/>
          <w:sz w:val="15"/>
        </w:rPr>
        <w:t>[</w:t>
      </w:r>
      <w:hyperlink w:history="true" w:anchor="_bookmark72">
        <w:r>
          <w:rPr>
            <w:rFonts w:ascii="Times New Roman" w:eastAsia="Times New Roman"/>
            <w:spacing w:val="-9"/>
            <w:position w:val="8"/>
            <w:sz w:val="15"/>
          </w:rPr>
          <w:t>8</w:t>
        </w:r>
      </w:hyperlink>
      <w:r>
        <w:rPr>
          <w:rFonts w:ascii="Times New Roman" w:eastAsia="Times New Roman"/>
          <w:spacing w:val="-9"/>
          <w:position w:val="8"/>
          <w:sz w:val="15"/>
        </w:rPr>
        <w:t>]</w:t>
      </w:r>
      <w:r>
        <w:rPr>
          <w:spacing w:val="-9"/>
        </w:rPr>
        <w:t>、黄岳辉</w:t>
      </w:r>
      <w:r>
        <w:rPr>
          <w:rFonts w:ascii="Times New Roman" w:eastAsia="Times New Roman"/>
          <w:spacing w:val="-9"/>
          <w:position w:val="8"/>
          <w:sz w:val="15"/>
        </w:rPr>
        <w:t>[</w:t>
      </w:r>
      <w:hyperlink w:history="true" w:anchor="_bookmark73">
        <w:r>
          <w:rPr>
            <w:rFonts w:ascii="Times New Roman" w:eastAsia="Times New Roman"/>
            <w:spacing w:val="-9"/>
            <w:position w:val="8"/>
            <w:sz w:val="15"/>
          </w:rPr>
          <w:t>9</w:t>
        </w:r>
      </w:hyperlink>
      <w:r>
        <w:rPr>
          <w:rFonts w:ascii="Times New Roman" w:eastAsia="Times New Roman"/>
          <w:spacing w:val="-9"/>
          <w:position w:val="8"/>
          <w:sz w:val="15"/>
        </w:rPr>
        <w:t>]</w:t>
      </w:r>
      <w:r>
        <w:rPr>
          <w:spacing w:val="-9"/>
        </w:rPr>
        <w:t>等。其二，结合具体的案例分析我国生涯规划教育的实施现</w:t>
      </w:r>
      <w:r>
        <w:rPr>
          <w:spacing w:val="-11"/>
        </w:rPr>
        <w:t>状，指出问题所在，并提出相关对策与建议，如，王雅文</w:t>
      </w:r>
      <w:r>
        <w:rPr>
          <w:rFonts w:ascii="Times New Roman" w:eastAsia="Times New Roman"/>
          <w:position w:val="8"/>
          <w:sz w:val="15"/>
        </w:rPr>
        <w:t>[</w:t>
      </w:r>
      <w:hyperlink w:history="true" w:anchor="_bookmark74">
        <w:r>
          <w:rPr>
            <w:rFonts w:ascii="Times New Roman" w:eastAsia="Times New Roman"/>
            <w:position w:val="8"/>
            <w:sz w:val="15"/>
          </w:rPr>
          <w:t>10</w:t>
        </w:r>
      </w:hyperlink>
      <w:r>
        <w:rPr>
          <w:rFonts w:ascii="Times New Roman" w:eastAsia="Times New Roman"/>
          <w:position w:val="8"/>
          <w:sz w:val="15"/>
        </w:rPr>
        <w:t>]</w:t>
      </w:r>
      <w:r>
        <w:rPr>
          <w:spacing w:val="-10"/>
        </w:rPr>
        <w:t>依据对上海 </w:t>
      </w:r>
      <w:r>
        <w:rPr>
          <w:rFonts w:ascii="Times New Roman" w:eastAsia="Times New Roman"/>
        </w:rPr>
        <w:t>6 </w:t>
      </w:r>
      <w:r>
        <w:rPr/>
        <w:t>所高中</w:t>
      </w:r>
      <w:r>
        <w:rPr>
          <w:spacing w:val="-9"/>
        </w:rPr>
        <w:t>的生涯规划教育的调查，分析了上海市普通高中生涯规划教育的现状并指出其原</w:t>
      </w:r>
      <w:r>
        <w:rPr>
          <w:spacing w:val="-10"/>
        </w:rPr>
        <w:t>因，结合国内外的经验提出建议。这些研究以硕士论文为主，从理论层面对生涯规划教育的实施展开论述，但是提出的建议大多大同小异，缺乏新意。</w:t>
      </w:r>
    </w:p>
    <w:p>
      <w:pPr>
        <w:pStyle w:val="BodyText"/>
        <w:spacing w:line="364" w:lineRule="auto" w:before="5"/>
        <w:ind w:left="1319" w:right="1577" w:firstLine="480"/>
        <w:jc w:val="both"/>
      </w:pPr>
      <w:r>
        <w:rPr>
          <w:spacing w:val="-10"/>
        </w:rPr>
        <w:t>总体看来，我国关于生涯规划教育的理论研究较为详实，关于中学生涯教育</w:t>
      </w:r>
      <w:r>
        <w:rPr>
          <w:spacing w:val="-8"/>
        </w:rPr>
        <w:t>的建议和方案也早有提出，但目前为止，我国生涯规划教育实践仍处于实验和探</w:t>
      </w:r>
      <w:r>
        <w:rPr>
          <w:spacing w:val="-10"/>
        </w:rPr>
        <w:t>索阶段，尤其是普通高中的生涯规划教育几乎缓慢前行。国内虽有台湾和香港地</w:t>
      </w:r>
      <w:r>
        <w:rPr/>
        <w:t>区做得比较好，但总体上，我国普通高中生涯规划教育的实践非常薄弱。</w:t>
      </w:r>
    </w:p>
    <w:p>
      <w:pPr>
        <w:pStyle w:val="BodyText"/>
        <w:rPr>
          <w:sz w:val="20"/>
        </w:rPr>
      </w:pPr>
    </w:p>
    <w:p>
      <w:pPr>
        <w:pStyle w:val="BodyText"/>
        <w:rPr>
          <w:sz w:val="20"/>
        </w:rPr>
      </w:pPr>
    </w:p>
    <w:p>
      <w:pPr>
        <w:pStyle w:val="BodyText"/>
        <w:spacing w:before="1"/>
        <w:rPr>
          <w:sz w:val="20"/>
        </w:rPr>
      </w:pPr>
      <w:r>
        <w:rPr/>
        <w:pict>
          <v:shape style="position:absolute;margin-left:90pt;margin-top:14.818896pt;width:144pt;height:.1pt;mso-position-horizontal-relative:page;mso-position-vertical-relative:paragraph;z-index:-251632640;mso-wrap-distance-left:0;mso-wrap-distance-right:0" coordorigin="1800,296" coordsize="2880,0" path="m1800,296l4680,296e" filled="false" stroked="true" strokeweight="0pt" strokecolor="#000000">
            <v:path arrowok="t"/>
            <v:stroke dashstyle="solid"/>
            <w10:wrap type="topAndBottom"/>
          </v:shape>
        </w:pict>
      </w:r>
    </w:p>
    <w:p>
      <w:pPr>
        <w:pStyle w:val="ListParagraph"/>
        <w:numPr>
          <w:ilvl w:val="0"/>
          <w:numId w:val="7"/>
        </w:numPr>
        <w:tabs>
          <w:tab w:pos="1558" w:val="left" w:leader="none"/>
        </w:tabs>
        <w:spacing w:line="240" w:lineRule="auto" w:before="97" w:after="0"/>
        <w:ind w:left="1557" w:right="0" w:hanging="238"/>
        <w:jc w:val="left"/>
        <w:rPr>
          <w:rFonts w:ascii="Times New Roman" w:eastAsia="Times New Roman"/>
          <w:sz w:val="18"/>
        </w:rPr>
      </w:pPr>
      <w:bookmarkStart w:name="_bookmark65" w:id="78"/>
      <w:bookmarkEnd w:id="78"/>
      <w:r>
        <w:rPr/>
      </w:r>
      <w:bookmarkStart w:name="_bookmark65" w:id="79"/>
      <w:bookmarkEnd w:id="79"/>
      <w:r>
        <w:rPr>
          <w:sz w:val="18"/>
        </w:rPr>
        <w:t>李金碧</w:t>
      </w:r>
      <w:r>
        <w:rPr>
          <w:rFonts w:ascii="Times New Roman" w:eastAsia="Times New Roman"/>
          <w:sz w:val="18"/>
        </w:rPr>
        <w:t>.</w:t>
      </w:r>
      <w:r>
        <w:rPr>
          <w:sz w:val="18"/>
        </w:rPr>
        <w:t>生涯教育</w:t>
      </w:r>
      <w:r>
        <w:rPr>
          <w:rFonts w:ascii="Times New Roman" w:eastAsia="Times New Roman"/>
          <w:sz w:val="18"/>
        </w:rPr>
        <w:t>:</w:t>
      </w:r>
      <w:r>
        <w:rPr>
          <w:sz w:val="18"/>
        </w:rPr>
        <w:t>基础教育不可或缺的领域</w:t>
      </w:r>
      <w:r>
        <w:rPr>
          <w:rFonts w:ascii="Times New Roman" w:eastAsia="Times New Roman"/>
          <w:sz w:val="18"/>
        </w:rPr>
        <w:t>[J].</w:t>
      </w:r>
      <w:r>
        <w:rPr>
          <w:sz w:val="18"/>
        </w:rPr>
        <w:t>教育理论与实践，</w:t>
      </w:r>
      <w:r>
        <w:rPr>
          <w:rFonts w:ascii="Times New Roman" w:eastAsia="Times New Roman"/>
          <w:sz w:val="18"/>
        </w:rPr>
        <w:t>2005</w:t>
      </w:r>
      <w:r>
        <w:rPr>
          <w:sz w:val="18"/>
        </w:rPr>
        <w:t>（</w:t>
      </w:r>
      <w:r>
        <w:rPr>
          <w:rFonts w:ascii="Times New Roman" w:eastAsia="Times New Roman"/>
          <w:sz w:val="18"/>
        </w:rPr>
        <w:t>25</w:t>
      </w:r>
      <w:r>
        <w:rPr>
          <w:sz w:val="18"/>
        </w:rPr>
        <w:t>）：</w:t>
      </w:r>
      <w:r>
        <w:rPr>
          <w:rFonts w:ascii="Times New Roman" w:eastAsia="Times New Roman"/>
          <w:sz w:val="18"/>
        </w:rPr>
        <w:t>15-18.</w:t>
      </w:r>
    </w:p>
    <w:p>
      <w:pPr>
        <w:pStyle w:val="ListParagraph"/>
        <w:numPr>
          <w:ilvl w:val="0"/>
          <w:numId w:val="7"/>
        </w:numPr>
        <w:tabs>
          <w:tab w:pos="1589" w:val="left" w:leader="none"/>
        </w:tabs>
        <w:spacing w:line="240" w:lineRule="auto" w:before="75" w:after="0"/>
        <w:ind w:left="1588" w:right="0" w:hanging="269"/>
        <w:jc w:val="left"/>
        <w:rPr>
          <w:rFonts w:ascii="Times New Roman" w:eastAsia="Times New Roman"/>
          <w:sz w:val="18"/>
        </w:rPr>
      </w:pPr>
      <w:bookmarkStart w:name="_bookmark66" w:id="80"/>
      <w:bookmarkEnd w:id="80"/>
      <w:r>
        <w:rPr/>
      </w:r>
      <w:bookmarkStart w:name="_bookmark66" w:id="81"/>
      <w:bookmarkEnd w:id="81"/>
      <w:r>
        <w:rPr>
          <w:sz w:val="18"/>
        </w:rPr>
        <w:t>刘华，郭兆明</w:t>
      </w:r>
      <w:r>
        <w:rPr>
          <w:rFonts w:ascii="Times New Roman" w:eastAsia="Times New Roman"/>
          <w:sz w:val="18"/>
        </w:rPr>
        <w:t>.</w:t>
      </w:r>
      <w:r>
        <w:rPr>
          <w:sz w:val="18"/>
        </w:rPr>
        <w:t>生涯教育</w:t>
      </w:r>
      <w:r>
        <w:rPr>
          <w:rFonts w:ascii="Times New Roman" w:eastAsia="Times New Roman"/>
          <w:sz w:val="18"/>
        </w:rPr>
        <w:t>:</w:t>
      </w:r>
      <w:r>
        <w:rPr>
          <w:sz w:val="18"/>
        </w:rPr>
        <w:t>基础教育课程改革不可或缺的支点</w:t>
      </w:r>
      <w:r>
        <w:rPr>
          <w:rFonts w:ascii="Times New Roman" w:eastAsia="Times New Roman"/>
          <w:sz w:val="18"/>
        </w:rPr>
        <w:t>[J].</w:t>
      </w:r>
      <w:r>
        <w:rPr>
          <w:sz w:val="18"/>
        </w:rPr>
        <w:t>教育发展研究，</w:t>
      </w:r>
      <w:r>
        <w:rPr>
          <w:rFonts w:ascii="Times New Roman" w:eastAsia="Times New Roman"/>
          <w:sz w:val="18"/>
        </w:rPr>
        <w:t>2013</w:t>
      </w:r>
      <w:r>
        <w:rPr>
          <w:sz w:val="18"/>
        </w:rPr>
        <w:t>（</w:t>
      </w:r>
      <w:r>
        <w:rPr>
          <w:rFonts w:ascii="Times New Roman" w:eastAsia="Times New Roman"/>
          <w:sz w:val="18"/>
        </w:rPr>
        <w:t>20</w:t>
      </w:r>
      <w:r>
        <w:rPr>
          <w:sz w:val="18"/>
        </w:rPr>
        <w:t>）：</w:t>
      </w:r>
      <w:r>
        <w:rPr>
          <w:rFonts w:ascii="Times New Roman" w:eastAsia="Times New Roman"/>
          <w:sz w:val="18"/>
        </w:rPr>
        <w:t>6-11.</w:t>
      </w:r>
    </w:p>
    <w:p>
      <w:pPr>
        <w:pStyle w:val="ListParagraph"/>
        <w:numPr>
          <w:ilvl w:val="0"/>
          <w:numId w:val="7"/>
        </w:numPr>
        <w:tabs>
          <w:tab w:pos="1558" w:val="left" w:leader="none"/>
        </w:tabs>
        <w:spacing w:line="240" w:lineRule="auto" w:before="75" w:after="0"/>
        <w:ind w:left="1557" w:right="0" w:hanging="238"/>
        <w:jc w:val="left"/>
        <w:rPr>
          <w:rFonts w:ascii="Times New Roman" w:eastAsia="Times New Roman"/>
          <w:sz w:val="18"/>
        </w:rPr>
      </w:pPr>
      <w:bookmarkStart w:name="_bookmark67" w:id="82"/>
      <w:bookmarkEnd w:id="82"/>
      <w:r>
        <w:rPr/>
      </w:r>
      <w:bookmarkStart w:name="_bookmark67" w:id="83"/>
      <w:bookmarkEnd w:id="83"/>
      <w:r>
        <w:rPr>
          <w:sz w:val="18"/>
        </w:rPr>
        <w:t>申仁洪</w:t>
      </w:r>
      <w:r>
        <w:rPr>
          <w:rFonts w:ascii="Times New Roman" w:eastAsia="Times New Roman"/>
          <w:sz w:val="18"/>
        </w:rPr>
        <w:t>.</w:t>
      </w:r>
      <w:r>
        <w:rPr>
          <w:sz w:val="18"/>
        </w:rPr>
        <w:t>基础教育课程</w:t>
      </w:r>
      <w:r>
        <w:rPr>
          <w:rFonts w:ascii="Times New Roman" w:eastAsia="Times New Roman"/>
          <w:sz w:val="18"/>
        </w:rPr>
        <w:t>:</w:t>
      </w:r>
      <w:r>
        <w:rPr>
          <w:sz w:val="18"/>
        </w:rPr>
        <w:t>生涯发展视角</w:t>
      </w:r>
      <w:r>
        <w:rPr>
          <w:rFonts w:ascii="Times New Roman" w:eastAsia="Times New Roman"/>
          <w:sz w:val="18"/>
        </w:rPr>
        <w:t>[J].</w:t>
      </w:r>
      <w:r>
        <w:rPr>
          <w:sz w:val="18"/>
        </w:rPr>
        <w:t>教育研究，</w:t>
      </w:r>
      <w:r>
        <w:rPr>
          <w:rFonts w:ascii="Times New Roman" w:eastAsia="Times New Roman"/>
          <w:sz w:val="18"/>
        </w:rPr>
        <w:t>2007</w:t>
      </w:r>
      <w:r>
        <w:rPr>
          <w:sz w:val="18"/>
        </w:rPr>
        <w:t>（</w:t>
      </w:r>
      <w:r>
        <w:rPr>
          <w:rFonts w:ascii="Times New Roman" w:eastAsia="Times New Roman"/>
          <w:sz w:val="18"/>
        </w:rPr>
        <w:t>3</w:t>
      </w:r>
      <w:r>
        <w:rPr>
          <w:sz w:val="18"/>
        </w:rPr>
        <w:t>）：</w:t>
      </w:r>
      <w:r>
        <w:rPr>
          <w:rFonts w:ascii="Times New Roman" w:eastAsia="Times New Roman"/>
          <w:sz w:val="18"/>
        </w:rPr>
        <w:t>66-71.</w:t>
      </w:r>
    </w:p>
    <w:p>
      <w:pPr>
        <w:spacing w:before="75"/>
        <w:ind w:left="1319" w:right="0" w:firstLine="0"/>
        <w:jc w:val="left"/>
        <w:rPr>
          <w:rFonts w:ascii="Times New Roman" w:eastAsia="Times New Roman"/>
          <w:sz w:val="18"/>
        </w:rPr>
      </w:pPr>
      <w:bookmarkStart w:name="_bookmark68" w:id="84"/>
      <w:bookmarkEnd w:id="84"/>
      <w:r>
        <w:rPr/>
      </w:r>
      <w:r>
        <w:rPr>
          <w:rFonts w:ascii="Times New Roman" w:eastAsia="Times New Roman"/>
          <w:position w:val="7"/>
          <w:sz w:val="13"/>
        </w:rPr>
        <w:t>[4] </w:t>
      </w:r>
      <w:r>
        <w:rPr>
          <w:sz w:val="18"/>
        </w:rPr>
        <w:t>赵清海</w:t>
      </w:r>
      <w:r>
        <w:rPr>
          <w:rFonts w:ascii="Times New Roman" w:eastAsia="Times New Roman"/>
          <w:sz w:val="18"/>
        </w:rPr>
        <w:t>.</w:t>
      </w:r>
      <w:r>
        <w:rPr>
          <w:sz w:val="18"/>
        </w:rPr>
        <w:t>李丽芳</w:t>
      </w:r>
      <w:r>
        <w:rPr>
          <w:rFonts w:ascii="Times New Roman" w:eastAsia="Times New Roman"/>
          <w:sz w:val="18"/>
        </w:rPr>
        <w:t>.</w:t>
      </w:r>
      <w:r>
        <w:rPr>
          <w:sz w:val="18"/>
        </w:rPr>
        <w:t>高中生涯规划教育教育的必要性及其实施策略</w:t>
      </w:r>
      <w:r>
        <w:rPr>
          <w:rFonts w:ascii="Times New Roman" w:eastAsia="Times New Roman"/>
          <w:sz w:val="18"/>
        </w:rPr>
        <w:t>.[J].</w:t>
      </w:r>
      <w:r>
        <w:rPr>
          <w:sz w:val="18"/>
        </w:rPr>
        <w:t>教育实施与研究（</w:t>
      </w:r>
      <w:r>
        <w:rPr>
          <w:rFonts w:ascii="Times New Roman" w:eastAsia="Times New Roman"/>
          <w:sz w:val="18"/>
        </w:rPr>
        <w:t>B</w:t>
      </w:r>
      <w:r>
        <w:rPr>
          <w:sz w:val="18"/>
        </w:rPr>
        <w:t>），</w:t>
      </w:r>
      <w:r>
        <w:rPr>
          <w:rFonts w:ascii="Times New Roman" w:eastAsia="Times New Roman"/>
          <w:sz w:val="18"/>
        </w:rPr>
        <w:t>2016</w:t>
      </w:r>
      <w:r>
        <w:rPr>
          <w:sz w:val="18"/>
        </w:rPr>
        <w:t>（</w:t>
      </w:r>
      <w:r>
        <w:rPr>
          <w:rFonts w:ascii="Times New Roman" w:eastAsia="Times New Roman"/>
          <w:sz w:val="18"/>
        </w:rPr>
        <w:t>1</w:t>
      </w:r>
      <w:r>
        <w:rPr>
          <w:sz w:val="18"/>
        </w:rPr>
        <w:t>）：</w:t>
      </w:r>
      <w:r>
        <w:rPr>
          <w:rFonts w:ascii="Times New Roman" w:eastAsia="Times New Roman"/>
          <w:sz w:val="18"/>
        </w:rPr>
        <w:t>5-8.</w:t>
      </w:r>
    </w:p>
    <w:p>
      <w:pPr>
        <w:spacing w:before="125"/>
        <w:ind w:left="1319" w:right="0" w:firstLine="0"/>
        <w:jc w:val="left"/>
        <w:rPr>
          <w:rFonts w:ascii="Times New Roman" w:eastAsia="Times New Roman"/>
          <w:sz w:val="18"/>
        </w:rPr>
      </w:pPr>
      <w:bookmarkStart w:name="_bookmark69" w:id="85"/>
      <w:bookmarkEnd w:id="85"/>
      <w:r>
        <w:rPr/>
      </w:r>
      <w:r>
        <w:rPr>
          <w:rFonts w:ascii="Times New Roman" w:eastAsia="Times New Roman"/>
          <w:position w:val="8"/>
          <w:sz w:val="15"/>
        </w:rPr>
        <w:t>[5] </w:t>
      </w:r>
      <w:r>
        <w:rPr>
          <w:sz w:val="18"/>
        </w:rPr>
        <w:t>阮越，韦立君</w:t>
      </w:r>
      <w:r>
        <w:rPr>
          <w:rFonts w:ascii="Times New Roman" w:eastAsia="Times New Roman"/>
          <w:sz w:val="18"/>
        </w:rPr>
        <w:t>.</w:t>
      </w:r>
      <w:r>
        <w:rPr>
          <w:sz w:val="18"/>
        </w:rPr>
        <w:t>高中新课程背景下的生涯教育内涵探析</w:t>
      </w:r>
      <w:r>
        <w:rPr>
          <w:rFonts w:ascii="Times New Roman" w:eastAsia="Times New Roman"/>
          <w:sz w:val="18"/>
        </w:rPr>
        <w:t>[J].</w:t>
      </w:r>
      <w:r>
        <w:rPr>
          <w:sz w:val="18"/>
        </w:rPr>
        <w:t>安徽广播电视大学学报，</w:t>
      </w:r>
      <w:r>
        <w:rPr>
          <w:rFonts w:ascii="Times New Roman" w:eastAsia="Times New Roman"/>
          <w:sz w:val="18"/>
        </w:rPr>
        <w:t>2006</w:t>
      </w:r>
      <w:r>
        <w:rPr>
          <w:sz w:val="18"/>
        </w:rPr>
        <w:t>（</w:t>
      </w:r>
      <w:r>
        <w:rPr>
          <w:rFonts w:ascii="Times New Roman" w:eastAsia="Times New Roman"/>
          <w:sz w:val="18"/>
        </w:rPr>
        <w:t>3</w:t>
      </w:r>
      <w:r>
        <w:rPr>
          <w:sz w:val="18"/>
        </w:rPr>
        <w:t>）：</w:t>
      </w:r>
      <w:r>
        <w:rPr>
          <w:rFonts w:ascii="Times New Roman" w:eastAsia="Times New Roman"/>
          <w:sz w:val="18"/>
        </w:rPr>
        <w:t>57-60.</w:t>
      </w:r>
    </w:p>
    <w:p>
      <w:pPr>
        <w:spacing w:before="144"/>
        <w:ind w:left="1319" w:right="0" w:firstLine="0"/>
        <w:jc w:val="left"/>
        <w:rPr>
          <w:rFonts w:ascii="Times New Roman" w:eastAsia="Times New Roman"/>
          <w:sz w:val="18"/>
        </w:rPr>
      </w:pPr>
      <w:bookmarkStart w:name="_bookmark70" w:id="86"/>
      <w:bookmarkEnd w:id="86"/>
      <w:r>
        <w:rPr/>
      </w:r>
      <w:r>
        <w:rPr>
          <w:rFonts w:ascii="Times New Roman" w:eastAsia="Times New Roman"/>
          <w:position w:val="7"/>
          <w:sz w:val="13"/>
        </w:rPr>
        <w:t>[6] </w:t>
      </w:r>
      <w:r>
        <w:rPr>
          <w:sz w:val="18"/>
        </w:rPr>
        <w:t>蔡娅丽</w:t>
      </w:r>
      <w:r>
        <w:rPr>
          <w:rFonts w:ascii="Times New Roman" w:eastAsia="Times New Roman"/>
          <w:sz w:val="18"/>
        </w:rPr>
        <w:t>.</w:t>
      </w:r>
      <w:r>
        <w:rPr>
          <w:sz w:val="18"/>
        </w:rPr>
        <w:t>高中阶段开展生涯教育的实践探索</w:t>
      </w:r>
      <w:r>
        <w:rPr>
          <w:rFonts w:ascii="Times New Roman" w:eastAsia="Times New Roman"/>
          <w:sz w:val="18"/>
        </w:rPr>
        <w:t>[D].</w:t>
      </w:r>
      <w:r>
        <w:rPr>
          <w:sz w:val="18"/>
        </w:rPr>
        <w:t>烟台：鲁东大学硕士论文，</w:t>
      </w:r>
      <w:r>
        <w:rPr>
          <w:rFonts w:ascii="Times New Roman" w:eastAsia="Times New Roman"/>
          <w:sz w:val="18"/>
        </w:rPr>
        <w:t>2012</w:t>
      </w:r>
      <w:r>
        <w:rPr>
          <w:sz w:val="18"/>
        </w:rPr>
        <w:t>：</w:t>
      </w:r>
      <w:r>
        <w:rPr>
          <w:rFonts w:ascii="Times New Roman" w:eastAsia="Times New Roman"/>
          <w:sz w:val="18"/>
        </w:rPr>
        <w:t>1-35.</w:t>
      </w:r>
    </w:p>
    <w:p>
      <w:pPr>
        <w:spacing w:before="128"/>
        <w:ind w:left="1319" w:right="0" w:firstLine="0"/>
        <w:jc w:val="left"/>
        <w:rPr>
          <w:rFonts w:ascii="Times New Roman" w:hAnsi="Times New Roman" w:eastAsia="Times New Roman"/>
          <w:sz w:val="18"/>
        </w:rPr>
      </w:pPr>
      <w:bookmarkStart w:name="_bookmark71" w:id="87"/>
      <w:bookmarkEnd w:id="87"/>
      <w:r>
        <w:rPr/>
      </w:r>
      <w:r>
        <w:rPr>
          <w:rFonts w:ascii="Times New Roman" w:hAnsi="Times New Roman" w:eastAsia="Times New Roman"/>
          <w:spacing w:val="-1"/>
          <w:w w:val="105"/>
          <w:position w:val="7"/>
          <w:sz w:val="13"/>
        </w:rPr>
        <w:t>[</w:t>
      </w:r>
      <w:r>
        <w:rPr>
          <w:rFonts w:ascii="Times New Roman" w:hAnsi="Times New Roman" w:eastAsia="Times New Roman"/>
          <w:spacing w:val="-2"/>
          <w:w w:val="105"/>
          <w:position w:val="7"/>
          <w:sz w:val="13"/>
        </w:rPr>
        <w:t>7</w:t>
      </w:r>
      <w:r>
        <w:rPr>
          <w:rFonts w:ascii="Times New Roman" w:hAnsi="Times New Roman" w:eastAsia="Times New Roman"/>
          <w:w w:val="105"/>
          <w:position w:val="7"/>
          <w:sz w:val="13"/>
        </w:rPr>
        <w:t>]</w:t>
      </w:r>
      <w:r>
        <w:rPr>
          <w:rFonts w:ascii="Times New Roman" w:hAnsi="Times New Roman" w:eastAsia="Times New Roman"/>
          <w:spacing w:val="-4"/>
          <w:position w:val="7"/>
          <w:sz w:val="13"/>
        </w:rPr>
        <w:t>   </w:t>
      </w:r>
      <w:r>
        <w:rPr>
          <w:sz w:val="18"/>
        </w:rPr>
        <w:t>李荣</w:t>
      </w:r>
      <w:r>
        <w:rPr>
          <w:rFonts w:ascii="Times New Roman" w:hAnsi="Times New Roman" w:eastAsia="Times New Roman"/>
          <w:sz w:val="18"/>
        </w:rPr>
        <w:t>.</w:t>
      </w:r>
      <w:r>
        <w:rPr>
          <w:spacing w:val="-3"/>
          <w:sz w:val="18"/>
        </w:rPr>
        <w:t>论高中职业生涯规划教育的实施策略——举 </w:t>
      </w:r>
      <w:r>
        <w:rPr>
          <w:rFonts w:ascii="Times New Roman" w:hAnsi="Times New Roman" w:eastAsia="Times New Roman"/>
          <w:sz w:val="18"/>
        </w:rPr>
        <w:t>S</w:t>
      </w:r>
      <w:r>
        <w:rPr>
          <w:rFonts w:ascii="Times New Roman" w:hAnsi="Times New Roman" w:eastAsia="Times New Roman"/>
          <w:spacing w:val="-2"/>
          <w:sz w:val="18"/>
        </w:rPr>
        <w:t> </w:t>
      </w:r>
      <w:r>
        <w:rPr>
          <w:sz w:val="18"/>
        </w:rPr>
        <w:t>市为例</w:t>
      </w:r>
      <w:r>
        <w:rPr>
          <w:rFonts w:ascii="Times New Roman" w:hAnsi="Times New Roman" w:eastAsia="Times New Roman"/>
          <w:sz w:val="18"/>
        </w:rPr>
        <w:t>[</w:t>
      </w:r>
      <w:r>
        <w:rPr>
          <w:rFonts w:ascii="Times New Roman" w:hAnsi="Times New Roman" w:eastAsia="Times New Roman"/>
          <w:spacing w:val="-1"/>
          <w:sz w:val="18"/>
        </w:rPr>
        <w:t>D</w:t>
      </w:r>
      <w:r>
        <w:rPr>
          <w:rFonts w:ascii="Times New Roman" w:hAnsi="Times New Roman" w:eastAsia="Times New Roman"/>
          <w:sz w:val="18"/>
        </w:rPr>
        <w:t>].</w:t>
      </w:r>
      <w:r>
        <w:rPr>
          <w:spacing w:val="-14"/>
          <w:sz w:val="18"/>
        </w:rPr>
        <w:t>武汉：华中师范大学硕士论文，</w:t>
      </w:r>
      <w:r>
        <w:rPr>
          <w:rFonts w:ascii="Times New Roman" w:hAnsi="Times New Roman" w:eastAsia="Times New Roman"/>
          <w:spacing w:val="1"/>
          <w:sz w:val="18"/>
        </w:rPr>
        <w:t>2</w:t>
      </w:r>
      <w:r>
        <w:rPr>
          <w:rFonts w:ascii="Times New Roman" w:hAnsi="Times New Roman" w:eastAsia="Times New Roman"/>
          <w:spacing w:val="-2"/>
          <w:sz w:val="18"/>
        </w:rPr>
        <w:t>0</w:t>
      </w:r>
      <w:r>
        <w:rPr>
          <w:rFonts w:ascii="Times New Roman" w:hAnsi="Times New Roman" w:eastAsia="Times New Roman"/>
          <w:spacing w:val="1"/>
          <w:sz w:val="18"/>
        </w:rPr>
        <w:t>1</w:t>
      </w:r>
      <w:r>
        <w:rPr>
          <w:rFonts w:ascii="Times New Roman" w:hAnsi="Times New Roman" w:eastAsia="Times New Roman"/>
          <w:spacing w:val="-2"/>
          <w:sz w:val="18"/>
        </w:rPr>
        <w:t>4</w:t>
      </w:r>
      <w:r>
        <w:rPr>
          <w:spacing w:val="-75"/>
          <w:sz w:val="18"/>
        </w:rPr>
        <w:t>：</w:t>
      </w:r>
      <w:r>
        <w:rPr>
          <w:rFonts w:ascii="Times New Roman" w:hAnsi="Times New Roman" w:eastAsia="Times New Roman"/>
          <w:spacing w:val="1"/>
          <w:sz w:val="18"/>
        </w:rPr>
        <w:t>1</w:t>
      </w:r>
      <w:r>
        <w:rPr>
          <w:rFonts w:ascii="Times New Roman" w:hAnsi="Times New Roman" w:eastAsia="Times New Roman"/>
          <w:sz w:val="18"/>
        </w:rPr>
        <w:t>-</w:t>
      </w:r>
      <w:r>
        <w:rPr>
          <w:rFonts w:ascii="Times New Roman" w:hAnsi="Times New Roman" w:eastAsia="Times New Roman"/>
          <w:spacing w:val="-2"/>
          <w:sz w:val="18"/>
        </w:rPr>
        <w:t>5</w:t>
      </w:r>
      <w:r>
        <w:rPr>
          <w:rFonts w:ascii="Times New Roman" w:hAnsi="Times New Roman" w:eastAsia="Times New Roman"/>
          <w:spacing w:val="1"/>
          <w:sz w:val="18"/>
        </w:rPr>
        <w:t>3</w:t>
      </w:r>
      <w:r>
        <w:rPr>
          <w:rFonts w:ascii="Times New Roman" w:hAnsi="Times New Roman" w:eastAsia="Times New Roman"/>
          <w:sz w:val="18"/>
        </w:rPr>
        <w:t>.</w:t>
      </w:r>
    </w:p>
    <w:p>
      <w:pPr>
        <w:spacing w:before="127"/>
        <w:ind w:left="1319" w:right="0" w:firstLine="0"/>
        <w:jc w:val="left"/>
        <w:rPr>
          <w:rFonts w:ascii="Times New Roman" w:eastAsia="Times New Roman"/>
          <w:sz w:val="18"/>
        </w:rPr>
      </w:pPr>
      <w:bookmarkStart w:name="_bookmark72" w:id="88"/>
      <w:bookmarkEnd w:id="88"/>
      <w:r>
        <w:rPr/>
      </w:r>
      <w:r>
        <w:rPr>
          <w:rFonts w:ascii="Times New Roman" w:eastAsia="Times New Roman"/>
          <w:position w:val="7"/>
          <w:sz w:val="13"/>
        </w:rPr>
        <w:t>[8] </w:t>
      </w:r>
      <w:r>
        <w:rPr>
          <w:sz w:val="18"/>
        </w:rPr>
        <w:t>梁淑琴</w:t>
      </w:r>
      <w:r>
        <w:rPr>
          <w:rFonts w:ascii="Times New Roman" w:eastAsia="Times New Roman"/>
          <w:sz w:val="18"/>
        </w:rPr>
        <w:t>.</w:t>
      </w:r>
      <w:r>
        <w:rPr>
          <w:sz w:val="18"/>
        </w:rPr>
        <w:t>我国普通高中生涯教育实施研究</w:t>
      </w:r>
      <w:r>
        <w:rPr>
          <w:rFonts w:ascii="Times New Roman" w:eastAsia="Times New Roman"/>
          <w:sz w:val="18"/>
        </w:rPr>
        <w:t>[J].</w:t>
      </w:r>
      <w:r>
        <w:rPr>
          <w:sz w:val="18"/>
        </w:rPr>
        <w:t>太原：山西大学硕士论文，</w:t>
      </w:r>
      <w:r>
        <w:rPr>
          <w:rFonts w:ascii="Times New Roman" w:eastAsia="Times New Roman"/>
          <w:sz w:val="18"/>
        </w:rPr>
        <w:t>2007</w:t>
      </w:r>
      <w:r>
        <w:rPr>
          <w:sz w:val="18"/>
        </w:rPr>
        <w:t>：</w:t>
      </w:r>
      <w:r>
        <w:rPr>
          <w:rFonts w:ascii="Times New Roman" w:eastAsia="Times New Roman"/>
          <w:sz w:val="18"/>
        </w:rPr>
        <w:t>1-54.</w:t>
      </w:r>
    </w:p>
    <w:p>
      <w:pPr>
        <w:spacing w:before="126"/>
        <w:ind w:left="1319" w:right="0" w:firstLine="0"/>
        <w:jc w:val="left"/>
        <w:rPr>
          <w:rFonts w:ascii="Times New Roman" w:eastAsia="Times New Roman"/>
          <w:sz w:val="18"/>
        </w:rPr>
      </w:pPr>
      <w:bookmarkStart w:name="_bookmark73" w:id="89"/>
      <w:bookmarkEnd w:id="89"/>
      <w:r>
        <w:rPr/>
      </w:r>
      <w:r>
        <w:rPr>
          <w:rFonts w:ascii="Times New Roman" w:eastAsia="Times New Roman"/>
          <w:position w:val="7"/>
          <w:sz w:val="13"/>
        </w:rPr>
        <w:t>[9] </w:t>
      </w:r>
      <w:r>
        <w:rPr>
          <w:sz w:val="18"/>
        </w:rPr>
        <w:t>黄岳辉</w:t>
      </w:r>
      <w:r>
        <w:rPr>
          <w:rFonts w:ascii="Times New Roman" w:eastAsia="Times New Roman"/>
          <w:sz w:val="18"/>
        </w:rPr>
        <w:t>.</w:t>
      </w:r>
      <w:r>
        <w:rPr>
          <w:sz w:val="18"/>
        </w:rPr>
        <w:t>职业生涯教育研究及其对我国普通高中的启示</w:t>
      </w:r>
      <w:r>
        <w:rPr>
          <w:rFonts w:ascii="Times New Roman" w:eastAsia="Times New Roman"/>
          <w:sz w:val="18"/>
        </w:rPr>
        <w:t>.[D].</w:t>
      </w:r>
      <w:r>
        <w:rPr>
          <w:sz w:val="18"/>
        </w:rPr>
        <w:t>上海：上海师范大学硕士论文，</w:t>
      </w:r>
      <w:r>
        <w:rPr>
          <w:rFonts w:ascii="Times New Roman" w:eastAsia="Times New Roman"/>
          <w:sz w:val="18"/>
        </w:rPr>
        <w:t>2006</w:t>
      </w:r>
      <w:r>
        <w:rPr>
          <w:sz w:val="18"/>
        </w:rPr>
        <w:t>：</w:t>
      </w:r>
      <w:r>
        <w:rPr>
          <w:rFonts w:ascii="Times New Roman" w:eastAsia="Times New Roman"/>
          <w:sz w:val="18"/>
        </w:rPr>
        <w:t>:150.</w:t>
      </w:r>
    </w:p>
    <w:p>
      <w:pPr>
        <w:spacing w:line="384" w:lineRule="auto" w:before="127"/>
        <w:ind w:left="1319" w:right="1577" w:firstLine="0"/>
        <w:jc w:val="left"/>
        <w:rPr>
          <w:rFonts w:ascii="Times New Roman" w:hAnsi="Times New Roman" w:eastAsia="Times New Roman"/>
          <w:sz w:val="18"/>
        </w:rPr>
      </w:pPr>
      <w:bookmarkStart w:name="_bookmark74" w:id="90"/>
      <w:bookmarkEnd w:id="90"/>
      <w:r>
        <w:rPr/>
      </w:r>
      <w:r>
        <w:rPr>
          <w:rFonts w:ascii="Times New Roman" w:hAnsi="Times New Roman" w:eastAsia="Times New Roman"/>
          <w:position w:val="8"/>
          <w:sz w:val="15"/>
        </w:rPr>
        <w:t>[10</w:t>
      </w:r>
      <w:r>
        <w:rPr>
          <w:rFonts w:ascii="Times New Roman" w:hAnsi="Times New Roman" w:eastAsia="Times New Roman"/>
          <w:spacing w:val="10"/>
          <w:position w:val="8"/>
          <w:sz w:val="15"/>
        </w:rPr>
        <w:t>] </w:t>
      </w:r>
      <w:r>
        <w:rPr>
          <w:sz w:val="18"/>
        </w:rPr>
        <w:t>王雅文</w:t>
      </w:r>
      <w:r>
        <w:rPr>
          <w:rFonts w:ascii="Times New Roman" w:hAnsi="Times New Roman" w:eastAsia="Times New Roman"/>
          <w:sz w:val="18"/>
        </w:rPr>
        <w:t>.</w:t>
      </w:r>
      <w:r>
        <w:rPr>
          <w:sz w:val="18"/>
        </w:rPr>
        <w:t>普通高中职业生涯教育现状和对策研究</w:t>
      </w:r>
      <w:r>
        <w:rPr>
          <w:rFonts w:ascii="Times New Roman" w:hAnsi="Times New Roman" w:eastAsia="Times New Roman"/>
          <w:sz w:val="18"/>
        </w:rPr>
        <w:t>——</w:t>
      </w:r>
      <w:r>
        <w:rPr>
          <w:spacing w:val="-8"/>
          <w:sz w:val="18"/>
        </w:rPr>
        <w:t>基于上海市 </w:t>
      </w:r>
      <w:r>
        <w:rPr>
          <w:rFonts w:ascii="Times New Roman" w:hAnsi="Times New Roman" w:eastAsia="Times New Roman"/>
          <w:sz w:val="18"/>
        </w:rPr>
        <w:t>6 </w:t>
      </w:r>
      <w:r>
        <w:rPr>
          <w:sz w:val="18"/>
        </w:rPr>
        <w:t>所高中的调查</w:t>
      </w:r>
      <w:r>
        <w:rPr>
          <w:rFonts w:ascii="Times New Roman" w:hAnsi="Times New Roman" w:eastAsia="Times New Roman"/>
          <w:sz w:val="18"/>
        </w:rPr>
        <w:t>[D].</w:t>
      </w:r>
      <w:r>
        <w:rPr>
          <w:spacing w:val="-13"/>
          <w:sz w:val="18"/>
        </w:rPr>
        <w:t>上海：上海师范大学</w:t>
      </w:r>
      <w:r>
        <w:rPr>
          <w:sz w:val="18"/>
        </w:rPr>
        <w:t>硕士论文，</w:t>
      </w:r>
      <w:r>
        <w:rPr>
          <w:rFonts w:ascii="Times New Roman" w:hAnsi="Times New Roman" w:eastAsia="Times New Roman"/>
          <w:sz w:val="18"/>
        </w:rPr>
        <w:t>2014</w:t>
      </w:r>
      <w:r>
        <w:rPr>
          <w:sz w:val="18"/>
        </w:rPr>
        <w:t>：</w:t>
      </w:r>
      <w:r>
        <w:rPr>
          <w:rFonts w:ascii="Times New Roman" w:hAnsi="Times New Roman" w:eastAsia="Times New Roman"/>
          <w:sz w:val="18"/>
        </w:rPr>
        <w:t>1-116.</w:t>
      </w:r>
    </w:p>
    <w:p>
      <w:pPr>
        <w:spacing w:after="0" w:line="384" w:lineRule="auto"/>
        <w:jc w:val="left"/>
        <w:rPr>
          <w:rFonts w:ascii="Times New Roman" w:hAnsi="Times New Roman" w:eastAsia="Times New Roman"/>
          <w:sz w:val="18"/>
        </w:rPr>
        <w:sectPr>
          <w:pgSz w:w="11910" w:h="16840"/>
          <w:pgMar w:header="878" w:footer="1191" w:top="1300" w:bottom="1380" w:left="480" w:right="220"/>
        </w:sectPr>
      </w:pPr>
    </w:p>
    <w:p>
      <w:pPr>
        <w:pStyle w:val="BodyText"/>
        <w:spacing w:before="11"/>
        <w:rPr>
          <w:rFonts w:ascii="Times New Roman"/>
          <w:sz w:val="14"/>
        </w:rPr>
      </w:pPr>
    </w:p>
    <w:p>
      <w:pPr>
        <w:pStyle w:val="ListParagraph"/>
        <w:numPr>
          <w:ilvl w:val="2"/>
          <w:numId w:val="3"/>
        </w:numPr>
        <w:tabs>
          <w:tab w:pos="1920" w:val="left" w:leader="none"/>
        </w:tabs>
        <w:spacing w:line="240" w:lineRule="auto" w:before="74" w:after="0"/>
        <w:ind w:left="1920" w:right="0" w:hanging="600"/>
        <w:jc w:val="left"/>
        <w:rPr>
          <w:sz w:val="24"/>
        </w:rPr>
      </w:pPr>
      <w:bookmarkStart w:name="_bookmark75" w:id="91"/>
      <w:bookmarkEnd w:id="91"/>
      <w:r>
        <w:rPr/>
      </w:r>
      <w:bookmarkStart w:name="_bookmark75" w:id="92"/>
      <w:bookmarkEnd w:id="92"/>
      <w:r>
        <w:rPr>
          <w:sz w:val="24"/>
        </w:rPr>
        <w:t>关于核心素养的研究</w:t>
      </w:r>
    </w:p>
    <w:p>
      <w:pPr>
        <w:pStyle w:val="BodyText"/>
        <w:spacing w:before="9"/>
        <w:rPr>
          <w:sz w:val="35"/>
        </w:rPr>
      </w:pPr>
    </w:p>
    <w:p>
      <w:pPr>
        <w:pStyle w:val="ListParagraph"/>
        <w:numPr>
          <w:ilvl w:val="3"/>
          <w:numId w:val="3"/>
        </w:numPr>
        <w:tabs>
          <w:tab w:pos="2040" w:val="left" w:leader="none"/>
        </w:tabs>
        <w:spacing w:line="240" w:lineRule="auto" w:before="1" w:after="0"/>
        <w:ind w:left="2040" w:right="0" w:hanging="720"/>
        <w:jc w:val="left"/>
        <w:rPr>
          <w:sz w:val="24"/>
        </w:rPr>
      </w:pPr>
      <w:r>
        <w:rPr>
          <w:sz w:val="24"/>
        </w:rPr>
        <w:t>国外关于核心素养的研究</w:t>
      </w:r>
    </w:p>
    <w:p>
      <w:pPr>
        <w:pStyle w:val="ListParagraph"/>
        <w:numPr>
          <w:ilvl w:val="4"/>
          <w:numId w:val="3"/>
        </w:numPr>
        <w:tabs>
          <w:tab w:pos="2220" w:val="left" w:leader="none"/>
        </w:tabs>
        <w:spacing w:line="240" w:lineRule="auto" w:before="160" w:after="0"/>
        <w:ind w:left="2220" w:right="0" w:hanging="900"/>
        <w:jc w:val="both"/>
        <w:rPr>
          <w:sz w:val="24"/>
        </w:rPr>
      </w:pPr>
      <w:r>
        <w:rPr>
          <w:sz w:val="24"/>
        </w:rPr>
        <w:t>关于核心素养的提出与发展的研究</w:t>
      </w:r>
    </w:p>
    <w:p>
      <w:pPr>
        <w:pStyle w:val="BodyText"/>
        <w:spacing w:line="364" w:lineRule="auto" w:before="161"/>
        <w:ind w:left="1320" w:right="1572" w:firstLine="480"/>
        <w:jc w:val="both"/>
      </w:pPr>
      <w:r>
        <w:rPr>
          <w:spacing w:val="-10"/>
        </w:rPr>
        <w:t>“核心素养”并非全新的概念。传统上，“素养”的概念因其与劳动力市场的直接联系，用来描述完成特定任务或职责所需的知识和技能，被用于职业教育</w:t>
      </w:r>
      <w:r>
        <w:rPr>
          <w:spacing w:val="-4"/>
        </w:rPr>
        <w:t>和训练（</w:t>
      </w:r>
      <w:r>
        <w:rPr>
          <w:rFonts w:ascii="Times New Roman" w:hAnsi="Times New Roman" w:eastAsia="Times New Roman"/>
          <w:spacing w:val="-4"/>
        </w:rPr>
        <w:t>VET</w:t>
      </w:r>
      <w:r>
        <w:rPr>
          <w:spacing w:val="-4"/>
        </w:rPr>
        <w:t>）</w:t>
      </w:r>
      <w:r>
        <w:rPr>
          <w:spacing w:val="-13"/>
        </w:rPr>
        <w:t>领域。直到 </w:t>
      </w:r>
      <w:r>
        <w:rPr>
          <w:rFonts w:ascii="Times New Roman" w:hAnsi="Times New Roman" w:eastAsia="Times New Roman"/>
        </w:rPr>
        <w:t>20 </w:t>
      </w:r>
      <w:r>
        <w:rPr>
          <w:spacing w:val="-20"/>
        </w:rPr>
        <w:t>世纪 </w:t>
      </w:r>
      <w:r>
        <w:rPr>
          <w:rFonts w:ascii="Times New Roman" w:hAnsi="Times New Roman" w:eastAsia="Times New Roman"/>
        </w:rPr>
        <w:t>90 </w:t>
      </w:r>
      <w:r>
        <w:rPr>
          <w:spacing w:val="-8"/>
        </w:rPr>
        <w:t>年代，“素养”一词才逐渐应用于基础教</w:t>
      </w:r>
    </w:p>
    <w:p>
      <w:pPr>
        <w:pStyle w:val="BodyText"/>
        <w:spacing w:line="364" w:lineRule="auto" w:before="1"/>
        <w:ind w:left="1320" w:right="1449"/>
      </w:pPr>
      <w:r>
        <w:rPr>
          <w:spacing w:val="-6"/>
        </w:rPr>
        <w:t>育领域。</w:t>
      </w:r>
      <w:r>
        <w:rPr>
          <w:rFonts w:ascii="Times New Roman" w:hAnsi="Times New Roman" w:eastAsia="Times New Roman"/>
          <w:position w:val="8"/>
          <w:sz w:val="15"/>
        </w:rPr>
        <w:t>[</w:t>
      </w:r>
      <w:hyperlink w:history="true" w:anchor="_bookmark76">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30"/>
        </w:rPr>
        <w:t>如 </w:t>
      </w:r>
      <w:r>
        <w:rPr>
          <w:rFonts w:ascii="Times New Roman" w:hAnsi="Times New Roman" w:eastAsia="Times New Roman"/>
        </w:rPr>
        <w:t>1994 </w:t>
      </w:r>
      <w:r>
        <w:rPr>
          <w:spacing w:val="-7"/>
        </w:rPr>
        <w:t>年，世界经济合作与发展组织</w:t>
      </w:r>
      <w:r>
        <w:rPr>
          <w:spacing w:val="-5"/>
        </w:rPr>
        <w:t>（</w:t>
      </w:r>
      <w:r>
        <w:rPr>
          <w:rFonts w:ascii="Times New Roman" w:hAnsi="Times New Roman" w:eastAsia="Times New Roman"/>
          <w:spacing w:val="-5"/>
        </w:rPr>
        <w:t>OECD</w:t>
      </w:r>
      <w:r>
        <w:rPr>
          <w:spacing w:val="-5"/>
        </w:rPr>
        <w:t>）</w:t>
      </w:r>
      <w:r>
        <w:rPr/>
        <w:t>发布的一份报告中提</w:t>
      </w:r>
      <w:r>
        <w:rPr>
          <w:spacing w:val="-5"/>
        </w:rPr>
        <w:t>倡重新定义课程，以迎接 </w:t>
      </w:r>
      <w:r>
        <w:rPr>
          <w:rFonts w:ascii="Times New Roman" w:hAnsi="Times New Roman" w:eastAsia="Times New Roman"/>
        </w:rPr>
        <w:t>21 </w:t>
      </w:r>
      <w:r>
        <w:rPr/>
        <w:t>世纪的挑战。</w:t>
      </w:r>
      <w:r>
        <w:rPr>
          <w:rFonts w:ascii="Times New Roman" w:hAnsi="Times New Roman" w:eastAsia="Times New Roman"/>
        </w:rPr>
        <w:t>OECD </w:t>
      </w:r>
      <w:r>
        <w:rPr/>
        <w:t>提出了基础性的核心课程，该</w:t>
      </w:r>
      <w:r>
        <w:rPr>
          <w:spacing w:val="-4"/>
        </w:rPr>
        <w:t>课程为学生提供一个以知识、能力和价值观为主的“生存装备”</w:t>
      </w:r>
      <w:r>
        <w:rPr>
          <w:spacing w:val="-5"/>
        </w:rPr>
        <w:t>（</w:t>
      </w:r>
      <w:r>
        <w:rPr>
          <w:rFonts w:ascii="Times New Roman" w:hAnsi="Times New Roman" w:eastAsia="Times New Roman"/>
          <w:spacing w:val="-5"/>
        </w:rPr>
        <w:t>survival kit</w:t>
      </w:r>
      <w:r>
        <w:rPr>
          <w:spacing w:val="-5"/>
        </w:rPr>
        <w:t>）</w:t>
      </w:r>
      <w:r>
        <w:rPr>
          <w:spacing w:val="-13"/>
        </w:rPr>
        <w:t>。</w:t>
      </w:r>
      <w:r>
        <w:rPr>
          <w:rFonts w:ascii="Times New Roman" w:hAnsi="Times New Roman" w:eastAsia="Times New Roman"/>
          <w:position w:val="8"/>
          <w:sz w:val="15"/>
        </w:rPr>
        <w:t>[</w:t>
      </w:r>
      <w:hyperlink w:history="true" w:anchor="_bookmark77">
        <w:r>
          <w:rPr>
            <w:rFonts w:ascii="Times New Roman" w:hAnsi="Times New Roman" w:eastAsia="Times New Roman"/>
            <w:position w:val="8"/>
            <w:sz w:val="15"/>
          </w:rPr>
          <w:t>2</w:t>
        </w:r>
      </w:hyperlink>
      <w:r>
        <w:rPr>
          <w:rFonts w:ascii="Times New Roman" w:hAnsi="Times New Roman" w:eastAsia="Times New Roman"/>
          <w:position w:val="8"/>
          <w:sz w:val="15"/>
        </w:rPr>
        <w:t>]</w:t>
      </w:r>
      <w:r>
        <w:rPr>
          <w:rFonts w:ascii="Times New Roman" w:hAnsi="Times New Roman" w:eastAsia="Times New Roman"/>
        </w:rPr>
        <w:t>1996 </w:t>
      </w:r>
      <w:r>
        <w:rPr>
          <w:spacing w:val="-9"/>
        </w:rPr>
        <w:t>年，联合国教科文组织</w:t>
      </w:r>
      <w:r>
        <w:rPr>
          <w:spacing w:val="-6"/>
        </w:rPr>
        <w:t>（</w:t>
      </w:r>
      <w:r>
        <w:rPr>
          <w:rFonts w:ascii="Times New Roman" w:hAnsi="Times New Roman" w:eastAsia="Times New Roman"/>
          <w:spacing w:val="-6"/>
        </w:rPr>
        <w:t>UNESCO</w:t>
      </w:r>
      <w:r>
        <w:rPr>
          <w:spacing w:val="-6"/>
        </w:rPr>
        <w:t>）</w:t>
      </w:r>
      <w:r>
        <w:rPr>
          <w:spacing w:val="-12"/>
        </w:rPr>
        <w:t>在《教育：财富蕴藏其中》的报告中， </w:t>
      </w:r>
      <w:r>
        <w:rPr>
          <w:spacing w:val="-20"/>
        </w:rPr>
        <w:t>界定了二十一世纪社会公民必备的基本素质，即教育的四大支柱——“学会求知、学会做事、学会共处、学会生存”，这也是基础教育领域“核心素养”的前身。联合国教科文组织虽未明确提出“核心素养”的概念，但已经试图推进“核心素养”走进基础教育领域。</w:t>
      </w:r>
    </w:p>
    <w:p>
      <w:pPr>
        <w:pStyle w:val="BodyText"/>
        <w:spacing w:line="364" w:lineRule="auto" w:before="5"/>
        <w:ind w:left="1320" w:right="1356" w:firstLine="480"/>
      </w:pPr>
      <w:r>
        <w:rPr>
          <w:spacing w:val="-1"/>
        </w:rPr>
        <w:t>随后几年，</w:t>
      </w:r>
      <w:r>
        <w:rPr>
          <w:rFonts w:ascii="Times New Roman" w:hAnsi="Times New Roman" w:eastAsia="Times New Roman"/>
          <w:spacing w:val="-3"/>
        </w:rPr>
        <w:t>OECD</w:t>
      </w:r>
      <w:r>
        <w:rPr>
          <w:spacing w:val="-5"/>
        </w:rPr>
        <w:t>、欧盟、美国等重要国际组织和国家陆续展开了对基础教</w:t>
      </w:r>
      <w:r>
        <w:rPr>
          <w:spacing w:val="-11"/>
        </w:rPr>
        <w:t>育领域中的“核心素养”框架的研究。</w:t>
      </w:r>
      <w:r>
        <w:rPr>
          <w:rFonts w:ascii="Times New Roman" w:hAnsi="Times New Roman" w:eastAsia="Times New Roman"/>
        </w:rPr>
        <w:t>OECD </w:t>
      </w:r>
      <w:r>
        <w:rPr/>
        <w:t>是国际上第一个系统性地完成了对学生核心素养体系的建构，该体系对当前各国的核心素养体系产生了深远影响。</w:t>
      </w:r>
      <w:r>
        <w:rPr>
          <w:rFonts w:ascii="Times New Roman" w:hAnsi="Times New Roman" w:eastAsia="Times New Roman"/>
        </w:rPr>
        <w:t>1997</w:t>
      </w:r>
      <w:r>
        <w:rPr>
          <w:rFonts w:ascii="Times New Roman" w:hAnsi="Times New Roman" w:eastAsia="Times New Roman"/>
          <w:spacing w:val="2"/>
        </w:rPr>
        <w:t> </w:t>
      </w:r>
      <w:r>
        <w:rPr>
          <w:spacing w:val="-29"/>
        </w:rPr>
        <w:t>年 </w:t>
      </w:r>
      <w:r>
        <w:rPr>
          <w:rFonts w:ascii="Times New Roman" w:hAnsi="Times New Roman" w:eastAsia="Times New Roman"/>
        </w:rPr>
        <w:t>9 </w:t>
      </w:r>
      <w:r>
        <w:rPr>
          <w:spacing w:val="-4"/>
        </w:rPr>
        <w:t>月，</w:t>
      </w:r>
      <w:r>
        <w:rPr>
          <w:rFonts w:ascii="Times New Roman" w:hAnsi="Times New Roman" w:eastAsia="Times New Roman"/>
          <w:spacing w:val="-8"/>
        </w:rPr>
        <w:t>OECD </w:t>
      </w:r>
      <w:r>
        <w:rPr>
          <w:spacing w:val="-9"/>
        </w:rPr>
        <w:t>启动了“素养的界定与遴选：理论和概念基础”</w:t>
      </w:r>
      <w:r>
        <w:rPr>
          <w:spacing w:val="-7"/>
        </w:rPr>
        <w:t>（</w:t>
      </w:r>
      <w:r>
        <w:rPr>
          <w:rFonts w:ascii="Times New Roman" w:hAnsi="Times New Roman" w:eastAsia="Times New Roman"/>
          <w:spacing w:val="-7"/>
        </w:rPr>
        <w:t>Definition </w:t>
      </w:r>
      <w:r>
        <w:rPr>
          <w:rFonts w:ascii="Times New Roman" w:hAnsi="Times New Roman" w:eastAsia="Times New Roman"/>
        </w:rPr>
        <w:t>and</w:t>
      </w:r>
      <w:r>
        <w:rPr>
          <w:rFonts w:ascii="Times New Roman" w:hAnsi="Times New Roman" w:eastAsia="Times New Roman"/>
          <w:spacing w:val="3"/>
        </w:rPr>
        <w:t> </w:t>
      </w:r>
      <w:r>
        <w:rPr>
          <w:rFonts w:ascii="Times New Roman" w:hAnsi="Times New Roman" w:eastAsia="Times New Roman"/>
        </w:rPr>
        <w:t>Selection of </w:t>
      </w:r>
      <w:r>
        <w:rPr>
          <w:rFonts w:ascii="Times New Roman" w:hAnsi="Times New Roman" w:eastAsia="Times New Roman"/>
          <w:spacing w:val="-3"/>
        </w:rPr>
        <w:t>Competencies</w:t>
      </w:r>
      <w:r>
        <w:rPr>
          <w:spacing w:val="-16"/>
        </w:rPr>
        <w:t>，简称 </w:t>
      </w:r>
      <w:r>
        <w:rPr>
          <w:rFonts w:ascii="Times New Roman" w:hAnsi="Times New Roman" w:eastAsia="Times New Roman"/>
          <w:spacing w:val="-5"/>
        </w:rPr>
        <w:t>DeSeCo</w:t>
      </w:r>
      <w:r>
        <w:rPr>
          <w:spacing w:val="-5"/>
        </w:rPr>
        <w:t>）</w:t>
      </w:r>
      <w:r>
        <w:rPr>
          <w:spacing w:val="-6"/>
        </w:rPr>
        <w:t>项目。该项目从跨学科视角来探讨</w:t>
      </w:r>
      <w:r>
        <w:rPr>
          <w:spacing w:val="-13"/>
        </w:rPr>
        <w:t>核心素养，旨在确定一组“核心素养”以实现个人的完满生活和促进社会的良好</w:t>
      </w:r>
      <w:r>
        <w:rPr>
          <w:spacing w:val="-8"/>
        </w:rPr>
        <w:t>运行。</w:t>
      </w:r>
      <w:r>
        <w:rPr>
          <w:rFonts w:ascii="Times New Roman" w:hAnsi="Times New Roman" w:eastAsia="Times New Roman"/>
        </w:rPr>
        <w:t>2003</w:t>
      </w:r>
      <w:r>
        <w:rPr>
          <w:rFonts w:ascii="Times New Roman" w:hAnsi="Times New Roman" w:eastAsia="Times New Roman"/>
          <w:spacing w:val="21"/>
        </w:rPr>
        <w:t> </w:t>
      </w:r>
      <w:r>
        <w:rPr/>
        <w:t>年，</w:t>
      </w:r>
      <w:r>
        <w:rPr>
          <w:rFonts w:ascii="Times New Roman" w:hAnsi="Times New Roman" w:eastAsia="Times New Roman"/>
        </w:rPr>
        <w:t>OECD </w:t>
      </w:r>
      <w:r>
        <w:rPr/>
        <w:t>出台的最终研究报告《核心素养促进成功的生活和健全的</w:t>
      </w:r>
      <w:r>
        <w:rPr>
          <w:spacing w:val="-27"/>
        </w:rPr>
        <w:t>社会》</w:t>
      </w:r>
      <w:r>
        <w:rPr/>
        <w:t>（</w:t>
      </w:r>
      <w:r>
        <w:rPr>
          <w:rFonts w:ascii="Times New Roman" w:hAnsi="Times New Roman" w:eastAsia="Times New Roman"/>
        </w:rPr>
        <w:t>Key</w:t>
      </w:r>
      <w:r>
        <w:rPr>
          <w:rFonts w:ascii="Times New Roman" w:hAnsi="Times New Roman" w:eastAsia="Times New Roman"/>
          <w:spacing w:val="-5"/>
        </w:rPr>
        <w:t> </w:t>
      </w:r>
      <w:r>
        <w:rPr>
          <w:rFonts w:ascii="Times New Roman" w:hAnsi="Times New Roman" w:eastAsia="Times New Roman"/>
        </w:rPr>
        <w:t>Competencies for a Successful Life and a Well-Functioning </w:t>
      </w:r>
      <w:r>
        <w:rPr>
          <w:rFonts w:ascii="Times New Roman" w:hAnsi="Times New Roman" w:eastAsia="Times New Roman"/>
          <w:spacing w:val="-5"/>
        </w:rPr>
        <w:t>Society</w:t>
      </w:r>
      <w:r>
        <w:rPr>
          <w:spacing w:val="-5"/>
        </w:rPr>
        <w:t>）， </w:t>
      </w:r>
      <w:r>
        <w:rPr/>
        <w:t>阐述了系统的学生核心素养体系。</w:t>
      </w:r>
      <w:r>
        <w:rPr>
          <w:rFonts w:ascii="Times New Roman" w:hAnsi="Times New Roman" w:eastAsia="Times New Roman"/>
        </w:rPr>
        <w:t>2005 </w:t>
      </w:r>
      <w:r>
        <w:rPr/>
        <w:t>年，</w:t>
      </w:r>
      <w:r>
        <w:rPr>
          <w:rFonts w:ascii="Times New Roman" w:hAnsi="Times New Roman" w:eastAsia="Times New Roman"/>
        </w:rPr>
        <w:t>OECD </w:t>
      </w:r>
      <w:r>
        <w:rPr/>
        <w:t>又发布了《核心素养的界定与</w:t>
      </w:r>
      <w:r>
        <w:rPr>
          <w:spacing w:val="-21"/>
        </w:rPr>
        <w:t>遴选：行动纲要》</w:t>
      </w:r>
      <w:r>
        <w:rPr/>
        <w:t>（</w:t>
      </w:r>
      <w:r>
        <w:rPr>
          <w:rFonts w:ascii="Times New Roman" w:hAnsi="Times New Roman" w:eastAsia="Times New Roman"/>
        </w:rPr>
        <w:t>The Definition and Selection of Key </w:t>
      </w:r>
      <w:r>
        <w:rPr>
          <w:rFonts w:ascii="Times New Roman" w:hAnsi="Times New Roman" w:eastAsia="Times New Roman"/>
          <w:spacing w:val="-3"/>
        </w:rPr>
        <w:t>Competencies</w:t>
      </w:r>
      <w:r>
        <w:rPr>
          <w:spacing w:val="-3"/>
        </w:rPr>
        <w:t>：</w:t>
      </w:r>
      <w:r>
        <w:rPr>
          <w:rFonts w:ascii="Times New Roman" w:hAnsi="Times New Roman" w:eastAsia="Times New Roman"/>
          <w:spacing w:val="-3"/>
        </w:rPr>
        <w:t>Executive </w:t>
      </w:r>
      <w:r>
        <w:rPr>
          <w:rFonts w:ascii="Times New Roman" w:hAnsi="Times New Roman" w:eastAsia="Times New Roman"/>
        </w:rPr>
        <w:t>Summary</w:t>
      </w:r>
      <w:r>
        <w:rPr/>
        <w:t>）</w:t>
      </w:r>
      <w:r>
        <w:rPr>
          <w:spacing w:val="-3"/>
        </w:rPr>
        <w:t>，以增加核心素养应用于教育实践的可操作性。欧盟于 </w:t>
      </w:r>
      <w:r>
        <w:rPr>
          <w:rFonts w:ascii="Times New Roman" w:hAnsi="Times New Roman" w:eastAsia="Times New Roman"/>
        </w:rPr>
        <w:t>21 </w:t>
      </w:r>
      <w:r>
        <w:rPr/>
        <w:t>世纪初配</w:t>
      </w:r>
    </w:p>
    <w:p>
      <w:pPr>
        <w:pStyle w:val="BodyText"/>
        <w:spacing w:before="11"/>
        <w:rPr>
          <w:sz w:val="26"/>
        </w:rPr>
      </w:pPr>
      <w:r>
        <w:rPr/>
        <w:pict>
          <v:shape style="position:absolute;margin-left:90pt;margin-top:19.167168pt;width:144pt;height:.1pt;mso-position-horizontal-relative:page;mso-position-vertical-relative:paragraph;z-index:-251631616;mso-wrap-distance-left:0;mso-wrap-distance-right:0" coordorigin="1800,383" coordsize="2880,0" path="m1800,383l4680,383e" filled="false" stroked="true" strokeweight="0pt" strokecolor="#000000">
            <v:path arrowok="t"/>
            <v:stroke dashstyle="solid"/>
            <w10:wrap type="topAndBottom"/>
          </v:shape>
        </w:pict>
      </w:r>
    </w:p>
    <w:p>
      <w:pPr>
        <w:spacing w:line="386" w:lineRule="auto" w:before="97"/>
        <w:ind w:left="1320" w:right="1485" w:firstLine="0"/>
        <w:jc w:val="left"/>
        <w:rPr>
          <w:rFonts w:ascii="Times New Roman"/>
          <w:sz w:val="18"/>
        </w:rPr>
      </w:pPr>
      <w:bookmarkStart w:name="_bookmark76" w:id="93"/>
      <w:bookmarkEnd w:id="93"/>
      <w:r>
        <w:rPr/>
      </w:r>
      <w:r>
        <w:rPr>
          <w:rFonts w:ascii="Times New Roman"/>
          <w:position w:val="7"/>
          <w:sz w:val="13"/>
        </w:rPr>
        <w:t>[1] </w:t>
      </w:r>
      <w:r>
        <w:rPr>
          <w:rFonts w:ascii="Times New Roman"/>
          <w:sz w:val="18"/>
        </w:rPr>
        <w:t>Gabor Halasz &amp; Alain Michel. Key competences in Europe: interpretion, policy formulation and imple mentation[J].European Journal of Education.2011(11): 289-306.</w:t>
      </w:r>
    </w:p>
    <w:p>
      <w:pPr>
        <w:spacing w:line="215" w:lineRule="exact" w:before="0"/>
        <w:ind w:left="1320" w:right="0" w:firstLine="0"/>
        <w:jc w:val="left"/>
        <w:rPr>
          <w:rFonts w:ascii="Times New Roman"/>
          <w:sz w:val="18"/>
        </w:rPr>
      </w:pPr>
      <w:bookmarkStart w:name="_bookmark77" w:id="94"/>
      <w:bookmarkEnd w:id="94"/>
      <w:r>
        <w:rPr/>
      </w:r>
      <w:r>
        <w:rPr>
          <w:rFonts w:ascii="Times New Roman"/>
          <w:position w:val="7"/>
          <w:sz w:val="13"/>
        </w:rPr>
        <w:t>[2] </w:t>
      </w:r>
      <w:r>
        <w:rPr>
          <w:rFonts w:ascii="Times New Roman"/>
          <w:sz w:val="18"/>
        </w:rPr>
        <w:t>Gabor Halasz &amp; Alain Michel. Key competences in Europe: interpretion, policy formulation and</w:t>
      </w:r>
    </w:p>
    <w:p>
      <w:pPr>
        <w:spacing w:before="126"/>
        <w:ind w:left="1320" w:right="0" w:firstLine="0"/>
        <w:jc w:val="left"/>
        <w:rPr>
          <w:rFonts w:ascii="Times New Roman"/>
          <w:sz w:val="18"/>
        </w:rPr>
      </w:pPr>
      <w:r>
        <w:rPr>
          <w:rFonts w:ascii="Times New Roman"/>
          <w:sz w:val="18"/>
        </w:rPr>
        <w:t>implementation[J].European Journal of Education.2011(11): 289-306.</w:t>
      </w:r>
    </w:p>
    <w:p>
      <w:pPr>
        <w:spacing w:after="0"/>
        <w:jc w:val="left"/>
        <w:rPr>
          <w:rFonts w:ascii="Times New Roman"/>
          <w:sz w:val="18"/>
        </w:rPr>
        <w:sectPr>
          <w:pgSz w:w="11910" w:h="16840"/>
          <w:pgMar w:header="878" w:footer="1191" w:top="1300" w:bottom="1380" w:left="480" w:right="220"/>
        </w:sectPr>
      </w:pPr>
    </w:p>
    <w:p>
      <w:pPr>
        <w:pStyle w:val="BodyText"/>
        <w:spacing w:before="9"/>
        <w:rPr>
          <w:rFonts w:ascii="Times New Roman"/>
          <w:sz w:val="11"/>
        </w:rPr>
      </w:pPr>
    </w:p>
    <w:p>
      <w:pPr>
        <w:pStyle w:val="BodyText"/>
        <w:spacing w:line="364" w:lineRule="auto" w:before="74"/>
        <w:ind w:left="1320" w:right="1455"/>
        <w:rPr>
          <w:rFonts w:ascii="Times New Roman" w:hAnsi="Times New Roman" w:eastAsia="Times New Roman"/>
          <w:sz w:val="15"/>
        </w:rPr>
      </w:pPr>
      <w:r>
        <w:rPr>
          <w:spacing w:val="-10"/>
        </w:rPr>
        <w:t>合“里斯本战略”启动了教育与培训领域的未来十年发展规划——</w:t>
      </w:r>
      <w:r>
        <w:rPr>
          <w:rFonts w:ascii="Times New Roman" w:hAnsi="Times New Roman" w:eastAsia="Times New Roman"/>
        </w:rPr>
        <w:t>ET2010 </w:t>
      </w:r>
      <w:r>
        <w:rPr>
          <w:spacing w:val="-4"/>
        </w:rPr>
        <w:t>计划， </w:t>
      </w:r>
      <w:r>
        <w:rPr>
          <w:spacing w:val="-7"/>
        </w:rPr>
        <w:t>研制、推广和实施核心素养的工作一直在该计划框架内具体运作。</w:t>
      </w:r>
      <w:r>
        <w:rPr>
          <w:rFonts w:ascii="Times New Roman" w:hAnsi="Times New Roman" w:eastAsia="Times New Roman"/>
          <w:position w:val="8"/>
          <w:sz w:val="15"/>
        </w:rPr>
        <w:t>[</w:t>
      </w:r>
      <w:hyperlink w:history="true" w:anchor="_bookmark78">
        <w:r>
          <w:rPr>
            <w:rFonts w:ascii="Times New Roman" w:hAnsi="Times New Roman" w:eastAsia="Times New Roman"/>
            <w:position w:val="8"/>
            <w:sz w:val="15"/>
          </w:rPr>
          <w:t>1</w:t>
        </w:r>
      </w:hyperlink>
      <w:r>
        <w:rPr>
          <w:rFonts w:ascii="Times New Roman" w:hAnsi="Times New Roman" w:eastAsia="Times New Roman"/>
          <w:position w:val="8"/>
          <w:sz w:val="15"/>
        </w:rPr>
        <w:t>]</w:t>
      </w:r>
      <w:r>
        <w:rPr>
          <w:rFonts w:ascii="Times New Roman" w:hAnsi="Times New Roman" w:eastAsia="Times New Roman"/>
        </w:rPr>
        <w:t>2006 </w:t>
      </w:r>
      <w:r>
        <w:rPr>
          <w:spacing w:val="-11"/>
        </w:rPr>
        <w:t>年，欧</w:t>
      </w:r>
      <w:r>
        <w:rPr>
          <w:spacing w:val="7"/>
        </w:rPr>
        <w:t>盟出台的《为了终身学习的核心素养：欧洲参考框架》</w:t>
      </w:r>
      <w:r>
        <w:rPr/>
        <w:t>（</w:t>
      </w:r>
      <w:r>
        <w:rPr>
          <w:rFonts w:ascii="Times New Roman" w:hAnsi="Times New Roman" w:eastAsia="Times New Roman"/>
        </w:rPr>
        <w:t>Key Competences for Lifelong Learning</w:t>
      </w:r>
      <w:r>
        <w:rPr>
          <w:rFonts w:ascii="Times New Roman" w:hAnsi="Times New Roman" w:eastAsia="Times New Roman"/>
          <w:spacing w:val="56"/>
        </w:rPr>
        <w:t> </w:t>
      </w:r>
      <w:r>
        <w:rPr>
          <w:spacing w:val="-4"/>
        </w:rPr>
        <w:t>：</w:t>
      </w:r>
      <w:r>
        <w:rPr>
          <w:rFonts w:ascii="Times New Roman" w:hAnsi="Times New Roman" w:eastAsia="Times New Roman"/>
          <w:spacing w:val="-4"/>
        </w:rPr>
        <w:t>A </w:t>
      </w:r>
      <w:r>
        <w:rPr>
          <w:rFonts w:ascii="Times New Roman" w:hAnsi="Times New Roman" w:eastAsia="Times New Roman"/>
        </w:rPr>
        <w:t>European Reference Framework</w:t>
      </w:r>
      <w:r>
        <w:rPr/>
        <w:t>），归纳出了包含八个领域</w:t>
      </w:r>
      <w:r>
        <w:rPr>
          <w:spacing w:val="-8"/>
        </w:rPr>
        <w:t>的核心素养模型，分别阐明了每一核心素养的具体内涵，并建议各国将其作为推</w:t>
      </w:r>
      <w:r>
        <w:rPr>
          <w:spacing w:val="-5"/>
        </w:rPr>
        <w:t>进终身学习和教育与培训改革的参照。</w:t>
      </w:r>
      <w:r>
        <w:rPr>
          <w:rFonts w:ascii="Times New Roman" w:hAnsi="Times New Roman" w:eastAsia="Times New Roman"/>
        </w:rPr>
        <w:t>2002 </w:t>
      </w:r>
      <w:r>
        <w:rPr/>
        <w:t>年，美国政府部门连同苹果、思科等有影响力的商业机构、民间研究机构，成立了“</w:t>
      </w:r>
      <w:r>
        <w:rPr>
          <w:rFonts w:ascii="Times New Roman" w:hAnsi="Times New Roman" w:eastAsia="Times New Roman"/>
        </w:rPr>
        <w:t>21 </w:t>
      </w:r>
      <w:r>
        <w:rPr/>
        <w:t>世纪技能伙伴协会”，简</w:t>
      </w:r>
      <w:r>
        <w:rPr>
          <w:spacing w:val="-6"/>
        </w:rPr>
        <w:t>称“</w:t>
      </w:r>
      <w:r>
        <w:rPr>
          <w:rFonts w:ascii="Times New Roman" w:hAnsi="Times New Roman" w:eastAsia="Times New Roman"/>
          <w:spacing w:val="-3"/>
        </w:rPr>
        <w:t>P21</w:t>
      </w:r>
      <w:r>
        <w:rPr>
          <w:spacing w:val="-3"/>
        </w:rPr>
        <w:t>”，开始系统研制“</w:t>
      </w:r>
      <w:r>
        <w:rPr>
          <w:rFonts w:ascii="Times New Roman" w:hAnsi="Times New Roman" w:eastAsia="Times New Roman"/>
        </w:rPr>
        <w:t>21 </w:t>
      </w:r>
      <w:r>
        <w:rPr>
          <w:spacing w:val="-11"/>
        </w:rPr>
        <w:t>世纪技能”，在 </w:t>
      </w:r>
      <w:r>
        <w:rPr>
          <w:rFonts w:ascii="Times New Roman" w:hAnsi="Times New Roman" w:eastAsia="Times New Roman"/>
        </w:rPr>
        <w:t>2009 </w:t>
      </w:r>
      <w:r>
        <w:rPr>
          <w:spacing w:val="-10"/>
        </w:rPr>
        <w:t>年出台了《面向 </w:t>
      </w:r>
      <w:r>
        <w:rPr>
          <w:rFonts w:ascii="Times New Roman" w:hAnsi="Times New Roman" w:eastAsia="Times New Roman"/>
        </w:rPr>
        <w:t>21 </w:t>
      </w:r>
      <w:r>
        <w:rPr/>
        <w:t>世纪的学习框架》（</w:t>
      </w:r>
      <w:r>
        <w:rPr>
          <w:rFonts w:ascii="Times New Roman" w:hAnsi="Times New Roman" w:eastAsia="Times New Roman"/>
        </w:rPr>
        <w:t>Framework for 21st Century Learning</w:t>
      </w:r>
      <w:r>
        <w:rPr/>
        <w:t>）。</w:t>
      </w:r>
      <w:r>
        <w:rPr>
          <w:rFonts w:ascii="Times New Roman" w:hAnsi="Times New Roman" w:eastAsia="Times New Roman"/>
          <w:position w:val="8"/>
          <w:sz w:val="15"/>
        </w:rPr>
        <w:t>[</w:t>
      </w:r>
      <w:hyperlink w:history="true" w:anchor="_bookmark79">
        <w:r>
          <w:rPr>
            <w:rFonts w:ascii="Times New Roman" w:hAnsi="Times New Roman" w:eastAsia="Times New Roman"/>
            <w:position w:val="8"/>
            <w:sz w:val="15"/>
          </w:rPr>
          <w:t>2</w:t>
        </w:r>
      </w:hyperlink>
      <w:r>
        <w:rPr>
          <w:rFonts w:ascii="Times New Roman" w:hAnsi="Times New Roman" w:eastAsia="Times New Roman"/>
          <w:position w:val="8"/>
          <w:sz w:val="15"/>
        </w:rPr>
        <w:t>]</w:t>
      </w:r>
    </w:p>
    <w:p>
      <w:pPr>
        <w:pStyle w:val="BodyText"/>
        <w:spacing w:line="364" w:lineRule="auto" w:before="6"/>
        <w:ind w:left="1320" w:right="1575" w:firstLine="480"/>
      </w:pPr>
      <w:r>
        <w:rPr/>
        <w:t>此外，日本</w:t>
      </w:r>
      <w:r>
        <w:rPr>
          <w:rFonts w:ascii="Times New Roman" w:hAnsi="Times New Roman" w:eastAsia="Times New Roman"/>
          <w:position w:val="8"/>
          <w:sz w:val="15"/>
        </w:rPr>
        <w:t>[</w:t>
      </w:r>
      <w:hyperlink w:history="true" w:anchor="_bookmark80">
        <w:r>
          <w:rPr>
            <w:rFonts w:ascii="Times New Roman" w:hAnsi="Times New Roman" w:eastAsia="Times New Roman"/>
            <w:position w:val="8"/>
            <w:sz w:val="15"/>
          </w:rPr>
          <w:t>3</w:t>
        </w:r>
      </w:hyperlink>
      <w:r>
        <w:rPr>
          <w:rFonts w:ascii="Times New Roman" w:hAnsi="Times New Roman" w:eastAsia="Times New Roman"/>
          <w:position w:val="8"/>
          <w:sz w:val="15"/>
        </w:rPr>
        <w:t>]</w:t>
      </w:r>
      <w:r>
        <w:rPr/>
        <w:t>、新加坡</w:t>
      </w:r>
      <w:r>
        <w:rPr>
          <w:rFonts w:ascii="Times New Roman" w:hAnsi="Times New Roman" w:eastAsia="Times New Roman"/>
          <w:position w:val="8"/>
          <w:sz w:val="15"/>
        </w:rPr>
        <w:t>[</w:t>
      </w:r>
      <w:hyperlink w:history="true" w:anchor="_bookmark81">
        <w:r>
          <w:rPr>
            <w:rFonts w:ascii="Times New Roman" w:hAnsi="Times New Roman" w:eastAsia="Times New Roman"/>
            <w:position w:val="8"/>
            <w:sz w:val="15"/>
          </w:rPr>
          <w:t>4</w:t>
        </w:r>
      </w:hyperlink>
      <w:r>
        <w:rPr>
          <w:rFonts w:ascii="Times New Roman" w:hAnsi="Times New Roman" w:eastAsia="Times New Roman"/>
          <w:position w:val="8"/>
          <w:sz w:val="15"/>
        </w:rPr>
        <w:t>]</w:t>
      </w:r>
      <w:r>
        <w:rPr/>
        <w:t>等亚洲国家近年来也致力于提高学生在未来社会的竞争力，努力构建学生“核心素养”体系。</w:t>
      </w:r>
    </w:p>
    <w:p>
      <w:pPr>
        <w:pStyle w:val="ListParagraph"/>
        <w:numPr>
          <w:ilvl w:val="4"/>
          <w:numId w:val="3"/>
        </w:numPr>
        <w:tabs>
          <w:tab w:pos="2220" w:val="left" w:leader="none"/>
        </w:tabs>
        <w:spacing w:line="240" w:lineRule="auto" w:before="1" w:after="0"/>
        <w:ind w:left="2220" w:right="0" w:hanging="900"/>
        <w:jc w:val="left"/>
        <w:rPr>
          <w:sz w:val="24"/>
        </w:rPr>
      </w:pPr>
      <w:r>
        <w:rPr>
          <w:sz w:val="24"/>
        </w:rPr>
        <w:t>关于核心素养的内涵研究</w:t>
      </w:r>
    </w:p>
    <w:p>
      <w:pPr>
        <w:pStyle w:val="BodyText"/>
        <w:spacing w:line="364" w:lineRule="auto" w:before="161"/>
        <w:ind w:left="1320" w:right="1577" w:firstLine="480"/>
      </w:pPr>
      <w:r>
        <w:rPr>
          <w:spacing w:val="-8"/>
        </w:rPr>
        <w:t>核心素养成了广泛热议的主题后，各发达国家和重要的国际组织纷纷展开了</w:t>
      </w:r>
      <w:r>
        <w:rPr>
          <w:spacing w:val="-3"/>
        </w:rPr>
        <w:t>对核心素养的内涵研究，其中比较有代表性的主要有 </w:t>
      </w:r>
      <w:r>
        <w:rPr/>
        <w:t>OECD、欧盟、美国。</w:t>
      </w:r>
    </w:p>
    <w:p>
      <w:pPr>
        <w:pStyle w:val="BodyText"/>
        <w:spacing w:line="364" w:lineRule="auto" w:before="1"/>
        <w:ind w:left="1320" w:right="1455" w:firstLine="480"/>
        <w:rPr>
          <w:rFonts w:ascii="Times New Roman" w:hAnsi="Times New Roman" w:eastAsia="Times New Roman"/>
          <w:sz w:val="15"/>
        </w:rPr>
      </w:pPr>
      <w:r>
        <w:rPr>
          <w:rFonts w:ascii="Times New Roman" w:hAnsi="Times New Roman" w:eastAsia="Times New Roman"/>
        </w:rPr>
        <w:t>OECD </w:t>
      </w:r>
      <w:r>
        <w:rPr>
          <w:spacing w:val="-10"/>
        </w:rPr>
        <w:t>从“需求导向”出发，以实现个体成功和社会良好运行为目标，提出</w:t>
      </w:r>
      <w:r>
        <w:rPr>
          <w:spacing w:val="-11"/>
        </w:rPr>
        <w:t>了个体需具备的三类核心素养：</w:t>
      </w:r>
      <w:r>
        <w:rPr>
          <w:spacing w:val="-18"/>
        </w:rPr>
        <w:t>（</w:t>
      </w:r>
      <w:r>
        <w:rPr>
          <w:rFonts w:ascii="Times New Roman" w:hAnsi="Times New Roman" w:eastAsia="Times New Roman"/>
          <w:spacing w:val="-18"/>
        </w:rPr>
        <w:t>1</w:t>
      </w:r>
      <w:r>
        <w:rPr>
          <w:spacing w:val="-18"/>
        </w:rPr>
        <w:t>）</w:t>
      </w:r>
      <w:r>
        <w:rPr>
          <w:spacing w:val="-4"/>
        </w:rPr>
        <w:t>互动使用工具的能力，即互动地使用语言、</w:t>
      </w:r>
      <w:r>
        <w:rPr>
          <w:spacing w:val="-13"/>
        </w:rPr>
        <w:t>符号和文本的能力；互动地使用知识和信息的能力；互动地使用技术的能力</w:t>
      </w:r>
      <w:r>
        <w:rPr>
          <w:spacing w:val="-163"/>
        </w:rPr>
        <w:t>；</w:t>
      </w:r>
      <w:r>
        <w:rPr>
          <w:spacing w:val="-7"/>
        </w:rPr>
        <w:t>（</w:t>
      </w:r>
      <w:r>
        <w:rPr>
          <w:rFonts w:ascii="Times New Roman" w:hAnsi="Times New Roman" w:eastAsia="Times New Roman"/>
          <w:spacing w:val="-2"/>
        </w:rPr>
        <w:t>2</w:t>
      </w:r>
      <w:r>
        <w:rPr>
          <w:spacing w:val="-4"/>
        </w:rPr>
        <w:t>）</w:t>
      </w:r>
      <w:r>
        <w:rPr>
          <w:spacing w:val="-6"/>
        </w:rPr>
        <w:t>在异质群体中互动的能力，关注与他人建立良好关系的能力、协作能力、应对并解决冲突的能力；（</w:t>
      </w:r>
      <w:r>
        <w:rPr>
          <w:rFonts w:ascii="Times New Roman" w:hAnsi="Times New Roman" w:eastAsia="Times New Roman"/>
          <w:spacing w:val="-6"/>
        </w:rPr>
        <w:t>3</w:t>
      </w:r>
      <w:r>
        <w:rPr>
          <w:spacing w:val="-6"/>
        </w:rPr>
        <w:t>）自主行动的能力涉及到在更广阔的情境中应用的能力； 制定并实施人生规划和个人计划的能力；维护权利、兴趣、范围和需要的能力。其中，反思性思考与行动居于核心地位。</w:t>
      </w:r>
      <w:r>
        <w:rPr>
          <w:rFonts w:ascii="Times New Roman" w:hAnsi="Times New Roman" w:eastAsia="Times New Roman"/>
          <w:spacing w:val="-6"/>
          <w:position w:val="8"/>
          <w:sz w:val="15"/>
        </w:rPr>
        <w:t>[</w:t>
      </w:r>
      <w:hyperlink w:history="true" w:anchor="_bookmark82">
        <w:r>
          <w:rPr>
            <w:rFonts w:ascii="Times New Roman" w:hAnsi="Times New Roman" w:eastAsia="Times New Roman"/>
            <w:spacing w:val="-6"/>
            <w:position w:val="8"/>
            <w:sz w:val="15"/>
          </w:rPr>
          <w:t>5</w:t>
        </w:r>
      </w:hyperlink>
      <w:r>
        <w:rPr>
          <w:rFonts w:ascii="Times New Roman" w:hAnsi="Times New Roman" w:eastAsia="Times New Roman"/>
          <w:spacing w:val="-6"/>
          <w:position w:val="8"/>
          <w:sz w:val="15"/>
        </w:rPr>
        <w:t>]</w:t>
      </w:r>
    </w:p>
    <w:p>
      <w:pPr>
        <w:pStyle w:val="BodyText"/>
        <w:spacing w:line="364" w:lineRule="auto" w:before="4"/>
        <w:ind w:left="1320" w:right="1455" w:firstLine="480"/>
      </w:pPr>
      <w:r>
        <w:rPr>
          <w:rFonts w:ascii="Times New Roman" w:hAnsi="Times New Roman" w:eastAsia="Times New Roman"/>
        </w:rPr>
        <w:t>2006 </w:t>
      </w:r>
      <w:r>
        <w:rPr>
          <w:spacing w:val="-27"/>
        </w:rPr>
        <w:t>年 </w:t>
      </w:r>
      <w:r>
        <w:rPr>
          <w:rFonts w:ascii="Times New Roman" w:hAnsi="Times New Roman" w:eastAsia="Times New Roman"/>
        </w:rPr>
        <w:t>12 </w:t>
      </w:r>
      <w:r>
        <w:rPr>
          <w:spacing w:val="-26"/>
        </w:rPr>
        <w:t>月 </w:t>
      </w:r>
      <w:r>
        <w:rPr>
          <w:rFonts w:ascii="Times New Roman" w:hAnsi="Times New Roman" w:eastAsia="Times New Roman"/>
        </w:rPr>
        <w:t>18 </w:t>
      </w:r>
      <w:r>
        <w:rPr/>
        <w:t>日，欧盟通过了关于核心素养的议案“为了终身学习的核</w:t>
      </w:r>
      <w:r>
        <w:rPr>
          <w:spacing w:val="-16"/>
        </w:rPr>
        <w:t>心素养：欧洲参考框架”。该提案统整了个人、社会和经济三方面的目标和追求，</w:t>
      </w:r>
    </w:p>
    <w:p>
      <w:pPr>
        <w:pStyle w:val="BodyText"/>
        <w:spacing w:before="11"/>
        <w:rPr>
          <w:sz w:val="7"/>
        </w:rPr>
      </w:pPr>
      <w:r>
        <w:rPr/>
        <w:pict>
          <v:shape style="position:absolute;margin-left:90pt;margin-top:7.013896pt;width:144pt;height:.1pt;mso-position-horizontal-relative:page;mso-position-vertical-relative:paragraph;z-index:-251630592;mso-wrap-distance-left:0;mso-wrap-distance-right:0" coordorigin="1800,140" coordsize="2880,0" path="m1800,140l4680,140e" filled="false" stroked="true" strokeweight="0pt" strokecolor="#000000">
            <v:path arrowok="t"/>
            <v:stroke dashstyle="solid"/>
            <w10:wrap type="topAndBottom"/>
          </v:shape>
        </w:pict>
      </w:r>
    </w:p>
    <w:p>
      <w:pPr>
        <w:spacing w:before="99"/>
        <w:ind w:left="1320" w:right="0" w:firstLine="0"/>
        <w:jc w:val="left"/>
        <w:rPr>
          <w:rFonts w:ascii="Times New Roman" w:hAnsi="Times New Roman" w:eastAsia="Times New Roman"/>
          <w:sz w:val="18"/>
        </w:rPr>
      </w:pPr>
      <w:bookmarkStart w:name="_bookmark78" w:id="95"/>
      <w:bookmarkEnd w:id="95"/>
      <w:r>
        <w:rPr/>
      </w:r>
      <w:r>
        <w:rPr>
          <w:rFonts w:ascii="Times New Roman" w:hAnsi="Times New Roman" w:eastAsia="Times New Roman"/>
          <w:position w:val="7"/>
          <w:sz w:val="13"/>
        </w:rPr>
        <w:t>[1] </w:t>
      </w:r>
      <w:r>
        <w:rPr>
          <w:sz w:val="18"/>
        </w:rPr>
        <w:t>刘新阳</w:t>
      </w:r>
      <w:r>
        <w:rPr>
          <w:rFonts w:ascii="Times New Roman" w:hAnsi="Times New Roman" w:eastAsia="Times New Roman"/>
          <w:sz w:val="18"/>
        </w:rPr>
        <w:t>,</w:t>
      </w:r>
      <w:r>
        <w:rPr>
          <w:sz w:val="18"/>
        </w:rPr>
        <w:t>裴新宁</w:t>
      </w:r>
      <w:r>
        <w:rPr>
          <w:rFonts w:ascii="Times New Roman" w:hAnsi="Times New Roman" w:eastAsia="Times New Roman"/>
          <w:sz w:val="18"/>
        </w:rPr>
        <w:t>.</w:t>
      </w:r>
      <w:r>
        <w:rPr>
          <w:sz w:val="18"/>
        </w:rPr>
        <w:t>为 </w:t>
      </w:r>
      <w:r>
        <w:rPr>
          <w:rFonts w:ascii="Times New Roman" w:hAnsi="Times New Roman" w:eastAsia="Times New Roman"/>
          <w:sz w:val="18"/>
        </w:rPr>
        <w:t>21 </w:t>
      </w:r>
      <w:r>
        <w:rPr>
          <w:sz w:val="18"/>
        </w:rPr>
        <w:t>世纪重建教育</w:t>
      </w:r>
      <w:r>
        <w:rPr>
          <w:rFonts w:ascii="Times New Roman" w:hAnsi="Times New Roman" w:eastAsia="Times New Roman"/>
          <w:sz w:val="18"/>
        </w:rPr>
        <w:t>——</w:t>
      </w:r>
      <w:r>
        <w:rPr>
          <w:sz w:val="18"/>
        </w:rPr>
        <w:t>欧盟核心素养的确立</w:t>
      </w:r>
      <w:r>
        <w:rPr>
          <w:rFonts w:ascii="Times New Roman" w:hAnsi="Times New Roman" w:eastAsia="Times New Roman"/>
          <w:sz w:val="18"/>
        </w:rPr>
        <w:t>[J].</w:t>
      </w:r>
      <w:hyperlink r:id="rId21">
        <w:r>
          <w:rPr>
            <w:sz w:val="18"/>
          </w:rPr>
          <w:t>全球教育展望，</w:t>
        </w:r>
      </w:hyperlink>
      <w:r>
        <w:rPr>
          <w:rFonts w:ascii="Times New Roman" w:hAnsi="Times New Roman" w:eastAsia="Times New Roman"/>
          <w:sz w:val="18"/>
        </w:rPr>
        <w:t>2013 </w:t>
      </w:r>
      <w:r>
        <w:rPr>
          <w:sz w:val="18"/>
        </w:rPr>
        <w:t>（</w:t>
      </w:r>
      <w:r>
        <w:rPr>
          <w:rFonts w:ascii="Times New Roman" w:hAnsi="Times New Roman" w:eastAsia="Times New Roman"/>
          <w:sz w:val="18"/>
        </w:rPr>
        <w:t>12</w:t>
      </w:r>
      <w:r>
        <w:rPr>
          <w:sz w:val="18"/>
        </w:rPr>
        <w:t>）：</w:t>
      </w:r>
      <w:r>
        <w:rPr>
          <w:rFonts w:ascii="Times New Roman" w:hAnsi="Times New Roman" w:eastAsia="Times New Roman"/>
          <w:sz w:val="18"/>
        </w:rPr>
        <w:t>89-102.</w:t>
      </w:r>
    </w:p>
    <w:p>
      <w:pPr>
        <w:spacing w:line="386" w:lineRule="auto" w:before="125"/>
        <w:ind w:left="1319" w:right="1632" w:firstLine="0"/>
        <w:jc w:val="left"/>
        <w:rPr>
          <w:rFonts w:ascii="Times New Roman"/>
          <w:sz w:val="18"/>
        </w:rPr>
      </w:pPr>
      <w:bookmarkStart w:name="_bookmark79" w:id="96"/>
      <w:bookmarkEnd w:id="96"/>
      <w:r>
        <w:rPr/>
      </w:r>
      <w:r>
        <w:rPr>
          <w:rFonts w:ascii="Times New Roman"/>
          <w:position w:val="7"/>
          <w:sz w:val="13"/>
        </w:rPr>
        <w:t>[2] </w:t>
      </w:r>
      <w:r>
        <w:rPr>
          <w:rFonts w:ascii="Times New Roman"/>
          <w:sz w:val="18"/>
        </w:rPr>
        <w:t>Partnership for 21st Century learning. Framework for 21st Century Learning. [EB/OL].</w:t>
      </w:r>
      <w:hyperlink r:id="rId22">
        <w:r>
          <w:rPr>
            <w:rFonts w:ascii="Times New Roman"/>
            <w:sz w:val="18"/>
          </w:rPr>
          <w:t>http://www.p21.o</w:t>
        </w:r>
      </w:hyperlink>
      <w:r>
        <w:rPr>
          <w:rFonts w:ascii="Times New Roman"/>
          <w:sz w:val="18"/>
        </w:rPr>
        <w:t> </w:t>
      </w:r>
      <w:hyperlink r:id="rId22">
        <w:r>
          <w:rPr>
            <w:rFonts w:ascii="Times New Roman"/>
            <w:sz w:val="18"/>
          </w:rPr>
          <w:t>rg/storage/documents/P21_framework_0515.pdf</w:t>
        </w:r>
      </w:hyperlink>
      <w:r>
        <w:rPr>
          <w:rFonts w:ascii="Times New Roman"/>
          <w:sz w:val="18"/>
        </w:rPr>
        <w:t>.2016-2-1.</w:t>
      </w:r>
    </w:p>
    <w:p>
      <w:pPr>
        <w:spacing w:line="255" w:lineRule="exact" w:before="0"/>
        <w:ind w:left="1319" w:right="0" w:firstLine="0"/>
        <w:jc w:val="left"/>
        <w:rPr>
          <w:rFonts w:ascii="Times New Roman" w:hAnsi="Times New Roman" w:eastAsia="Times New Roman"/>
          <w:sz w:val="18"/>
        </w:rPr>
      </w:pPr>
      <w:bookmarkStart w:name="_bookmark80" w:id="97"/>
      <w:bookmarkEnd w:id="97"/>
      <w:r>
        <w:rPr/>
      </w:r>
      <w:r>
        <w:rPr>
          <w:rFonts w:ascii="Times New Roman" w:hAnsi="Times New Roman" w:eastAsia="Times New Roman"/>
          <w:position w:val="8"/>
          <w:sz w:val="15"/>
        </w:rPr>
        <w:t>[3] </w:t>
      </w:r>
      <w:r>
        <w:rPr>
          <w:sz w:val="18"/>
        </w:rPr>
        <w:t>钟启泉</w:t>
      </w:r>
      <w:r>
        <w:rPr>
          <w:rFonts w:ascii="Times New Roman" w:hAnsi="Times New Roman" w:eastAsia="Times New Roman"/>
          <w:sz w:val="18"/>
        </w:rPr>
        <w:t>.</w:t>
      </w:r>
      <w:r>
        <w:rPr>
          <w:sz w:val="18"/>
        </w:rPr>
        <w:t>日本“学力”概念的演进</w:t>
      </w:r>
      <w:r>
        <w:rPr>
          <w:rFonts w:ascii="Times New Roman" w:hAnsi="Times New Roman" w:eastAsia="Times New Roman"/>
          <w:sz w:val="18"/>
        </w:rPr>
        <w:t>[J].</w:t>
      </w:r>
      <w:r>
        <w:rPr>
          <w:sz w:val="18"/>
        </w:rPr>
        <w:t>教育探究，</w:t>
      </w:r>
      <w:r>
        <w:rPr>
          <w:rFonts w:ascii="Times New Roman" w:hAnsi="Times New Roman" w:eastAsia="Times New Roman"/>
          <w:sz w:val="18"/>
        </w:rPr>
        <w:t>2014</w:t>
      </w:r>
      <w:r>
        <w:rPr>
          <w:sz w:val="18"/>
        </w:rPr>
        <w:t>（</w:t>
      </w:r>
      <w:r>
        <w:rPr>
          <w:rFonts w:ascii="Times New Roman" w:hAnsi="Times New Roman" w:eastAsia="Times New Roman"/>
          <w:sz w:val="18"/>
        </w:rPr>
        <w:t>2</w:t>
      </w:r>
      <w:r>
        <w:rPr>
          <w:sz w:val="18"/>
        </w:rPr>
        <w:t>）：</w:t>
      </w:r>
      <w:r>
        <w:rPr>
          <w:rFonts w:ascii="Times New Roman" w:hAnsi="Times New Roman" w:eastAsia="Times New Roman"/>
          <w:sz w:val="18"/>
        </w:rPr>
        <w:t>1-7.</w:t>
      </w:r>
    </w:p>
    <w:p>
      <w:pPr>
        <w:spacing w:before="138"/>
        <w:ind w:left="1319" w:right="0" w:firstLine="0"/>
        <w:jc w:val="left"/>
        <w:rPr>
          <w:rFonts w:ascii="Times New Roman"/>
          <w:sz w:val="18"/>
        </w:rPr>
      </w:pPr>
      <w:bookmarkStart w:name="_bookmark81" w:id="98"/>
      <w:bookmarkEnd w:id="98"/>
      <w:r>
        <w:rPr/>
      </w:r>
      <w:r>
        <w:rPr>
          <w:rFonts w:ascii="Times New Roman"/>
          <w:position w:val="7"/>
          <w:sz w:val="13"/>
        </w:rPr>
        <w:t>[4] </w:t>
      </w:r>
      <w:r>
        <w:rPr>
          <w:rFonts w:ascii="Times New Roman"/>
          <w:sz w:val="18"/>
        </w:rPr>
        <w:t>Minstry of Education SINGAPORE</w:t>
      </w:r>
      <w:r>
        <w:rPr>
          <w:rFonts w:ascii="Times New Roman"/>
          <w:sz w:val="24"/>
        </w:rPr>
        <w:t>. </w:t>
      </w:r>
      <w:r>
        <w:rPr>
          <w:rFonts w:ascii="Times New Roman"/>
          <w:sz w:val="18"/>
        </w:rPr>
        <w:t>21stcentury competencies.[EB/OL].https</w:t>
      </w:r>
      <w:hyperlink r:id="rId23">
        <w:r>
          <w:rPr>
            <w:rFonts w:ascii="Times New Roman"/>
            <w:sz w:val="18"/>
          </w:rPr>
          <w:t>://www.moe.gov.sg/education</w:t>
        </w:r>
      </w:hyperlink>
    </w:p>
    <w:p>
      <w:pPr>
        <w:spacing w:before="135"/>
        <w:ind w:left="1319" w:right="0" w:firstLine="0"/>
        <w:jc w:val="left"/>
        <w:rPr>
          <w:rFonts w:ascii="Times New Roman"/>
          <w:sz w:val="18"/>
        </w:rPr>
      </w:pPr>
      <w:r>
        <w:rPr>
          <w:rFonts w:ascii="Times New Roman"/>
          <w:sz w:val="18"/>
        </w:rPr>
        <w:t>/education-system/21st-century-competencies.2016-5-18.</w:t>
      </w:r>
    </w:p>
    <w:p>
      <w:pPr>
        <w:spacing w:line="386" w:lineRule="auto" w:before="111"/>
        <w:ind w:left="1319" w:right="1582" w:firstLine="0"/>
        <w:jc w:val="left"/>
        <w:rPr>
          <w:rFonts w:ascii="Times New Roman"/>
          <w:sz w:val="18"/>
        </w:rPr>
      </w:pPr>
      <w:bookmarkStart w:name="_bookmark82" w:id="99"/>
      <w:bookmarkEnd w:id="99"/>
      <w:r>
        <w:rPr/>
      </w:r>
      <w:r>
        <w:rPr>
          <w:rFonts w:ascii="Times New Roman"/>
          <w:position w:val="7"/>
          <w:sz w:val="13"/>
        </w:rPr>
        <w:t>[5] </w:t>
      </w:r>
      <w:r>
        <w:rPr>
          <w:rFonts w:ascii="Times New Roman"/>
          <w:sz w:val="18"/>
        </w:rPr>
        <w:t>OECD. Executive Summary of the DeSeCo Study [EB/OL] </w:t>
      </w:r>
      <w:hyperlink r:id="rId24">
        <w:r>
          <w:rPr>
            <w:rFonts w:ascii="Times New Roman"/>
            <w:sz w:val="18"/>
          </w:rPr>
          <w:t>.http://www.oecd.org/education/skills-beyond-</w:t>
        </w:r>
      </w:hyperlink>
      <w:r>
        <w:rPr>
          <w:rFonts w:ascii="Times New Roman"/>
          <w:sz w:val="18"/>
        </w:rPr>
        <w:t> </w:t>
      </w:r>
      <w:hyperlink r:id="rId24">
        <w:r>
          <w:rPr>
            <w:rFonts w:ascii="Times New Roman"/>
            <w:sz w:val="18"/>
          </w:rPr>
          <w:t>school/definitionandselectionofcompetenciesdeseco.htm.</w:t>
        </w:r>
      </w:hyperlink>
      <w:r>
        <w:rPr>
          <w:rFonts w:ascii="Times New Roman"/>
          <w:sz w:val="18"/>
        </w:rPr>
        <w:t>2016-3-5.</w:t>
      </w:r>
    </w:p>
    <w:p>
      <w:pPr>
        <w:spacing w:after="0" w:line="386" w:lineRule="auto"/>
        <w:jc w:val="left"/>
        <w:rPr>
          <w:rFonts w:ascii="Times New Roman"/>
          <w:sz w:val="18"/>
        </w:rPr>
        <w:sectPr>
          <w:pgSz w:w="11910" w:h="16840"/>
          <w:pgMar w:header="878" w:footer="1191" w:top="1300" w:bottom="1380" w:left="480" w:right="220"/>
        </w:sectPr>
      </w:pPr>
    </w:p>
    <w:p>
      <w:pPr>
        <w:pStyle w:val="BodyText"/>
        <w:spacing w:before="9"/>
        <w:rPr>
          <w:rFonts w:ascii="Times New Roman"/>
          <w:sz w:val="11"/>
        </w:rPr>
      </w:pPr>
    </w:p>
    <w:p>
      <w:pPr>
        <w:pStyle w:val="BodyText"/>
        <w:spacing w:line="364" w:lineRule="auto" w:before="74"/>
        <w:ind w:left="1319" w:right="1455"/>
      </w:pPr>
      <w:r>
        <w:rPr>
          <w:spacing w:val="-1"/>
        </w:rPr>
        <w:t>归纳出了八个领域的核心素养：</w:t>
      </w:r>
      <w:r>
        <w:rPr>
          <w:spacing w:val="-10"/>
        </w:rPr>
        <w:t>（</w:t>
      </w:r>
      <w:r>
        <w:rPr>
          <w:rFonts w:ascii="Times New Roman" w:eastAsia="Times New Roman"/>
          <w:spacing w:val="-10"/>
        </w:rPr>
        <w:t>1</w:t>
      </w:r>
      <w:r>
        <w:rPr>
          <w:spacing w:val="-10"/>
        </w:rPr>
        <w:t>）</w:t>
      </w:r>
      <w:r>
        <w:rPr>
          <w:spacing w:val="-2"/>
        </w:rPr>
        <w:t>使用母语交流；</w:t>
      </w:r>
      <w:r>
        <w:rPr>
          <w:spacing w:val="-9"/>
        </w:rPr>
        <w:t>（</w:t>
      </w:r>
      <w:r>
        <w:rPr>
          <w:rFonts w:ascii="Times New Roman" w:eastAsia="Times New Roman"/>
          <w:spacing w:val="-9"/>
        </w:rPr>
        <w:t>2</w:t>
      </w:r>
      <w:r>
        <w:rPr>
          <w:spacing w:val="-9"/>
        </w:rPr>
        <w:t>）</w:t>
      </w:r>
      <w:r>
        <w:rPr>
          <w:spacing w:val="-2"/>
        </w:rPr>
        <w:t>使用外语交流；</w:t>
      </w:r>
      <w:r>
        <w:rPr>
          <w:spacing w:val="-10"/>
        </w:rPr>
        <w:t>（</w:t>
      </w:r>
      <w:r>
        <w:rPr>
          <w:rFonts w:ascii="Times New Roman" w:eastAsia="Times New Roman"/>
          <w:spacing w:val="-10"/>
        </w:rPr>
        <w:t>3</w:t>
      </w:r>
      <w:r>
        <w:rPr>
          <w:spacing w:val="-10"/>
        </w:rPr>
        <w:t>） </w:t>
      </w:r>
      <w:r>
        <w:rPr/>
        <w:t>数学素养与基本的科学技术素养；（</w:t>
      </w:r>
      <w:r>
        <w:rPr>
          <w:rFonts w:ascii="Times New Roman" w:eastAsia="Times New Roman"/>
        </w:rPr>
        <w:t>4</w:t>
      </w:r>
      <w:r>
        <w:rPr/>
        <w:t>）数字素养；（</w:t>
      </w:r>
      <w:r>
        <w:rPr>
          <w:rFonts w:ascii="Times New Roman" w:eastAsia="Times New Roman"/>
        </w:rPr>
        <w:t>5</w:t>
      </w:r>
      <w:r>
        <w:rPr/>
        <w:t>）学会学习；（</w:t>
      </w:r>
      <w:r>
        <w:rPr>
          <w:rFonts w:ascii="Times New Roman" w:eastAsia="Times New Roman"/>
        </w:rPr>
        <w:t>6</w:t>
      </w:r>
      <w:r>
        <w:rPr/>
        <w:t>）社会与公民素养；（</w:t>
      </w:r>
      <w:r>
        <w:rPr>
          <w:rFonts w:ascii="Times New Roman" w:eastAsia="Times New Roman"/>
        </w:rPr>
        <w:t>7</w:t>
      </w:r>
      <w:r>
        <w:rPr/>
        <w:t>）主动意识与创业精神；（</w:t>
      </w:r>
      <w:r>
        <w:rPr>
          <w:rFonts w:ascii="Times New Roman" w:eastAsia="Times New Roman"/>
        </w:rPr>
        <w:t>8</w:t>
      </w:r>
      <w:r>
        <w:rPr/>
        <w:t>）文化意识与文化表达。</w:t>
      </w:r>
      <w:hyperlink w:history="true" w:anchor="_bookmark83">
        <w:r>
          <w:rPr>
            <w:rFonts w:ascii="Times New Roman" w:eastAsia="Times New Roman"/>
            <w:position w:val="8"/>
            <w:sz w:val="15"/>
          </w:rPr>
          <w:t>[1</w:t>
        </w:r>
      </w:hyperlink>
      <w:r>
        <w:rPr>
          <w:rFonts w:ascii="Times New Roman" w:eastAsia="Times New Roman"/>
          <w:position w:val="8"/>
          <w:sz w:val="15"/>
        </w:rPr>
        <w:t>]</w:t>
      </w:r>
      <w:r>
        <w:rPr/>
        <w:t>其中， </w:t>
      </w:r>
      <w:r>
        <w:rPr>
          <w:spacing w:val="-5"/>
        </w:rPr>
        <w:t>前三个领域的核心素养属于学科核心素养；后五个领域是跨学科性质的，以跨学</w:t>
      </w:r>
      <w:r>
        <w:rPr>
          <w:spacing w:val="-12"/>
        </w:rPr>
        <w:t>科能力发展为支撑，如批判思维、创造性、主动性、问题解决、风险评估、情感</w:t>
      </w:r>
      <w:r>
        <w:rPr>
          <w:spacing w:val="-11"/>
        </w:rPr>
        <w:t>决策等。欧盟还清晰地描述了每一核心素养的具体内涵，并且从知识、技能和态</w:t>
      </w:r>
      <w:r>
        <w:rPr>
          <w:spacing w:val="-16"/>
        </w:rPr>
        <w:t>度这三个方面做出了明确的说明。这八个领域的核心素养在个人的发展中处于同等重要的地位，相互依存构成一个整体。</w:t>
      </w:r>
    </w:p>
    <w:p>
      <w:pPr>
        <w:pStyle w:val="BodyText"/>
        <w:spacing w:line="364" w:lineRule="auto" w:before="5"/>
        <w:ind w:left="1319" w:right="1457" w:firstLine="480"/>
        <w:rPr>
          <w:rFonts w:ascii="Times New Roman" w:hAnsi="Times New Roman" w:eastAsia="Times New Roman"/>
          <w:sz w:val="15"/>
        </w:rPr>
      </w:pPr>
      <w:r>
        <w:rPr>
          <w:spacing w:val="-18"/>
        </w:rPr>
        <w:t>美国“</w:t>
      </w:r>
      <w:r>
        <w:rPr/>
        <w:t>21</w:t>
      </w:r>
      <w:r>
        <w:rPr>
          <w:spacing w:val="-16"/>
        </w:rPr>
        <w:t> 世纪的技能伙伴”组织 </w:t>
      </w:r>
      <w:r>
        <w:rPr>
          <w:rFonts w:ascii="Times New Roman" w:hAnsi="Times New Roman" w:eastAsia="Times New Roman"/>
        </w:rPr>
        <w:t>2009 </w:t>
      </w:r>
      <w:r>
        <w:rPr>
          <w:spacing w:val="-16"/>
        </w:rPr>
        <w:t>年发布了《面向 </w:t>
      </w:r>
      <w:r>
        <w:rPr>
          <w:rFonts w:ascii="Times New Roman" w:hAnsi="Times New Roman" w:eastAsia="Times New Roman"/>
        </w:rPr>
        <w:t>21 </w:t>
      </w:r>
      <w:r>
        <w:rPr>
          <w:spacing w:val="-15"/>
        </w:rPr>
        <w:t>世纪的学习框架》， </w:t>
      </w:r>
      <w:r>
        <w:rPr/>
        <w:t>提出了美国的核心素养——“21</w:t>
      </w:r>
      <w:r>
        <w:rPr>
          <w:spacing w:val="-6"/>
        </w:rPr>
        <w:t> 世纪技能”的“彩虹模型”，包括“彩虹”部</w:t>
      </w:r>
      <w:r>
        <w:rPr>
          <w:spacing w:val="-9"/>
        </w:rPr>
        <w:t>分的学习结果及“底座”部分的“支持系统”，如图 </w:t>
      </w:r>
      <w:r>
        <w:rPr>
          <w:rFonts w:ascii="Times New Roman" w:hAnsi="Times New Roman" w:eastAsia="Times New Roman"/>
        </w:rPr>
        <w:t>1.1 </w:t>
      </w:r>
      <w:r>
        <w:rPr/>
        <w:t>所示：</w:t>
      </w:r>
      <w:r>
        <w:rPr>
          <w:rFonts w:ascii="Times New Roman" w:hAnsi="Times New Roman" w:eastAsia="Times New Roman"/>
          <w:position w:val="8"/>
          <w:sz w:val="15"/>
        </w:rPr>
        <w:t>[</w:t>
      </w:r>
      <w:hyperlink w:history="true" w:anchor="_bookmark84">
        <w:r>
          <w:rPr>
            <w:rFonts w:ascii="Times New Roman" w:hAnsi="Times New Roman" w:eastAsia="Times New Roman"/>
            <w:position w:val="8"/>
            <w:sz w:val="15"/>
          </w:rPr>
          <w:t>2</w:t>
        </w:r>
      </w:hyperlink>
      <w:r>
        <w:rPr>
          <w:rFonts w:ascii="Times New Roman" w:hAnsi="Times New Roman" w:eastAsia="Times New Roman"/>
          <w:position w:val="8"/>
          <w:sz w:val="15"/>
        </w:rPr>
        <w:t>]</w:t>
      </w:r>
    </w:p>
    <w:p>
      <w:pPr>
        <w:pStyle w:val="BodyText"/>
        <w:rPr>
          <w:rFonts w:ascii="Times New Roman"/>
          <w:sz w:val="20"/>
        </w:rPr>
      </w:pPr>
    </w:p>
    <w:p>
      <w:pPr>
        <w:pStyle w:val="BodyText"/>
        <w:spacing w:before="6"/>
        <w:rPr>
          <w:rFonts w:ascii="Times New Roman"/>
          <w:sz w:val="21"/>
        </w:rPr>
      </w:pPr>
      <w:r>
        <w:rPr/>
        <w:drawing>
          <wp:anchor distT="0" distB="0" distL="0" distR="0" allowOverlap="1" layoutInCell="1" locked="0" behindDoc="0" simplePos="0" relativeHeight="28">
            <wp:simplePos x="0" y="0"/>
            <wp:positionH relativeFrom="page">
              <wp:posOffset>2222177</wp:posOffset>
            </wp:positionH>
            <wp:positionV relativeFrom="paragraph">
              <wp:posOffset>182497</wp:posOffset>
            </wp:positionV>
            <wp:extent cx="3391546" cy="2011108"/>
            <wp:effectExtent l="0" t="0" r="0" b="0"/>
            <wp:wrapTopAndBottom/>
            <wp:docPr id="13" name="image5.jpeg"/>
            <wp:cNvGraphicFramePr>
              <a:graphicFrameLocks noChangeAspect="1"/>
            </wp:cNvGraphicFramePr>
            <a:graphic>
              <a:graphicData uri="http://schemas.openxmlformats.org/drawingml/2006/picture">
                <pic:pic>
                  <pic:nvPicPr>
                    <pic:cNvPr id="14" name="image5.jpeg"/>
                    <pic:cNvPicPr/>
                  </pic:nvPicPr>
                  <pic:blipFill>
                    <a:blip r:embed="rId25" cstate="print"/>
                    <a:stretch>
                      <a:fillRect/>
                    </a:stretch>
                  </pic:blipFill>
                  <pic:spPr>
                    <a:xfrm>
                      <a:off x="0" y="0"/>
                      <a:ext cx="3391546" cy="2011108"/>
                    </a:xfrm>
                    <a:prstGeom prst="rect">
                      <a:avLst/>
                    </a:prstGeom>
                  </pic:spPr>
                </pic:pic>
              </a:graphicData>
            </a:graphic>
          </wp:anchor>
        </w:drawing>
      </w:r>
    </w:p>
    <w:p>
      <w:pPr>
        <w:pStyle w:val="BodyText"/>
        <w:spacing w:before="7"/>
        <w:rPr>
          <w:rFonts w:ascii="Times New Roman"/>
          <w:sz w:val="10"/>
        </w:rPr>
      </w:pPr>
    </w:p>
    <w:p>
      <w:pPr>
        <w:pStyle w:val="BodyText"/>
        <w:spacing w:before="67"/>
        <w:ind w:left="3463"/>
      </w:pPr>
      <w:r>
        <w:rPr/>
        <w:t>图 1.1 美国 21 世纪技能与支持系统图</w:t>
      </w:r>
    </w:p>
    <w:p>
      <w:pPr>
        <w:pStyle w:val="BodyText"/>
        <w:spacing w:line="364" w:lineRule="auto" w:before="160"/>
        <w:ind w:left="1319" w:right="1455" w:firstLine="480"/>
      </w:pPr>
      <w:r>
        <w:rPr/>
        <w:t>外圈包括相互联系的三个方面：（</w:t>
      </w:r>
      <w:r>
        <w:rPr>
          <w:rFonts w:ascii="Times New Roman" w:eastAsia="Times New Roman"/>
        </w:rPr>
        <w:t>1</w:t>
      </w:r>
      <w:r>
        <w:rPr/>
        <w:t>）生活与生涯规划技能：灵活性和适应</w:t>
      </w:r>
      <w:r>
        <w:rPr>
          <w:spacing w:val="-19"/>
        </w:rPr>
        <w:t>性、主动性和自主性、社会与跨文化技能、生产力与责任、领导力与责任感；</w:t>
      </w:r>
      <w:r>
        <w:rPr>
          <w:spacing w:val="-4"/>
        </w:rPr>
        <w:t>（</w:t>
      </w:r>
      <w:r>
        <w:rPr>
          <w:rFonts w:ascii="Times New Roman" w:eastAsia="Times New Roman"/>
          <w:spacing w:val="-4"/>
        </w:rPr>
        <w:t>2</w:t>
      </w:r>
      <w:r>
        <w:rPr>
          <w:spacing w:val="-4"/>
        </w:rPr>
        <w:t>）</w:t>
      </w:r>
      <w:r>
        <w:rPr>
          <w:spacing w:val="-7"/>
        </w:rPr>
        <w:t>学习和创新技能，主要有创造性与创新、批判思维与问题解决能力、沟通与协作能力；（</w:t>
      </w:r>
      <w:r>
        <w:rPr>
          <w:rFonts w:ascii="Times New Roman" w:eastAsia="Times New Roman"/>
          <w:spacing w:val="-7"/>
        </w:rPr>
        <w:t>3</w:t>
      </w:r>
      <w:r>
        <w:rPr>
          <w:spacing w:val="-7"/>
        </w:rPr>
        <w:t>）信息、媒体和技术技能，涉及了信息素养、媒体素养、信息与通讯</w:t>
      </w:r>
      <w:r>
        <w:rPr>
          <w:spacing w:val="-10"/>
        </w:rPr>
        <w:t>技术素养。在这些素养中较为核心的有批判性思考能力、问题解决能力、沟通能</w:t>
      </w:r>
    </w:p>
    <w:p>
      <w:pPr>
        <w:pStyle w:val="BodyText"/>
        <w:spacing w:before="3"/>
        <w:rPr>
          <w:sz w:val="16"/>
        </w:rPr>
      </w:pPr>
      <w:r>
        <w:rPr/>
        <w:pict>
          <v:shape style="position:absolute;margin-left:90pt;margin-top:12.360488pt;width:144pt;height:.1pt;mso-position-horizontal-relative:page;mso-position-vertical-relative:paragraph;z-index:-251628544;mso-wrap-distance-left:0;mso-wrap-distance-right:0" coordorigin="1800,247" coordsize="2880,0" path="m1800,247l4680,247e" filled="false" stroked="true" strokeweight="0pt" strokecolor="#000000">
            <v:path arrowok="t"/>
            <v:stroke dashstyle="solid"/>
            <w10:wrap type="topAndBottom"/>
          </v:shape>
        </w:pict>
      </w:r>
    </w:p>
    <w:p>
      <w:pPr>
        <w:spacing w:line="372" w:lineRule="auto" w:before="97"/>
        <w:ind w:left="1320" w:right="1645" w:firstLine="0"/>
        <w:jc w:val="both"/>
        <w:rPr>
          <w:rFonts w:ascii="Times New Roman"/>
          <w:sz w:val="18"/>
        </w:rPr>
      </w:pPr>
      <w:bookmarkStart w:name="_bookmark83" w:id="100"/>
      <w:bookmarkEnd w:id="100"/>
      <w:r>
        <w:rPr/>
      </w:r>
      <w:r>
        <w:rPr>
          <w:rFonts w:ascii="Times New Roman"/>
          <w:position w:val="7"/>
          <w:sz w:val="13"/>
        </w:rPr>
        <w:t>[1] </w:t>
      </w:r>
      <w:r>
        <w:rPr>
          <w:rFonts w:ascii="Times New Roman"/>
          <w:sz w:val="18"/>
        </w:rPr>
        <w:t>Recommendations of the European Parliament and of the Council of 18 December 2006 on  Key  Com petences for Lifelong Learning.[EB/OL]</w:t>
      </w:r>
      <w:hyperlink r:id="rId26">
        <w:r>
          <w:rPr>
            <w:rFonts w:ascii="Times New Roman"/>
            <w:sz w:val="18"/>
          </w:rPr>
          <w:t>.http://eur-lex.europa.eu/LexUriServ/LexUriServ.do?uri=OJ%3AL%3A</w:t>
        </w:r>
      </w:hyperlink>
      <w:r>
        <w:rPr>
          <w:rFonts w:ascii="Times New Roman"/>
          <w:sz w:val="18"/>
        </w:rPr>
        <w:t> 2006%3A394%3A0010%3A0018%3Aen%3APDF.2016-3-5.</w:t>
      </w:r>
    </w:p>
    <w:p>
      <w:pPr>
        <w:spacing w:line="386" w:lineRule="auto" w:before="0"/>
        <w:ind w:left="1320" w:right="1632" w:firstLine="0"/>
        <w:jc w:val="both"/>
        <w:rPr>
          <w:rFonts w:ascii="Times New Roman"/>
          <w:sz w:val="18"/>
        </w:rPr>
      </w:pPr>
      <w:bookmarkStart w:name="_bookmark84" w:id="101"/>
      <w:bookmarkEnd w:id="101"/>
      <w:r>
        <w:rPr/>
      </w:r>
      <w:r>
        <w:rPr>
          <w:rFonts w:ascii="Times New Roman"/>
          <w:position w:val="7"/>
          <w:sz w:val="13"/>
        </w:rPr>
        <w:t>[2] </w:t>
      </w:r>
      <w:r>
        <w:rPr>
          <w:rFonts w:ascii="Times New Roman"/>
          <w:sz w:val="18"/>
        </w:rPr>
        <w:t>Partnership for 21st Century learning .Framework for 21st Century Learning. [EB/OL].</w:t>
      </w:r>
      <w:hyperlink r:id="rId22">
        <w:r>
          <w:rPr>
            <w:rFonts w:ascii="Times New Roman"/>
            <w:sz w:val="18"/>
          </w:rPr>
          <w:t>http://www.p21.o</w:t>
        </w:r>
      </w:hyperlink>
      <w:r>
        <w:rPr>
          <w:rFonts w:ascii="Times New Roman"/>
          <w:sz w:val="18"/>
        </w:rPr>
        <w:t> </w:t>
      </w:r>
      <w:hyperlink r:id="rId22">
        <w:r>
          <w:rPr>
            <w:rFonts w:ascii="Times New Roman"/>
            <w:sz w:val="18"/>
          </w:rPr>
          <w:t>rg/storage/documents/P21_framework_0515.pdf</w:t>
        </w:r>
      </w:hyperlink>
      <w:r>
        <w:rPr>
          <w:rFonts w:ascii="Times New Roman"/>
          <w:sz w:val="18"/>
        </w:rPr>
        <w:t>.2016-2-1.</w:t>
      </w:r>
    </w:p>
    <w:p>
      <w:pPr>
        <w:spacing w:after="0" w:line="386" w:lineRule="auto"/>
        <w:jc w:val="both"/>
        <w:rPr>
          <w:rFonts w:ascii="Times New Roman"/>
          <w:sz w:val="18"/>
        </w:rPr>
        <w:sectPr>
          <w:pgSz w:w="11910" w:h="16840"/>
          <w:pgMar w:header="878" w:footer="1191" w:top="1300" w:bottom="1380" w:left="480" w:right="220"/>
        </w:sectPr>
      </w:pPr>
    </w:p>
    <w:p>
      <w:pPr>
        <w:pStyle w:val="BodyText"/>
        <w:spacing w:before="9"/>
        <w:rPr>
          <w:rFonts w:ascii="Times New Roman"/>
          <w:sz w:val="11"/>
        </w:rPr>
      </w:pPr>
    </w:p>
    <w:p>
      <w:pPr>
        <w:pStyle w:val="BodyText"/>
        <w:spacing w:before="74"/>
        <w:ind w:left="1320"/>
        <w:jc w:val="both"/>
      </w:pPr>
      <w:r>
        <w:rPr/>
        <w:t>力与合作能力。内圈则是由核心学科和 </w:t>
      </w:r>
      <w:r>
        <w:rPr>
          <w:rFonts w:ascii="Times New Roman" w:hAnsi="Times New Roman" w:eastAsia="Times New Roman"/>
        </w:rPr>
        <w:t>21 </w:t>
      </w:r>
      <w:r>
        <w:rPr/>
        <w:t>世纪跨学科主题课程组成。美国“21</w:t>
      </w:r>
    </w:p>
    <w:p>
      <w:pPr>
        <w:pStyle w:val="BodyText"/>
        <w:spacing w:before="161"/>
        <w:ind w:left="1320"/>
        <w:jc w:val="both"/>
      </w:pPr>
      <w:r>
        <w:rPr/>
        <w:t>世纪技能”的主要思想是：学校需要整合 3 个“</w:t>
      </w:r>
      <w:r>
        <w:rPr>
          <w:rFonts w:ascii="Times New Roman" w:hAnsi="Times New Roman" w:eastAsia="Times New Roman"/>
        </w:rPr>
        <w:t>R</w:t>
      </w:r>
      <w:r>
        <w:rPr/>
        <w:t>”（即核心课程）和 </w:t>
      </w:r>
      <w:r>
        <w:rPr>
          <w:rFonts w:ascii="Times New Roman" w:hAnsi="Times New Roman" w:eastAsia="Times New Roman"/>
        </w:rPr>
        <w:t>4 </w:t>
      </w:r>
      <w:r>
        <w:rPr/>
        <w:t>个“</w:t>
      </w:r>
      <w:r>
        <w:rPr>
          <w:rFonts w:ascii="Times New Roman" w:hAnsi="Times New Roman" w:eastAsia="Times New Roman"/>
        </w:rPr>
        <w:t>C</w:t>
      </w:r>
      <w:r>
        <w:rPr/>
        <w:t>”</w:t>
      </w:r>
    </w:p>
    <w:p>
      <w:pPr>
        <w:pStyle w:val="BodyText"/>
        <w:spacing w:line="364" w:lineRule="auto" w:before="160"/>
        <w:ind w:left="1319" w:right="1577"/>
        <w:jc w:val="both"/>
      </w:pPr>
      <w:r>
        <w:rPr/>
        <w:t>（</w:t>
      </w:r>
      <w:r>
        <w:rPr>
          <w:spacing w:val="-4"/>
        </w:rPr>
        <w:t>即批判性思维与问题解决、交流合作、创造与创新</w:t>
      </w:r>
      <w:r>
        <w:rPr>
          <w:spacing w:val="-24"/>
        </w:rPr>
        <w:t>），</w:t>
      </w:r>
      <w:r>
        <w:rPr>
          <w:spacing w:val="-2"/>
        </w:rPr>
        <w:t>使教室环境接近真实世</w:t>
      </w:r>
      <w:r>
        <w:rPr/>
        <w:t>界的环境。相比之下，“</w:t>
      </w:r>
      <w:r>
        <w:rPr>
          <w:rFonts w:ascii="Times New Roman" w:hAnsi="Times New Roman" w:eastAsia="Times New Roman"/>
        </w:rPr>
        <w:t>21 </w:t>
      </w:r>
      <w:r>
        <w:rPr/>
        <w:t>世纪技能”对“核心素养”的界定更为细致，不仅对每个技能的相关要素作出了解释和说明，而且为实施“</w:t>
      </w:r>
      <w:r>
        <w:rPr>
          <w:rFonts w:ascii="Times New Roman" w:hAnsi="Times New Roman" w:eastAsia="Times New Roman"/>
        </w:rPr>
        <w:t>21 </w:t>
      </w:r>
      <w:r>
        <w:rPr/>
        <w:t>世纪技能”提供了较为完备的支持系统。</w:t>
      </w:r>
    </w:p>
    <w:p>
      <w:pPr>
        <w:pStyle w:val="BodyText"/>
        <w:spacing w:line="364" w:lineRule="auto" w:before="3"/>
        <w:ind w:left="1320" w:right="1485" w:firstLine="480"/>
      </w:pPr>
      <w:r>
        <w:rPr>
          <w:spacing w:val="-5"/>
        </w:rPr>
        <w:t>另外，联合国教科文组织在 </w:t>
      </w:r>
      <w:r>
        <w:rPr>
          <w:rFonts w:ascii="Times New Roman" w:hAnsi="Times New Roman" w:eastAsia="Times New Roman"/>
        </w:rPr>
        <w:t>2003 </w:t>
      </w:r>
      <w:r>
        <w:rPr>
          <w:spacing w:val="-1"/>
        </w:rPr>
        <w:t>年强调了终身学习需具备的核心素养—— </w:t>
      </w:r>
      <w:r>
        <w:rPr>
          <w:spacing w:val="-11"/>
        </w:rPr>
        <w:t>“五大支柱”：学会求知；学会做事；学会共处；学会发展；学会改变。英国苏</w:t>
      </w:r>
      <w:r>
        <w:rPr>
          <w:spacing w:val="-12"/>
        </w:rPr>
        <w:t>格兰地区提出的核心素养包括沟通能力、运算能力、问题解决、信息技术应用、</w:t>
      </w:r>
      <w:r>
        <w:rPr>
          <w:spacing w:val="-8"/>
        </w:rPr>
        <w:t>与人合作；英国北爱尔兰地区将跨学科技能、思维能力以及管理信息、思考、问</w:t>
      </w:r>
      <w:r>
        <w:rPr>
          <w:spacing w:val="-14"/>
        </w:rPr>
        <w:t>题解决和创造性地作出决策、与他人合作和自我管理视为个体终身学习以及能力发展的重要素养。</w:t>
      </w:r>
    </w:p>
    <w:p>
      <w:pPr>
        <w:pStyle w:val="BodyText"/>
        <w:spacing w:line="364" w:lineRule="auto" w:before="3"/>
        <w:ind w:left="1320" w:right="1577" w:firstLine="480"/>
        <w:jc w:val="both"/>
        <w:rPr>
          <w:rFonts w:ascii="Times New Roman" w:eastAsia="Times New Roman"/>
          <w:sz w:val="15"/>
        </w:rPr>
      </w:pPr>
      <w:r>
        <w:rPr>
          <w:spacing w:val="-6"/>
        </w:rPr>
        <w:t>上述关于核心素养的研究虽表述纷多，但其中较为一致的素养大致包括：合</w:t>
      </w:r>
      <w:r>
        <w:rPr>
          <w:spacing w:val="-10"/>
        </w:rPr>
        <w:t>作精神、交往能力、信息技术素养、社会与公民素养。对此，一些学者也提出了</w:t>
      </w:r>
      <w:r>
        <w:rPr>
          <w:spacing w:val="-12"/>
        </w:rPr>
        <w:t>相似的见解。批判性思维、创造力、问题解决能力也是大多数相关文件提及的核</w:t>
      </w:r>
      <w:r>
        <w:rPr>
          <w:spacing w:val="-8"/>
        </w:rPr>
        <w:t>心素养组成部分，另有学会学习、自主性、计划能力、对核心课程的灵活性和适</w:t>
      </w:r>
      <w:r>
        <w:rPr/>
        <w:t>应性等在少数文件中被提及。</w:t>
      </w:r>
      <w:r>
        <w:rPr>
          <w:rFonts w:ascii="Times New Roman" w:eastAsia="Times New Roman"/>
          <w:position w:val="8"/>
          <w:sz w:val="15"/>
        </w:rPr>
        <w:t>[</w:t>
      </w:r>
      <w:hyperlink w:history="true" w:anchor="_bookmark85">
        <w:r>
          <w:rPr>
            <w:rFonts w:ascii="Times New Roman" w:eastAsia="Times New Roman"/>
            <w:position w:val="8"/>
            <w:sz w:val="15"/>
          </w:rPr>
          <w:t>1</w:t>
        </w:r>
      </w:hyperlink>
      <w:r>
        <w:rPr>
          <w:rFonts w:ascii="Times New Roman" w:eastAsia="Times New Roman"/>
          <w:position w:val="8"/>
          <w:sz w:val="15"/>
        </w:rPr>
        <w:t>]</w:t>
      </w:r>
    </w:p>
    <w:p>
      <w:pPr>
        <w:pStyle w:val="ListParagraph"/>
        <w:numPr>
          <w:ilvl w:val="4"/>
          <w:numId w:val="3"/>
        </w:numPr>
        <w:tabs>
          <w:tab w:pos="2280" w:val="left" w:leader="none"/>
        </w:tabs>
        <w:spacing w:line="240" w:lineRule="auto" w:before="3" w:after="0"/>
        <w:ind w:left="2280" w:right="0" w:hanging="960"/>
        <w:jc w:val="both"/>
        <w:rPr>
          <w:sz w:val="24"/>
        </w:rPr>
      </w:pPr>
      <w:r>
        <w:rPr>
          <w:sz w:val="24"/>
        </w:rPr>
        <w:t>关于核心素养视阈下的基础教育改革研究</w:t>
      </w:r>
    </w:p>
    <w:p>
      <w:pPr>
        <w:pStyle w:val="BodyText"/>
        <w:spacing w:line="364" w:lineRule="auto" w:before="161"/>
        <w:ind w:left="1319" w:right="1455" w:firstLine="480"/>
      </w:pPr>
      <w:r>
        <w:rPr>
          <w:spacing w:val="-10"/>
        </w:rPr>
        <w:t>第一，构建基于“核心素养”的课程体系。目前国家核心素养与课程体系相互关系呈现三种模式：</w:t>
      </w:r>
      <w:hyperlink w:history="true" w:anchor="_bookmark86">
        <w:r>
          <w:rPr>
            <w:rFonts w:ascii="Times New Roman" w:hAnsi="Times New Roman" w:eastAsia="Times New Roman"/>
            <w:spacing w:val="-10"/>
            <w:position w:val="8"/>
            <w:sz w:val="15"/>
          </w:rPr>
          <w:t>[2</w:t>
        </w:r>
      </w:hyperlink>
      <w:r>
        <w:rPr>
          <w:rFonts w:ascii="Times New Roman" w:hAnsi="Times New Roman" w:eastAsia="Times New Roman"/>
          <w:spacing w:val="-10"/>
          <w:position w:val="8"/>
          <w:sz w:val="15"/>
        </w:rPr>
        <w:t>]</w:t>
      </w:r>
      <w:r>
        <w:rPr>
          <w:spacing w:val="-10"/>
        </w:rPr>
        <w:t>（</w:t>
      </w:r>
      <w:r>
        <w:rPr>
          <w:rFonts w:ascii="Times New Roman" w:hAnsi="Times New Roman" w:eastAsia="Times New Roman"/>
          <w:spacing w:val="-10"/>
        </w:rPr>
        <w:t>1</w:t>
      </w:r>
      <w:r>
        <w:rPr>
          <w:spacing w:val="-10"/>
        </w:rPr>
        <w:t>）</w:t>
      </w:r>
      <w:r>
        <w:rPr>
          <w:spacing w:val="-8"/>
        </w:rPr>
        <w:t>美国模式，即核心素养独立于课程体系之外，由</w:t>
      </w:r>
      <w:r>
        <w:rPr>
          <w:spacing w:val="-11"/>
        </w:rPr>
        <w:t>专门机构开发学生核心素养体系，再逐渐融合到课程与教学中；</w:t>
      </w:r>
      <w:r>
        <w:rPr>
          <w:spacing w:val="-18"/>
        </w:rPr>
        <w:t>（</w:t>
      </w:r>
      <w:r>
        <w:rPr>
          <w:rFonts w:ascii="Times New Roman" w:hAnsi="Times New Roman" w:eastAsia="Times New Roman"/>
          <w:spacing w:val="-18"/>
        </w:rPr>
        <w:t>2</w:t>
      </w:r>
      <w:r>
        <w:rPr>
          <w:spacing w:val="-18"/>
        </w:rPr>
        <w:t>）</w:t>
      </w:r>
      <w:r>
        <w:rPr>
          <w:spacing w:val="-4"/>
        </w:rPr>
        <w:t>芬兰模式， </w:t>
      </w:r>
      <w:r>
        <w:rPr>
          <w:spacing w:val="-5"/>
        </w:rPr>
        <w:t>即在课程体系中设置学生核心素养，核心素养与整体的课程设计呈现一体化，全</w:t>
      </w:r>
      <w:r>
        <w:rPr>
          <w:spacing w:val="-10"/>
        </w:rPr>
        <w:t>面融入各学科或者学习领域，两者关系结合最为紧密，以芬兰、西班牙等欧洲国家为主；（</w:t>
      </w:r>
      <w:r>
        <w:rPr>
          <w:rFonts w:ascii="Times New Roman" w:hAnsi="Times New Roman" w:eastAsia="Times New Roman"/>
          <w:spacing w:val="-10"/>
        </w:rPr>
        <w:t>3</w:t>
      </w:r>
      <w:r>
        <w:rPr>
          <w:spacing w:val="-10"/>
        </w:rPr>
        <w:t>）日本模式，即通过课程标准内容设置体现学生核心素养的，未明</w:t>
      </w:r>
      <w:r>
        <w:rPr/>
        <w:t>确提出教育领域的学生核心素养体系，课程标准中也缺乏对核心素养描述的部分，但国家的课程体系体现了培养学生核心能力和素养的宗旨。</w:t>
      </w:r>
    </w:p>
    <w:p>
      <w:pPr>
        <w:pStyle w:val="BodyText"/>
        <w:spacing w:before="9"/>
        <w:rPr>
          <w:sz w:val="15"/>
        </w:rPr>
      </w:pPr>
      <w:r>
        <w:rPr/>
        <w:pict>
          <v:shape style="position:absolute;margin-left:90pt;margin-top:12.043897pt;width:144pt;height:.1pt;mso-position-horizontal-relative:page;mso-position-vertical-relative:paragraph;z-index:-251627520;mso-wrap-distance-left:0;mso-wrap-distance-right:0" coordorigin="1800,241" coordsize="2880,0" path="m1800,241l4680,241e" filled="false" stroked="true" strokeweight="0pt" strokecolor="#000000">
            <v:path arrowok="t"/>
            <v:stroke dashstyle="solid"/>
            <w10:wrap type="topAndBottom"/>
          </v:shape>
        </w:pict>
      </w:r>
    </w:p>
    <w:p>
      <w:pPr>
        <w:spacing w:line="372" w:lineRule="auto" w:before="98"/>
        <w:ind w:left="1320" w:right="1649" w:firstLine="0"/>
        <w:jc w:val="both"/>
        <w:rPr>
          <w:rFonts w:ascii="Times New Roman"/>
          <w:sz w:val="18"/>
        </w:rPr>
      </w:pPr>
      <w:bookmarkStart w:name="_bookmark85" w:id="102"/>
      <w:bookmarkEnd w:id="102"/>
      <w:r>
        <w:rPr/>
      </w:r>
      <w:r>
        <w:rPr>
          <w:rFonts w:ascii="Times New Roman"/>
          <w:position w:val="7"/>
          <w:sz w:val="13"/>
        </w:rPr>
        <w:t>[1] </w:t>
      </w:r>
      <w:r>
        <w:rPr>
          <w:rFonts w:ascii="Times New Roman"/>
          <w:sz w:val="18"/>
        </w:rPr>
        <w:t>JokeVoogt,NatalieParejaRoblin.A comparative analysis of international frameworks for 21st century com petences: Implications for national curriculum policies [EB/OL]</w:t>
      </w:r>
      <w:hyperlink r:id="rId27">
        <w:r>
          <w:rPr>
            <w:rFonts w:ascii="Times New Roman"/>
            <w:sz w:val="18"/>
          </w:rPr>
          <w:t>.http://www.tandfonline.com/doi/pdf/10.1080/</w:t>
        </w:r>
      </w:hyperlink>
      <w:r>
        <w:rPr>
          <w:rFonts w:ascii="Times New Roman"/>
          <w:sz w:val="18"/>
        </w:rPr>
        <w:t> 00220272.2012.668938.2016-5-7.</w:t>
      </w:r>
    </w:p>
    <w:p>
      <w:pPr>
        <w:spacing w:line="240" w:lineRule="exact" w:before="0"/>
        <w:ind w:left="1320" w:right="0" w:firstLine="0"/>
        <w:jc w:val="both"/>
        <w:rPr>
          <w:rFonts w:ascii="Times New Roman" w:eastAsia="Times New Roman"/>
          <w:sz w:val="18"/>
        </w:rPr>
      </w:pPr>
      <w:bookmarkStart w:name="_bookmark86" w:id="103"/>
      <w:bookmarkEnd w:id="103"/>
      <w:r>
        <w:rPr/>
      </w:r>
      <w:r>
        <w:rPr>
          <w:rFonts w:ascii="Times New Roman" w:eastAsia="Times New Roman"/>
          <w:position w:val="7"/>
          <w:sz w:val="13"/>
        </w:rPr>
        <w:t>[2] </w:t>
      </w:r>
      <w:r>
        <w:rPr>
          <w:sz w:val="18"/>
        </w:rPr>
        <w:t>辛涛等</w:t>
      </w:r>
      <w:r>
        <w:rPr>
          <w:rFonts w:ascii="Times New Roman" w:eastAsia="Times New Roman"/>
          <w:sz w:val="18"/>
        </w:rPr>
        <w:t>.</w:t>
      </w:r>
      <w:r>
        <w:rPr>
          <w:sz w:val="18"/>
        </w:rPr>
        <w:t>基于学生核心素养的课程体系建构</w:t>
      </w:r>
      <w:r>
        <w:rPr>
          <w:rFonts w:ascii="Times New Roman" w:eastAsia="Times New Roman"/>
          <w:sz w:val="18"/>
        </w:rPr>
        <w:t>[J].</w:t>
      </w:r>
      <w:r>
        <w:rPr>
          <w:sz w:val="18"/>
        </w:rPr>
        <w:t>北京师范大学学报</w:t>
      </w:r>
      <w:r>
        <w:rPr>
          <w:rFonts w:ascii="Times New Roman" w:eastAsia="Times New Roman"/>
          <w:sz w:val="18"/>
        </w:rPr>
        <w:t>(</w:t>
      </w:r>
      <w:r>
        <w:rPr>
          <w:sz w:val="18"/>
        </w:rPr>
        <w:t>社会科学版</w:t>
      </w:r>
      <w:r>
        <w:rPr>
          <w:rFonts w:ascii="Times New Roman" w:eastAsia="Times New Roman"/>
          <w:sz w:val="18"/>
        </w:rPr>
        <w:t>),2014(1):5-11.</w:t>
      </w:r>
    </w:p>
    <w:p>
      <w:pPr>
        <w:spacing w:after="0" w:line="240" w:lineRule="exact"/>
        <w:jc w:val="both"/>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575" w:firstLine="480"/>
        <w:jc w:val="both"/>
        <w:rPr>
          <w:rFonts w:ascii="Times New Roman" w:hAnsi="Times New Roman" w:eastAsia="Times New Roman"/>
          <w:sz w:val="15"/>
        </w:rPr>
      </w:pPr>
      <w:r>
        <w:rPr>
          <w:spacing w:val="-11"/>
        </w:rPr>
        <w:t>第二，基于“核心素养”变革学生的学习方式。核心素养的发展，需要与之适应的学习方式，通过在特定情境中的学习或者任务学习利于学生核心素养的获得。</w:t>
      </w:r>
      <w:r>
        <w:rPr>
          <w:rFonts w:ascii="Times New Roman" w:hAnsi="Times New Roman" w:eastAsia="Times New Roman"/>
          <w:position w:val="8"/>
          <w:sz w:val="15"/>
        </w:rPr>
        <w:t>[</w:t>
      </w:r>
      <w:hyperlink w:history="true" w:anchor="_bookmark87">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30"/>
        </w:rPr>
        <w:t>在 </w:t>
      </w:r>
      <w:r>
        <w:rPr>
          <w:rFonts w:ascii="Times New Roman" w:hAnsi="Times New Roman" w:eastAsia="Times New Roman"/>
        </w:rPr>
        <w:t>OECD </w:t>
      </w:r>
      <w:r>
        <w:rPr>
          <w:spacing w:val="-9"/>
        </w:rPr>
        <w:t>国家基于“核心素养”的课程改革中，越来越多的国家意识到教</w:t>
      </w:r>
      <w:r>
        <w:rPr>
          <w:spacing w:val="-7"/>
        </w:rPr>
        <w:t>学中师生角色的改变，他们强调突破课堂边界的“设计学习”，试图找寻用于满</w:t>
      </w:r>
      <w:r>
        <w:rPr>
          <w:spacing w:val="-1"/>
        </w:rPr>
        <w:t>足不同学生的能力和兴趣的学习方式，如信息技术</w:t>
      </w:r>
      <w:r>
        <w:rPr/>
        <w:t>（</w:t>
      </w:r>
      <w:r>
        <w:rPr>
          <w:rFonts w:ascii="Times New Roman" w:hAnsi="Times New Roman" w:eastAsia="Times New Roman"/>
        </w:rPr>
        <w:t>ICT</w:t>
      </w:r>
      <w:r>
        <w:rPr/>
        <w:t>）</w:t>
      </w:r>
      <w:r>
        <w:rPr>
          <w:spacing w:val="-2"/>
        </w:rPr>
        <w:t>的运用等。可见，通</w:t>
      </w:r>
      <w:r>
        <w:rPr/>
        <w:t>过改变教学方式促进教育质量的提升已经成为一种普遍的趋势。</w:t>
      </w:r>
      <w:r>
        <w:rPr>
          <w:rFonts w:ascii="Times New Roman" w:hAnsi="Times New Roman" w:eastAsia="Times New Roman"/>
          <w:position w:val="8"/>
          <w:sz w:val="15"/>
        </w:rPr>
        <w:t>[</w:t>
      </w:r>
      <w:hyperlink w:history="true" w:anchor="_bookmark88">
        <w:r>
          <w:rPr>
            <w:rFonts w:ascii="Times New Roman" w:hAnsi="Times New Roman" w:eastAsia="Times New Roman"/>
            <w:position w:val="8"/>
            <w:sz w:val="15"/>
          </w:rPr>
          <w:t>2</w:t>
        </w:r>
      </w:hyperlink>
      <w:r>
        <w:rPr>
          <w:rFonts w:ascii="Times New Roman" w:hAnsi="Times New Roman" w:eastAsia="Times New Roman"/>
          <w:position w:val="8"/>
          <w:sz w:val="15"/>
        </w:rPr>
        <w:t>]</w:t>
      </w:r>
    </w:p>
    <w:p>
      <w:pPr>
        <w:pStyle w:val="BodyText"/>
        <w:spacing w:line="364" w:lineRule="auto" w:before="4"/>
        <w:ind w:left="1319" w:right="1457" w:firstLine="480"/>
      </w:pPr>
      <w:r>
        <w:rPr>
          <w:spacing w:val="-10"/>
        </w:rPr>
        <w:t>第三，基于“核心素养”建立学业质量评价标准。澳大利亚、芬兰、西班牙</w:t>
      </w:r>
      <w:r>
        <w:rPr>
          <w:spacing w:val="-14"/>
        </w:rPr>
        <w:t>等国家均立足学生的“核心素养”，不仅对学生在各学科的各学段应达到的成就</w:t>
      </w:r>
      <w:r>
        <w:rPr>
          <w:spacing w:val="-22"/>
        </w:rPr>
        <w:t>标准给出了具体的说明，而且建立了操作性较强、较为完善的学业质量评价标准， </w:t>
      </w:r>
      <w:r>
        <w:rPr/>
        <w:t>为基于“核心素养”的课程实施、教学提供了明确的指导。</w:t>
      </w:r>
    </w:p>
    <w:p>
      <w:pPr>
        <w:pStyle w:val="BodyText"/>
        <w:spacing w:line="364" w:lineRule="auto" w:before="2"/>
        <w:ind w:left="1319" w:right="1577" w:firstLine="480"/>
        <w:jc w:val="both"/>
      </w:pPr>
      <w:r>
        <w:rPr>
          <w:spacing w:val="-9"/>
        </w:rPr>
        <w:t>综上所述，各国纷纷展开对基础教育领域中“核心素养”的研究，对其内涵</w:t>
      </w:r>
      <w:r>
        <w:rPr>
          <w:spacing w:val="-8"/>
        </w:rPr>
        <w:t>的认识和理解不断深入，多数国家将“核心素养”作为教育目标进行课程的顶层</w:t>
      </w:r>
      <w:r>
        <w:rPr>
          <w:spacing w:val="-10"/>
        </w:rPr>
        <w:t>设计，这是进行课程改革的第一步。与课程体系相应的评价体系、学习方式和教</w:t>
      </w:r>
      <w:r>
        <w:rPr/>
        <w:t>学方式等支持系统的研制与开发也相继展开，但仍有待进一步深化研究。</w:t>
      </w:r>
    </w:p>
    <w:p>
      <w:pPr>
        <w:pStyle w:val="BodyText"/>
      </w:pPr>
    </w:p>
    <w:p>
      <w:pPr>
        <w:pStyle w:val="ListParagraph"/>
        <w:numPr>
          <w:ilvl w:val="3"/>
          <w:numId w:val="3"/>
        </w:numPr>
        <w:tabs>
          <w:tab w:pos="2100" w:val="left" w:leader="none"/>
        </w:tabs>
        <w:spacing w:line="240" w:lineRule="auto" w:before="163" w:after="0"/>
        <w:ind w:left="2100" w:right="0" w:hanging="781"/>
        <w:jc w:val="left"/>
        <w:rPr>
          <w:sz w:val="24"/>
        </w:rPr>
      </w:pPr>
      <w:r>
        <w:rPr>
          <w:sz w:val="24"/>
        </w:rPr>
        <w:t>国内关于核心素养的研究</w:t>
      </w:r>
    </w:p>
    <w:p>
      <w:pPr>
        <w:pStyle w:val="ListParagraph"/>
        <w:numPr>
          <w:ilvl w:val="4"/>
          <w:numId w:val="3"/>
        </w:numPr>
        <w:tabs>
          <w:tab w:pos="2220" w:val="left" w:leader="none"/>
        </w:tabs>
        <w:spacing w:line="240" w:lineRule="auto" w:before="160" w:after="0"/>
        <w:ind w:left="2220" w:right="0" w:hanging="901"/>
        <w:jc w:val="left"/>
        <w:rPr>
          <w:sz w:val="24"/>
        </w:rPr>
      </w:pPr>
      <w:r>
        <w:rPr>
          <w:sz w:val="24"/>
        </w:rPr>
        <w:t>核心素养的理论研究</w:t>
      </w:r>
    </w:p>
    <w:p>
      <w:pPr>
        <w:pStyle w:val="ListParagraph"/>
        <w:numPr>
          <w:ilvl w:val="5"/>
          <w:numId w:val="3"/>
        </w:numPr>
        <w:tabs>
          <w:tab w:pos="2460" w:val="left" w:leader="none"/>
        </w:tabs>
        <w:spacing w:line="240" w:lineRule="auto" w:before="161" w:after="0"/>
        <w:ind w:left="2460" w:right="0" w:hanging="1141"/>
        <w:jc w:val="left"/>
        <w:rPr>
          <w:sz w:val="24"/>
        </w:rPr>
      </w:pPr>
      <w:r>
        <w:rPr>
          <w:sz w:val="24"/>
        </w:rPr>
        <w:t>关于核心素养的内涵研究</w:t>
      </w:r>
    </w:p>
    <w:p>
      <w:pPr>
        <w:pStyle w:val="BodyText"/>
        <w:spacing w:line="364" w:lineRule="auto" w:before="160"/>
        <w:ind w:left="1319" w:right="1457" w:firstLine="480"/>
        <w:jc w:val="both"/>
      </w:pPr>
      <w:r>
        <w:rPr>
          <w:spacing w:val="-14"/>
        </w:rPr>
        <w:t>第一，从国际研究中概括分析核心素养的关键特征。例如，从 </w:t>
      </w:r>
      <w:r>
        <w:rPr>
          <w:rFonts w:ascii="Times New Roman" w:eastAsia="Times New Roman"/>
        </w:rPr>
        <w:t>OECD</w:t>
      </w:r>
      <w:r>
        <w:rPr>
          <w:spacing w:val="-17"/>
        </w:rPr>
        <w:t>、欧盟、</w:t>
      </w:r>
      <w:r>
        <w:rPr/>
        <w:t>美国等重要国际组织和发达国家对核心素养的研究中，提炼出核心素养的特征， 包括跨学科性、综合性、情境性、时代性和前瞻性等，如辛涛</w:t>
      </w:r>
      <w:r>
        <w:rPr>
          <w:rFonts w:ascii="Times New Roman" w:eastAsia="Times New Roman"/>
          <w:position w:val="8"/>
          <w:sz w:val="15"/>
        </w:rPr>
        <w:t>[</w:t>
      </w:r>
      <w:hyperlink w:history="true" w:anchor="_bookmark89">
        <w:r>
          <w:rPr>
            <w:rFonts w:ascii="Times New Roman" w:eastAsia="Times New Roman"/>
            <w:position w:val="8"/>
            <w:sz w:val="15"/>
          </w:rPr>
          <w:t>3</w:t>
        </w:r>
      </w:hyperlink>
      <w:r>
        <w:rPr>
          <w:rFonts w:ascii="Times New Roman" w:eastAsia="Times New Roman"/>
          <w:position w:val="8"/>
          <w:sz w:val="15"/>
        </w:rPr>
        <w:t>]</w:t>
      </w:r>
      <w:r>
        <w:rPr/>
        <w:t>、褚宏启</w:t>
      </w:r>
      <w:r>
        <w:rPr>
          <w:rFonts w:ascii="Times New Roman" w:eastAsia="Times New Roman"/>
          <w:position w:val="8"/>
          <w:sz w:val="15"/>
        </w:rPr>
        <w:t>[</w:t>
      </w:r>
      <w:hyperlink w:history="true" w:anchor="_bookmark90">
        <w:r>
          <w:rPr>
            <w:rFonts w:ascii="Times New Roman" w:eastAsia="Times New Roman"/>
            <w:position w:val="8"/>
            <w:sz w:val="15"/>
          </w:rPr>
          <w:t>4</w:t>
        </w:r>
      </w:hyperlink>
      <w:r>
        <w:rPr>
          <w:rFonts w:ascii="Times New Roman" w:eastAsia="Times New Roman"/>
          <w:position w:val="8"/>
          <w:sz w:val="15"/>
        </w:rPr>
        <w:t>]</w:t>
      </w:r>
      <w:r>
        <w:rPr/>
        <w:t>等。</w:t>
      </w:r>
    </w:p>
    <w:p>
      <w:pPr>
        <w:pStyle w:val="BodyText"/>
        <w:spacing w:line="364" w:lineRule="auto" w:before="2"/>
        <w:ind w:left="1319" w:right="1572" w:firstLine="480"/>
        <w:jc w:val="both"/>
      </w:pPr>
      <w:r>
        <w:rPr>
          <w:spacing w:val="-10"/>
        </w:rPr>
        <w:t>第二，从词源学意义上界定和分析核心素养的内涵。有学者从核心素养的英</w:t>
      </w:r>
      <w:r>
        <w:rPr>
          <w:spacing w:val="-11"/>
        </w:rPr>
        <w:t>文“</w:t>
      </w:r>
      <w:r>
        <w:rPr>
          <w:rFonts w:ascii="Times New Roman" w:hAnsi="Times New Roman" w:eastAsia="Times New Roman"/>
        </w:rPr>
        <w:t>key competence  </w:t>
      </w:r>
      <w:r>
        <w:rPr>
          <w:spacing w:val="-9"/>
        </w:rPr>
        <w:t>”出发，回到其原初涵义去探讨核心素养的本真，也有学者</w:t>
      </w:r>
    </w:p>
    <w:p>
      <w:pPr>
        <w:pStyle w:val="BodyText"/>
        <w:rPr>
          <w:sz w:val="20"/>
        </w:rPr>
      </w:pPr>
    </w:p>
    <w:p>
      <w:pPr>
        <w:pStyle w:val="BodyText"/>
        <w:spacing w:before="11"/>
        <w:rPr>
          <w:sz w:val="19"/>
        </w:rPr>
      </w:pPr>
      <w:r>
        <w:rPr/>
        <w:pict>
          <v:shape style="position:absolute;margin-left:90pt;margin-top:14.711446pt;width:144pt;height:.1pt;mso-position-horizontal-relative:page;mso-position-vertical-relative:paragraph;z-index:-251626496;mso-wrap-distance-left:0;mso-wrap-distance-right:0" coordorigin="1800,294" coordsize="2880,0" path="m1800,294l4680,294e" filled="false" stroked="true" strokeweight="0pt" strokecolor="#000000">
            <v:path arrowok="t"/>
            <v:stroke dashstyle="solid"/>
            <w10:wrap type="topAndBottom"/>
          </v:shape>
        </w:pict>
      </w:r>
    </w:p>
    <w:p>
      <w:pPr>
        <w:spacing w:line="364" w:lineRule="auto" w:before="99"/>
        <w:ind w:left="1320" w:right="1485" w:firstLine="0"/>
        <w:jc w:val="left"/>
        <w:rPr>
          <w:rFonts w:ascii="Times New Roman" w:eastAsia="Times New Roman"/>
          <w:sz w:val="18"/>
        </w:rPr>
      </w:pPr>
      <w:bookmarkStart w:name="_bookmark87" w:id="104"/>
      <w:bookmarkEnd w:id="104"/>
      <w:r>
        <w:rPr/>
      </w:r>
      <w:r>
        <w:rPr>
          <w:rFonts w:ascii="Times New Roman" w:eastAsia="Times New Roman"/>
          <w:position w:val="7"/>
          <w:sz w:val="13"/>
        </w:rPr>
        <w:t>[1] </w:t>
      </w:r>
      <w:r>
        <w:rPr>
          <w:rFonts w:ascii="Times New Roman" w:eastAsia="Times New Roman"/>
          <w:sz w:val="18"/>
        </w:rPr>
        <w:t>Alejandro Tiana, Jose Moya &amp; Florencio Luengo. Implementing Key Competences in Basic Education</w:t>
      </w:r>
      <w:r>
        <w:rPr>
          <w:sz w:val="18"/>
        </w:rPr>
        <w:t>： </w:t>
      </w:r>
      <w:r>
        <w:rPr>
          <w:rFonts w:ascii="Times New Roman" w:eastAsia="Times New Roman"/>
          <w:sz w:val="18"/>
        </w:rPr>
        <w:t>Reflections</w:t>
      </w:r>
      <w:r>
        <w:rPr>
          <w:rFonts w:ascii="Times New Roman" w:eastAsia="Times New Roman"/>
          <w:spacing w:val="-7"/>
          <w:sz w:val="18"/>
        </w:rPr>
        <w:t> </w:t>
      </w:r>
      <w:r>
        <w:rPr>
          <w:rFonts w:ascii="Times New Roman" w:eastAsia="Times New Roman"/>
          <w:sz w:val="18"/>
        </w:rPr>
        <w:t>on</w:t>
      </w:r>
      <w:r>
        <w:rPr>
          <w:rFonts w:ascii="Times New Roman" w:eastAsia="Times New Roman"/>
          <w:spacing w:val="-4"/>
          <w:sz w:val="18"/>
        </w:rPr>
        <w:t> </w:t>
      </w:r>
      <w:r>
        <w:rPr>
          <w:rFonts w:ascii="Times New Roman" w:eastAsia="Times New Roman"/>
          <w:sz w:val="18"/>
        </w:rPr>
        <w:t>Curriculum</w:t>
      </w:r>
      <w:r>
        <w:rPr>
          <w:rFonts w:ascii="Times New Roman" w:eastAsia="Times New Roman"/>
          <w:spacing w:val="-7"/>
          <w:sz w:val="18"/>
        </w:rPr>
        <w:t> </w:t>
      </w:r>
      <w:r>
        <w:rPr>
          <w:rFonts w:ascii="Times New Roman" w:eastAsia="Times New Roman"/>
          <w:sz w:val="18"/>
        </w:rPr>
        <w:t>Design and</w:t>
      </w:r>
      <w:r>
        <w:rPr>
          <w:rFonts w:ascii="Times New Roman" w:eastAsia="Times New Roman"/>
          <w:spacing w:val="-4"/>
          <w:sz w:val="18"/>
        </w:rPr>
        <w:t> </w:t>
      </w:r>
      <w:r>
        <w:rPr>
          <w:rFonts w:ascii="Times New Roman" w:eastAsia="Times New Roman"/>
          <w:sz w:val="18"/>
        </w:rPr>
        <w:t>Development</w:t>
      </w:r>
      <w:r>
        <w:rPr>
          <w:rFonts w:ascii="Times New Roman" w:eastAsia="Times New Roman"/>
          <w:spacing w:val="-3"/>
          <w:sz w:val="18"/>
        </w:rPr>
        <w:t> </w:t>
      </w:r>
      <w:r>
        <w:rPr>
          <w:rFonts w:ascii="Times New Roman" w:eastAsia="Times New Roman"/>
          <w:sz w:val="18"/>
        </w:rPr>
        <w:t>in</w:t>
      </w:r>
      <w:r>
        <w:rPr>
          <w:rFonts w:ascii="Times New Roman" w:eastAsia="Times New Roman"/>
          <w:spacing w:val="-4"/>
          <w:sz w:val="18"/>
        </w:rPr>
        <w:t> </w:t>
      </w:r>
      <w:r>
        <w:rPr>
          <w:rFonts w:ascii="Times New Roman" w:eastAsia="Times New Roman"/>
          <w:sz w:val="18"/>
        </w:rPr>
        <w:t>Spain[J].</w:t>
      </w:r>
      <w:r>
        <w:rPr>
          <w:rFonts w:ascii="Times New Roman" w:eastAsia="Times New Roman"/>
          <w:spacing w:val="-6"/>
          <w:sz w:val="18"/>
        </w:rPr>
        <w:t> </w:t>
      </w:r>
      <w:r>
        <w:rPr>
          <w:rFonts w:ascii="Times New Roman" w:eastAsia="Times New Roman"/>
          <w:sz w:val="18"/>
        </w:rPr>
        <w:t>European</w:t>
      </w:r>
      <w:r>
        <w:rPr>
          <w:rFonts w:ascii="Times New Roman" w:eastAsia="Times New Roman"/>
          <w:spacing w:val="-4"/>
          <w:sz w:val="18"/>
        </w:rPr>
        <w:t> </w:t>
      </w:r>
      <w:r>
        <w:rPr>
          <w:rFonts w:ascii="Times New Roman" w:eastAsia="Times New Roman"/>
          <w:sz w:val="18"/>
        </w:rPr>
        <w:t>Journal</w:t>
      </w:r>
      <w:r>
        <w:rPr>
          <w:rFonts w:ascii="Times New Roman" w:eastAsia="Times New Roman"/>
          <w:spacing w:val="-3"/>
          <w:sz w:val="18"/>
        </w:rPr>
        <w:t> </w:t>
      </w:r>
      <w:r>
        <w:rPr>
          <w:rFonts w:ascii="Times New Roman" w:eastAsia="Times New Roman"/>
          <w:sz w:val="18"/>
        </w:rPr>
        <w:t>of</w:t>
      </w:r>
      <w:r>
        <w:rPr>
          <w:rFonts w:ascii="Times New Roman" w:eastAsia="Times New Roman"/>
          <w:spacing w:val="-5"/>
          <w:sz w:val="18"/>
        </w:rPr>
        <w:t> </w:t>
      </w:r>
      <w:r>
        <w:rPr>
          <w:rFonts w:ascii="Times New Roman" w:eastAsia="Times New Roman"/>
          <w:sz w:val="18"/>
        </w:rPr>
        <w:t>Education,2011(11):07-322.</w:t>
      </w:r>
    </w:p>
    <w:p>
      <w:pPr>
        <w:pStyle w:val="ListParagraph"/>
        <w:numPr>
          <w:ilvl w:val="0"/>
          <w:numId w:val="8"/>
        </w:numPr>
        <w:tabs>
          <w:tab w:pos="1534" w:val="left" w:leader="none"/>
        </w:tabs>
        <w:spacing w:line="240" w:lineRule="auto" w:before="97" w:after="0"/>
        <w:ind w:left="1533" w:right="0" w:hanging="214"/>
        <w:jc w:val="left"/>
        <w:rPr>
          <w:rFonts w:ascii="Times New Roman"/>
          <w:sz w:val="18"/>
        </w:rPr>
      </w:pPr>
      <w:bookmarkStart w:name="_bookmark88" w:id="105"/>
      <w:bookmarkEnd w:id="105"/>
      <w:r>
        <w:rPr/>
      </w:r>
      <w:bookmarkStart w:name="_bookmark88" w:id="106"/>
      <w:bookmarkEnd w:id="106"/>
      <w:r>
        <w:rPr>
          <w:rFonts w:ascii="Times New Roman"/>
          <w:sz w:val="18"/>
        </w:rPr>
        <w:t>O</w:t>
      </w:r>
      <w:r>
        <w:rPr>
          <w:rFonts w:ascii="Times New Roman"/>
          <w:sz w:val="18"/>
        </w:rPr>
        <w:t>le Briseid, Francoise Caillods. Trends in Secondary Education in Industrialized Countries:</w:t>
      </w:r>
      <w:r>
        <w:rPr>
          <w:rFonts w:ascii="Times New Roman"/>
          <w:spacing w:val="-34"/>
          <w:sz w:val="18"/>
        </w:rPr>
        <w:t> </w:t>
      </w:r>
      <w:r>
        <w:rPr>
          <w:rFonts w:ascii="Times New Roman"/>
          <w:sz w:val="18"/>
        </w:rPr>
        <w:t>Are They Relevant</w:t>
      </w:r>
    </w:p>
    <w:p>
      <w:pPr>
        <w:pStyle w:val="BodyText"/>
        <w:spacing w:before="9"/>
        <w:rPr>
          <w:rFonts w:ascii="Times New Roman"/>
          <w:sz w:val="20"/>
        </w:rPr>
      </w:pPr>
    </w:p>
    <w:p>
      <w:pPr>
        <w:spacing w:before="0"/>
        <w:ind w:left="1320" w:right="0" w:firstLine="0"/>
        <w:jc w:val="left"/>
        <w:rPr>
          <w:rFonts w:ascii="Times New Roman"/>
          <w:sz w:val="18"/>
        </w:rPr>
      </w:pPr>
      <w:r>
        <w:rPr>
          <w:rFonts w:ascii="Times New Roman"/>
          <w:sz w:val="18"/>
        </w:rPr>
        <w:t>for African Countries?[EB/OL].</w:t>
      </w:r>
      <w:hyperlink r:id="rId28">
        <w:r>
          <w:rPr>
            <w:rFonts w:ascii="Times New Roman"/>
            <w:sz w:val="18"/>
          </w:rPr>
          <w:t>http://unesdoc.unesco.org/images/0013/001390/139018e.pdf. </w:t>
        </w:r>
      </w:hyperlink>
      <w:r>
        <w:rPr>
          <w:rFonts w:ascii="Times New Roman"/>
          <w:sz w:val="18"/>
        </w:rPr>
        <w:t>104 .2016-3-3.</w:t>
      </w:r>
    </w:p>
    <w:p>
      <w:pPr>
        <w:pStyle w:val="ListParagraph"/>
        <w:numPr>
          <w:ilvl w:val="0"/>
          <w:numId w:val="8"/>
        </w:numPr>
        <w:tabs>
          <w:tab w:pos="1558" w:val="left" w:leader="none"/>
        </w:tabs>
        <w:spacing w:line="240" w:lineRule="auto" w:before="135" w:after="0"/>
        <w:ind w:left="1557" w:right="0" w:hanging="238"/>
        <w:jc w:val="left"/>
        <w:rPr>
          <w:rFonts w:ascii="Times New Roman" w:eastAsia="Times New Roman"/>
          <w:sz w:val="18"/>
        </w:rPr>
      </w:pPr>
      <w:bookmarkStart w:name="_bookmark89" w:id="107"/>
      <w:bookmarkEnd w:id="107"/>
      <w:r>
        <w:rPr/>
      </w:r>
      <w:bookmarkStart w:name="_bookmark89" w:id="108"/>
      <w:bookmarkEnd w:id="108"/>
      <w:r>
        <w:rPr>
          <w:sz w:val="18"/>
        </w:rPr>
        <w:t>辛涛</w:t>
      </w:r>
      <w:r>
        <w:rPr>
          <w:rFonts w:ascii="Times New Roman" w:eastAsia="Times New Roman"/>
          <w:sz w:val="18"/>
        </w:rPr>
        <w:t>,</w:t>
      </w:r>
      <w:r>
        <w:rPr>
          <w:sz w:val="18"/>
        </w:rPr>
        <w:t>等</w:t>
      </w:r>
      <w:r>
        <w:rPr>
          <w:rFonts w:ascii="Times New Roman" w:eastAsia="Times New Roman"/>
          <w:sz w:val="18"/>
        </w:rPr>
        <w:t>.</w:t>
      </w:r>
      <w:r>
        <w:rPr>
          <w:sz w:val="18"/>
        </w:rPr>
        <w:t>我国义务教育阶段学生核心素养模型的构建</w:t>
      </w:r>
      <w:r>
        <w:rPr>
          <w:rFonts w:ascii="Times New Roman" w:eastAsia="Times New Roman"/>
          <w:sz w:val="18"/>
        </w:rPr>
        <w:t>[J].</w:t>
      </w:r>
      <w:r>
        <w:rPr>
          <w:sz w:val="18"/>
        </w:rPr>
        <w:t>北京师范大学学报</w:t>
      </w:r>
      <w:r>
        <w:rPr>
          <w:rFonts w:ascii="Times New Roman" w:eastAsia="Times New Roman"/>
          <w:sz w:val="18"/>
        </w:rPr>
        <w:t>(</w:t>
      </w:r>
      <w:r>
        <w:rPr>
          <w:sz w:val="18"/>
        </w:rPr>
        <w:t>社会科学版</w:t>
      </w:r>
      <w:r>
        <w:rPr>
          <w:rFonts w:ascii="Times New Roman" w:eastAsia="Times New Roman"/>
          <w:spacing w:val="-16"/>
          <w:sz w:val="18"/>
        </w:rPr>
        <w:t>)</w:t>
      </w:r>
      <w:r>
        <w:rPr>
          <w:spacing w:val="-16"/>
          <w:sz w:val="18"/>
        </w:rPr>
        <w:t>，</w:t>
      </w:r>
      <w:r>
        <w:rPr>
          <w:rFonts w:ascii="Times New Roman" w:eastAsia="Times New Roman"/>
          <w:spacing w:val="-16"/>
          <w:sz w:val="18"/>
        </w:rPr>
        <w:t>2013</w:t>
      </w:r>
      <w:r>
        <w:rPr>
          <w:spacing w:val="-16"/>
          <w:sz w:val="18"/>
        </w:rPr>
        <w:t>（</w:t>
      </w:r>
      <w:r>
        <w:rPr>
          <w:rFonts w:ascii="Times New Roman" w:eastAsia="Times New Roman"/>
          <w:spacing w:val="-16"/>
          <w:sz w:val="18"/>
        </w:rPr>
        <w:t>1</w:t>
      </w:r>
      <w:r>
        <w:rPr>
          <w:spacing w:val="-16"/>
          <w:sz w:val="18"/>
        </w:rPr>
        <w:t>）：</w:t>
      </w:r>
      <w:r>
        <w:rPr>
          <w:rFonts w:ascii="Times New Roman" w:eastAsia="Times New Roman"/>
          <w:spacing w:val="-16"/>
          <w:sz w:val="18"/>
        </w:rPr>
        <w:t>5-11.</w:t>
      </w:r>
    </w:p>
    <w:p>
      <w:pPr>
        <w:pStyle w:val="ListParagraph"/>
        <w:numPr>
          <w:ilvl w:val="0"/>
          <w:numId w:val="8"/>
        </w:numPr>
        <w:tabs>
          <w:tab w:pos="1558" w:val="left" w:leader="none"/>
        </w:tabs>
        <w:spacing w:line="240" w:lineRule="auto" w:before="144" w:after="0"/>
        <w:ind w:left="1557" w:right="0" w:hanging="238"/>
        <w:jc w:val="left"/>
        <w:rPr>
          <w:rFonts w:ascii="Times New Roman" w:eastAsia="Times New Roman"/>
          <w:sz w:val="18"/>
        </w:rPr>
      </w:pPr>
      <w:bookmarkStart w:name="_bookmark90" w:id="109"/>
      <w:bookmarkEnd w:id="109"/>
      <w:r>
        <w:rPr/>
      </w:r>
      <w:bookmarkStart w:name="_bookmark90" w:id="110"/>
      <w:bookmarkEnd w:id="110"/>
      <w:r>
        <w:rPr>
          <w:sz w:val="18"/>
        </w:rPr>
        <w:t>褚宏启等</w:t>
      </w:r>
      <w:r>
        <w:rPr>
          <w:rFonts w:ascii="Times New Roman" w:eastAsia="Times New Roman"/>
          <w:sz w:val="18"/>
        </w:rPr>
        <w:t>.</w:t>
      </w:r>
      <w:r>
        <w:rPr>
          <w:sz w:val="18"/>
        </w:rPr>
        <w:t>我国学生的核心素养及其培养</w:t>
      </w:r>
      <w:r>
        <w:rPr>
          <w:rFonts w:ascii="Times New Roman" w:eastAsia="Times New Roman"/>
          <w:sz w:val="18"/>
        </w:rPr>
        <w:t>[J].</w:t>
      </w:r>
      <w:r>
        <w:rPr>
          <w:sz w:val="18"/>
        </w:rPr>
        <w:t>中小学管理，</w:t>
      </w:r>
      <w:r>
        <w:rPr>
          <w:rFonts w:ascii="Times New Roman" w:eastAsia="Times New Roman"/>
          <w:sz w:val="18"/>
        </w:rPr>
        <w:t>2015</w:t>
      </w:r>
      <w:r>
        <w:rPr>
          <w:sz w:val="18"/>
        </w:rPr>
        <w:t>（</w:t>
      </w:r>
      <w:r>
        <w:rPr>
          <w:rFonts w:ascii="Times New Roman" w:eastAsia="Times New Roman"/>
          <w:sz w:val="18"/>
        </w:rPr>
        <w:t>9</w:t>
      </w:r>
      <w:r>
        <w:rPr>
          <w:sz w:val="18"/>
        </w:rPr>
        <w:t>）：</w:t>
      </w:r>
      <w:r>
        <w:rPr>
          <w:rFonts w:ascii="Times New Roman" w:eastAsia="Times New Roman"/>
          <w:sz w:val="18"/>
        </w:rPr>
        <w:t>4-7.</w:t>
      </w:r>
    </w:p>
    <w:p>
      <w:pPr>
        <w:spacing w:after="0" w:line="240" w:lineRule="auto"/>
        <w:jc w:val="left"/>
        <w:rPr>
          <w:rFonts w:ascii="Times New Roman" w:eastAsia="Times New Roman"/>
          <w:sz w:val="18"/>
        </w:rPr>
        <w:sectPr>
          <w:pgSz w:w="11910" w:h="16840"/>
          <w:pgMar w:header="878" w:footer="1191" w:top="1300" w:bottom="1380" w:left="480" w:right="220"/>
        </w:sectPr>
      </w:pPr>
    </w:p>
    <w:p>
      <w:pPr>
        <w:pStyle w:val="BodyText"/>
        <w:spacing w:before="3"/>
        <w:rPr>
          <w:rFonts w:ascii="Times New Roman"/>
          <w:sz w:val="11"/>
        </w:rPr>
      </w:pPr>
    </w:p>
    <w:p>
      <w:pPr>
        <w:pStyle w:val="BodyText"/>
        <w:spacing w:before="80"/>
        <w:ind w:left="1320"/>
      </w:pPr>
      <w:r>
        <w:rPr/>
        <w:t>追溯中文意义中的“素养”，本土化地阐释核心素养的内涵，如张华</w:t>
      </w:r>
      <w:r>
        <w:rPr>
          <w:rFonts w:ascii="Times New Roman" w:hAnsi="Times New Roman" w:eastAsia="Times New Roman"/>
          <w:position w:val="8"/>
          <w:sz w:val="15"/>
        </w:rPr>
        <w:t>[</w:t>
      </w:r>
      <w:hyperlink w:history="true" w:anchor="_bookmark91">
        <w:r>
          <w:rPr>
            <w:rFonts w:ascii="Times New Roman" w:hAnsi="Times New Roman" w:eastAsia="Times New Roman"/>
            <w:position w:val="8"/>
            <w:sz w:val="15"/>
          </w:rPr>
          <w:t>1</w:t>
        </w:r>
      </w:hyperlink>
      <w:r>
        <w:rPr>
          <w:rFonts w:ascii="Times New Roman" w:hAnsi="Times New Roman" w:eastAsia="Times New Roman"/>
          <w:position w:val="8"/>
          <w:sz w:val="15"/>
        </w:rPr>
        <w:t>]</w:t>
      </w:r>
      <w:r>
        <w:rPr/>
        <w:t>、崔允漷</w:t>
      </w:r>
    </w:p>
    <w:p>
      <w:pPr>
        <w:spacing w:before="162"/>
        <w:ind w:left="1319" w:right="0" w:firstLine="0"/>
        <w:jc w:val="left"/>
        <w:rPr>
          <w:sz w:val="24"/>
        </w:rPr>
      </w:pPr>
      <w:r>
        <w:rPr>
          <w:rFonts w:ascii="Times New Roman" w:eastAsia="Times New Roman"/>
          <w:sz w:val="15"/>
        </w:rPr>
        <w:t>[</w:t>
      </w:r>
      <w:hyperlink w:history="true" w:anchor="_bookmark92">
        <w:r>
          <w:rPr>
            <w:rFonts w:ascii="Times New Roman" w:eastAsia="Times New Roman"/>
            <w:sz w:val="15"/>
          </w:rPr>
          <w:t>2</w:t>
        </w:r>
      </w:hyperlink>
      <w:r>
        <w:rPr>
          <w:rFonts w:ascii="Times New Roman" w:eastAsia="Times New Roman"/>
          <w:sz w:val="15"/>
        </w:rPr>
        <w:t>]</w:t>
      </w:r>
      <w:r>
        <w:rPr>
          <w:position w:val="-7"/>
          <w:sz w:val="24"/>
        </w:rPr>
        <w:t>等。</w:t>
      </w:r>
    </w:p>
    <w:p>
      <w:pPr>
        <w:pStyle w:val="BodyText"/>
        <w:spacing w:line="364" w:lineRule="auto" w:before="159"/>
        <w:ind w:left="1319" w:right="1575" w:firstLine="480"/>
        <w:jc w:val="both"/>
      </w:pPr>
      <w:r>
        <w:rPr>
          <w:spacing w:val="-4"/>
        </w:rPr>
        <w:t>第三，从相关概念辨析的角度来理解核心素养的内涵。</w:t>
      </w:r>
      <w:hyperlink w:history="true" w:anchor="_bookmark93">
        <w:r>
          <w:rPr>
            <w:rFonts w:ascii="Times New Roman" w:eastAsia="Times New Roman"/>
            <w:position w:val="8"/>
            <w:sz w:val="15"/>
          </w:rPr>
          <w:t>[3</w:t>
        </w:r>
      </w:hyperlink>
      <w:r>
        <w:rPr>
          <w:rFonts w:ascii="Times New Roman" w:eastAsia="Times New Roman"/>
          <w:position w:val="8"/>
          <w:sz w:val="15"/>
        </w:rPr>
        <w:t>]</w:t>
      </w:r>
      <w:r>
        <w:rPr>
          <w:spacing w:val="-5"/>
        </w:rPr>
        <w:t>例如，核心素养与</w:t>
      </w:r>
      <w:r>
        <w:rPr>
          <w:spacing w:val="-12"/>
        </w:rPr>
        <w:t>知识，核心素养与能力，核心素养与三维目标等，这些研究旨在凸显核心素养的</w:t>
      </w:r>
      <w:r>
        <w:rPr>
          <w:spacing w:val="-10"/>
        </w:rPr>
        <w:t>优越性。从这一点来看，大部分学者持一种观点：核心素养是对知识、能力以及</w:t>
      </w:r>
      <w:r>
        <w:rPr>
          <w:spacing w:val="-6"/>
        </w:rPr>
        <w:t>三维目标等以往对于教育目标的继承与超越，甚至认为是一种升级转型，如蔡清</w:t>
      </w:r>
      <w:r>
        <w:rPr/>
        <w:t>田</w:t>
      </w:r>
      <w:r>
        <w:rPr>
          <w:rFonts w:ascii="Times New Roman" w:eastAsia="Times New Roman"/>
          <w:position w:val="8"/>
          <w:sz w:val="15"/>
        </w:rPr>
        <w:t>[</w:t>
      </w:r>
      <w:hyperlink w:history="true" w:anchor="_bookmark94">
        <w:r>
          <w:rPr>
            <w:rFonts w:ascii="Times New Roman" w:eastAsia="Times New Roman"/>
            <w:position w:val="8"/>
            <w:sz w:val="15"/>
          </w:rPr>
          <w:t>4</w:t>
        </w:r>
      </w:hyperlink>
      <w:r>
        <w:rPr>
          <w:rFonts w:ascii="Times New Roman" w:eastAsia="Times New Roman"/>
          <w:position w:val="8"/>
          <w:sz w:val="15"/>
        </w:rPr>
        <w:t>]</w:t>
      </w:r>
      <w:r>
        <w:rPr/>
        <w:t>、柳夕浪</w:t>
      </w:r>
      <w:r>
        <w:rPr>
          <w:rFonts w:ascii="Times New Roman" w:eastAsia="Times New Roman"/>
          <w:position w:val="8"/>
          <w:sz w:val="15"/>
        </w:rPr>
        <w:t>[</w:t>
      </w:r>
      <w:hyperlink w:history="true" w:anchor="_bookmark95">
        <w:r>
          <w:rPr>
            <w:rFonts w:ascii="Times New Roman" w:eastAsia="Times New Roman"/>
            <w:position w:val="8"/>
            <w:sz w:val="15"/>
          </w:rPr>
          <w:t>5</w:t>
        </w:r>
      </w:hyperlink>
      <w:r>
        <w:rPr>
          <w:rFonts w:ascii="Times New Roman" w:eastAsia="Times New Roman"/>
          <w:position w:val="8"/>
          <w:sz w:val="15"/>
        </w:rPr>
        <w:t>]</w:t>
      </w:r>
      <w:r>
        <w:rPr/>
        <w:t>等。</w:t>
      </w:r>
    </w:p>
    <w:p>
      <w:pPr>
        <w:pStyle w:val="BodyText"/>
        <w:spacing w:line="364" w:lineRule="auto" w:before="3"/>
        <w:ind w:left="1319" w:right="1485" w:firstLine="480"/>
      </w:pPr>
      <w:r>
        <w:rPr>
          <w:spacing w:val="-10"/>
        </w:rPr>
        <w:t>第四，探讨学科核心素养的内涵。当前，学生发展核心素养和学科核心素养</w:t>
      </w:r>
      <w:r>
        <w:rPr>
          <w:spacing w:val="-9"/>
        </w:rPr>
        <w:t>并行展开，各个学科都在试图界定本学科核心素养的内涵。有研究者</w:t>
      </w:r>
      <w:r>
        <w:rPr>
          <w:rFonts w:ascii="Times New Roman" w:eastAsia="Times New Roman"/>
          <w:position w:val="8"/>
          <w:sz w:val="15"/>
        </w:rPr>
        <w:t>[</w:t>
      </w:r>
      <w:hyperlink w:history="true" w:anchor="_bookmark96">
        <w:r>
          <w:rPr>
            <w:rFonts w:ascii="Times New Roman" w:eastAsia="Times New Roman"/>
            <w:position w:val="8"/>
            <w:sz w:val="15"/>
          </w:rPr>
          <w:t>6</w:t>
        </w:r>
      </w:hyperlink>
      <w:r>
        <w:rPr>
          <w:rFonts w:ascii="Times New Roman" w:eastAsia="Times New Roman"/>
          <w:position w:val="8"/>
          <w:sz w:val="15"/>
        </w:rPr>
        <w:t>]</w:t>
      </w:r>
      <w:r>
        <w:rPr/>
        <w:t>结合当前的政策背景，认为有必要厘清学生发展核心素养和学科核心素养内在的对应关</w:t>
      </w:r>
      <w:r>
        <w:rPr>
          <w:spacing w:val="4"/>
        </w:rPr>
        <w:t>系，才能保证学生发展核心素养的落实及体现学科的独特价值。也有研究者</w:t>
      </w:r>
      <w:r>
        <w:rPr>
          <w:rFonts w:ascii="Times New Roman" w:eastAsia="Times New Roman"/>
          <w:position w:val="8"/>
          <w:sz w:val="15"/>
        </w:rPr>
        <w:t>[</w:t>
      </w:r>
      <w:hyperlink w:history="true" w:anchor="_bookmark97">
        <w:r>
          <w:rPr>
            <w:rFonts w:ascii="Times New Roman" w:eastAsia="Times New Roman"/>
            <w:position w:val="8"/>
            <w:sz w:val="15"/>
          </w:rPr>
          <w:t>7</w:t>
        </w:r>
      </w:hyperlink>
      <w:r>
        <w:rPr>
          <w:rFonts w:ascii="Times New Roman" w:eastAsia="Times New Roman"/>
          <w:position w:val="8"/>
          <w:sz w:val="15"/>
        </w:rPr>
        <w:t>] </w:t>
      </w:r>
      <w:r>
        <w:rPr>
          <w:spacing w:val="-6"/>
        </w:rPr>
        <w:t>另辟蹊径从学科核心素养的定位、评价及实施方面来理解核心素养的内涵。总体</w:t>
      </w:r>
      <w:r>
        <w:rPr>
          <w:spacing w:val="-7"/>
        </w:rPr>
        <w:t>看来，语文、数学等学科的核心素养研究居多，地理、物理、化学次之，音乐、</w:t>
      </w:r>
      <w:r>
        <w:rPr>
          <w:spacing w:val="-11"/>
        </w:rPr>
        <w:t>美术、体育、英语、生物、历史等其它学科核心素养的专门研究较少。学科分布不均显然无法满足课程建设和改革的需要。</w:t>
      </w:r>
    </w:p>
    <w:p>
      <w:pPr>
        <w:pStyle w:val="ListParagraph"/>
        <w:numPr>
          <w:ilvl w:val="5"/>
          <w:numId w:val="3"/>
        </w:numPr>
        <w:tabs>
          <w:tab w:pos="2460" w:val="left" w:leader="none"/>
        </w:tabs>
        <w:spacing w:line="240" w:lineRule="auto" w:before="5" w:after="0"/>
        <w:ind w:left="2460" w:right="0" w:hanging="1141"/>
        <w:jc w:val="left"/>
        <w:rPr>
          <w:sz w:val="24"/>
        </w:rPr>
      </w:pPr>
      <w:r>
        <w:rPr>
          <w:sz w:val="24"/>
        </w:rPr>
        <w:t>关于发展核心素养必要性的研究</w:t>
      </w:r>
    </w:p>
    <w:p>
      <w:pPr>
        <w:pStyle w:val="BodyText"/>
        <w:spacing w:line="364" w:lineRule="auto" w:before="161"/>
        <w:ind w:left="1319" w:right="1577" w:firstLine="480"/>
      </w:pPr>
      <w:r>
        <w:rPr>
          <w:spacing w:val="-9"/>
        </w:rPr>
        <w:t>学者们从深化课程改革、提升人才培养质量、顺应国际潮流等角度对发展核</w:t>
      </w:r>
      <w:r>
        <w:rPr/>
        <w:t>心素养的必要性进行了论证。</w:t>
      </w:r>
    </w:p>
    <w:p>
      <w:pPr>
        <w:pStyle w:val="BodyText"/>
        <w:spacing w:line="364" w:lineRule="auto" w:before="1"/>
        <w:ind w:left="1319" w:right="1575" w:firstLine="480"/>
      </w:pPr>
      <w:r>
        <w:rPr/>
        <w:pict>
          <v:shape style="position:absolute;margin-left:90pt;margin-top:48.89101pt;width:144pt;height:.1pt;mso-position-horizontal-relative:page;mso-position-vertical-relative:paragraph;z-index:-251625472;mso-wrap-distance-left:0;mso-wrap-distance-right:0" coordorigin="1800,978" coordsize="2880,0" path="m1800,978l4680,978e" filled="false" stroked="true" strokeweight="0pt" strokecolor="#000000">
            <v:path arrowok="t"/>
            <v:stroke dashstyle="solid"/>
            <w10:wrap type="topAndBottom"/>
          </v:shape>
        </w:pict>
      </w:r>
      <w:r>
        <w:rPr/>
        <w:t>顾明远</w:t>
      </w:r>
      <w:hyperlink w:history="true" w:anchor="_bookmark98">
        <w:r>
          <w:rPr>
            <w:rFonts w:ascii="Times New Roman" w:hAnsi="Times New Roman" w:eastAsia="Times New Roman"/>
            <w:position w:val="8"/>
            <w:sz w:val="15"/>
          </w:rPr>
          <w:t>[8</w:t>
        </w:r>
      </w:hyperlink>
      <w:r>
        <w:rPr>
          <w:rFonts w:ascii="Times New Roman" w:hAnsi="Times New Roman" w:eastAsia="Times New Roman"/>
          <w:position w:val="8"/>
          <w:sz w:val="15"/>
        </w:rPr>
        <w:t>]</w:t>
      </w:r>
      <w:r>
        <w:rPr/>
        <w:t>从核心素养促进课程改革的角度出发论证了研究核心素养的必要性；钟启泉</w:t>
      </w:r>
      <w:r>
        <w:rPr>
          <w:rFonts w:ascii="Times New Roman" w:hAnsi="Times New Roman" w:eastAsia="Times New Roman"/>
          <w:position w:val="8"/>
          <w:sz w:val="15"/>
        </w:rPr>
        <w:t>[</w:t>
      </w:r>
      <w:hyperlink w:history="true" w:anchor="_bookmark99">
        <w:r>
          <w:rPr>
            <w:rFonts w:ascii="Times New Roman" w:hAnsi="Times New Roman" w:eastAsia="Times New Roman"/>
            <w:position w:val="8"/>
            <w:sz w:val="15"/>
          </w:rPr>
          <w:t>9</w:t>
        </w:r>
      </w:hyperlink>
      <w:r>
        <w:rPr>
          <w:rFonts w:ascii="Times New Roman" w:hAnsi="Times New Roman" w:eastAsia="Times New Roman"/>
          <w:position w:val="8"/>
          <w:sz w:val="15"/>
        </w:rPr>
        <w:t>]</w:t>
      </w:r>
      <w:r>
        <w:rPr/>
        <w:t>指出了核心素养的提出和界定的意义，即赋予</w:t>
      </w:r>
      <w:r>
        <w:rPr>
          <w:rFonts w:ascii="Times New Roman" w:hAnsi="Times New Roman" w:eastAsia="Times New Roman"/>
        </w:rPr>
        <w:t>“</w:t>
      </w:r>
      <w:r>
        <w:rPr/>
        <w:t>基础素养</w:t>
      </w:r>
      <w:r>
        <w:rPr>
          <w:rFonts w:ascii="Times New Roman" w:hAnsi="Times New Roman" w:eastAsia="Times New Roman"/>
        </w:rPr>
        <w:t>”</w:t>
      </w:r>
      <w:r>
        <w:rPr/>
        <w:t>新时代的</w:t>
      </w:r>
    </w:p>
    <w:p>
      <w:pPr>
        <w:spacing w:before="99"/>
        <w:ind w:left="1320" w:right="0" w:firstLine="0"/>
        <w:jc w:val="left"/>
        <w:rPr>
          <w:rFonts w:ascii="Times New Roman" w:eastAsia="Times New Roman"/>
          <w:sz w:val="18"/>
        </w:rPr>
      </w:pPr>
      <w:bookmarkStart w:name="_bookmark91" w:id="111"/>
      <w:bookmarkEnd w:id="111"/>
      <w:r>
        <w:rPr/>
      </w:r>
      <w:r>
        <w:rPr>
          <w:rFonts w:ascii="Times New Roman" w:eastAsia="Times New Roman"/>
          <w:position w:val="8"/>
          <w:sz w:val="15"/>
        </w:rPr>
        <w:t>[1] </w:t>
      </w:r>
      <w:r>
        <w:rPr>
          <w:sz w:val="18"/>
        </w:rPr>
        <w:t>张华</w:t>
      </w:r>
      <w:r>
        <w:rPr>
          <w:rFonts w:ascii="Times New Roman" w:eastAsia="Times New Roman"/>
          <w:sz w:val="18"/>
        </w:rPr>
        <w:t>.</w:t>
      </w:r>
      <w:r>
        <w:rPr>
          <w:sz w:val="18"/>
        </w:rPr>
        <w:t>论核心素养</w:t>
      </w:r>
      <w:r>
        <w:rPr>
          <w:rFonts w:ascii="Times New Roman" w:eastAsia="Times New Roman"/>
          <w:sz w:val="18"/>
        </w:rPr>
        <w:t>[J].</w:t>
      </w:r>
      <w:r>
        <w:rPr>
          <w:sz w:val="18"/>
        </w:rPr>
        <w:t>全球教育展望，</w:t>
      </w:r>
      <w:r>
        <w:rPr>
          <w:rFonts w:ascii="Times New Roman" w:eastAsia="Times New Roman"/>
          <w:sz w:val="18"/>
        </w:rPr>
        <w:t>2016</w:t>
      </w:r>
      <w:r>
        <w:rPr>
          <w:sz w:val="18"/>
        </w:rPr>
        <w:t>（</w:t>
      </w:r>
      <w:r>
        <w:rPr>
          <w:rFonts w:ascii="Times New Roman" w:eastAsia="Times New Roman"/>
          <w:sz w:val="18"/>
        </w:rPr>
        <w:t>4</w:t>
      </w:r>
      <w:r>
        <w:rPr>
          <w:sz w:val="18"/>
        </w:rPr>
        <w:t>）：</w:t>
      </w:r>
      <w:r>
        <w:rPr>
          <w:rFonts w:ascii="Times New Roman" w:eastAsia="Times New Roman"/>
          <w:sz w:val="18"/>
        </w:rPr>
        <w:t>10-24.</w:t>
      </w:r>
    </w:p>
    <w:p>
      <w:pPr>
        <w:spacing w:before="142"/>
        <w:ind w:left="1319" w:right="0" w:firstLine="0"/>
        <w:jc w:val="left"/>
        <w:rPr>
          <w:rFonts w:ascii="Times New Roman" w:eastAsia="Times New Roman"/>
          <w:sz w:val="18"/>
        </w:rPr>
      </w:pPr>
      <w:bookmarkStart w:name="_bookmark92" w:id="112"/>
      <w:bookmarkEnd w:id="112"/>
      <w:r>
        <w:rPr/>
      </w:r>
      <w:r>
        <w:rPr>
          <w:rFonts w:ascii="Times New Roman" w:eastAsia="Times New Roman"/>
          <w:position w:val="8"/>
          <w:sz w:val="15"/>
        </w:rPr>
        <w:t>[2] </w:t>
      </w:r>
      <w:r>
        <w:rPr>
          <w:sz w:val="18"/>
        </w:rPr>
        <w:t>崔允漷</w:t>
      </w:r>
      <w:r>
        <w:rPr>
          <w:rFonts w:ascii="Times New Roman" w:eastAsia="Times New Roman"/>
          <w:sz w:val="18"/>
        </w:rPr>
        <w:t>.</w:t>
      </w:r>
      <w:r>
        <w:rPr>
          <w:sz w:val="18"/>
        </w:rPr>
        <w:t>素养：一个让人欢喜让人忧的概念</w:t>
      </w:r>
      <w:r>
        <w:rPr>
          <w:rFonts w:ascii="Times New Roman" w:eastAsia="Times New Roman"/>
          <w:sz w:val="18"/>
        </w:rPr>
        <w:t>[J].</w:t>
      </w:r>
      <w:r>
        <w:rPr>
          <w:sz w:val="18"/>
        </w:rPr>
        <w:t>华东师范大学学报</w:t>
      </w:r>
      <w:r>
        <w:rPr>
          <w:rFonts w:ascii="Times New Roman" w:eastAsia="Times New Roman"/>
          <w:sz w:val="18"/>
        </w:rPr>
        <w:t>(</w:t>
      </w:r>
      <w:r>
        <w:rPr>
          <w:sz w:val="18"/>
        </w:rPr>
        <w:t>教育科学版</w:t>
      </w:r>
      <w:r>
        <w:rPr>
          <w:rFonts w:ascii="Times New Roman" w:eastAsia="Times New Roman"/>
          <w:sz w:val="18"/>
        </w:rPr>
        <w:t>)</w:t>
      </w:r>
      <w:r>
        <w:rPr>
          <w:sz w:val="18"/>
        </w:rPr>
        <w:t>，</w:t>
      </w:r>
      <w:r>
        <w:rPr>
          <w:rFonts w:ascii="Times New Roman" w:eastAsia="Times New Roman"/>
          <w:sz w:val="18"/>
        </w:rPr>
        <w:t>2016</w:t>
      </w:r>
      <w:r>
        <w:rPr>
          <w:sz w:val="18"/>
        </w:rPr>
        <w:t>（</w:t>
      </w:r>
      <w:r>
        <w:rPr>
          <w:rFonts w:ascii="Times New Roman" w:eastAsia="Times New Roman"/>
          <w:sz w:val="18"/>
        </w:rPr>
        <w:t>1</w:t>
      </w:r>
      <w:r>
        <w:rPr>
          <w:sz w:val="18"/>
        </w:rPr>
        <w:t>）：</w:t>
      </w:r>
      <w:r>
        <w:rPr>
          <w:rFonts w:ascii="Times New Roman" w:eastAsia="Times New Roman"/>
          <w:sz w:val="18"/>
        </w:rPr>
        <w:t>3-5.</w:t>
      </w:r>
    </w:p>
    <w:p>
      <w:pPr>
        <w:spacing w:before="144"/>
        <w:ind w:left="1320" w:right="0" w:firstLine="0"/>
        <w:jc w:val="left"/>
        <w:rPr>
          <w:rFonts w:ascii="Times New Roman" w:eastAsia="Times New Roman"/>
          <w:sz w:val="21"/>
        </w:rPr>
      </w:pPr>
      <w:bookmarkStart w:name="_bookmark93" w:id="113"/>
      <w:bookmarkEnd w:id="113"/>
      <w:r>
        <w:rPr/>
      </w:r>
      <w:r>
        <w:rPr>
          <w:rFonts w:ascii="Times New Roman" w:eastAsia="Times New Roman"/>
          <w:position w:val="8"/>
          <w:sz w:val="15"/>
        </w:rPr>
        <w:t>[3] </w:t>
      </w:r>
      <w:r>
        <w:rPr>
          <w:sz w:val="18"/>
        </w:rPr>
        <w:t>岳辉等</w:t>
      </w:r>
      <w:r>
        <w:rPr>
          <w:rFonts w:ascii="Times New Roman" w:eastAsia="Times New Roman"/>
          <w:sz w:val="18"/>
        </w:rPr>
        <w:t>.</w:t>
      </w:r>
      <w:r>
        <w:rPr>
          <w:sz w:val="18"/>
        </w:rPr>
        <w:t>学科素养研究的进展、问题及展望</w:t>
      </w:r>
      <w:r>
        <w:rPr>
          <w:rFonts w:ascii="Times New Roman" w:eastAsia="Times New Roman"/>
          <w:sz w:val="18"/>
        </w:rPr>
        <w:t>[J].</w:t>
      </w:r>
      <w:r>
        <w:rPr>
          <w:sz w:val="18"/>
        </w:rPr>
        <w:t>教育科学研究</w:t>
      </w:r>
      <w:r>
        <w:rPr>
          <w:rFonts w:ascii="Times New Roman" w:eastAsia="Times New Roman"/>
          <w:sz w:val="18"/>
        </w:rPr>
        <w:t>:</w:t>
      </w:r>
      <w:r>
        <w:rPr>
          <w:sz w:val="18"/>
        </w:rPr>
        <w:t>，</w:t>
      </w:r>
      <w:r>
        <w:rPr>
          <w:rFonts w:ascii="Times New Roman" w:eastAsia="Times New Roman"/>
          <w:sz w:val="21"/>
        </w:rPr>
        <w:t>2016</w:t>
      </w:r>
      <w:r>
        <w:rPr>
          <w:sz w:val="21"/>
        </w:rPr>
        <w:t>（</w:t>
      </w:r>
      <w:r>
        <w:rPr>
          <w:rFonts w:ascii="Times New Roman" w:eastAsia="Times New Roman"/>
          <w:sz w:val="21"/>
        </w:rPr>
        <w:t>91</w:t>
      </w:r>
      <w:r>
        <w:rPr>
          <w:sz w:val="21"/>
        </w:rPr>
        <w:t>）：</w:t>
      </w:r>
      <w:r>
        <w:rPr>
          <w:rFonts w:ascii="Times New Roman" w:eastAsia="Times New Roman"/>
          <w:sz w:val="21"/>
        </w:rPr>
        <w:t>52-59.</w:t>
      </w:r>
    </w:p>
    <w:p>
      <w:pPr>
        <w:pStyle w:val="ListParagraph"/>
        <w:numPr>
          <w:ilvl w:val="0"/>
          <w:numId w:val="9"/>
        </w:numPr>
        <w:tabs>
          <w:tab w:pos="1558" w:val="left" w:leader="none"/>
        </w:tabs>
        <w:spacing w:line="240" w:lineRule="auto" w:before="144" w:after="0"/>
        <w:ind w:left="1557" w:right="0" w:hanging="239"/>
        <w:jc w:val="left"/>
        <w:rPr>
          <w:rFonts w:ascii="Times New Roman" w:hAnsi="Times New Roman" w:eastAsia="Times New Roman"/>
          <w:sz w:val="21"/>
        </w:rPr>
      </w:pPr>
      <w:bookmarkStart w:name="_bookmark94" w:id="114"/>
      <w:bookmarkEnd w:id="114"/>
      <w:r>
        <w:rPr/>
      </w:r>
      <w:bookmarkStart w:name="_bookmark94" w:id="115"/>
      <w:bookmarkEnd w:id="115"/>
      <w:r>
        <w:rPr>
          <w:sz w:val="18"/>
        </w:rPr>
        <w:t>蔡清田</w:t>
      </w:r>
      <w:r>
        <w:rPr>
          <w:rFonts w:ascii="Times New Roman" w:hAnsi="Times New Roman" w:eastAsia="Times New Roman"/>
          <w:sz w:val="18"/>
        </w:rPr>
        <w:t>.</w:t>
      </w:r>
      <w:r>
        <w:rPr>
          <w:sz w:val="18"/>
        </w:rPr>
        <w:t>“核心素养”课改的目标来源</w:t>
      </w:r>
      <w:r>
        <w:rPr>
          <w:rFonts w:ascii="Times New Roman" w:hAnsi="Times New Roman" w:eastAsia="Times New Roman"/>
          <w:sz w:val="18"/>
        </w:rPr>
        <w:t>[N].</w:t>
      </w:r>
      <w:r>
        <w:rPr>
          <w:sz w:val="18"/>
        </w:rPr>
        <w:t>中国社会科学报，</w:t>
      </w:r>
      <w:r>
        <w:rPr>
          <w:rFonts w:ascii="Times New Roman" w:hAnsi="Times New Roman" w:eastAsia="Times New Roman"/>
          <w:sz w:val="18"/>
        </w:rPr>
        <w:t>2012</w:t>
      </w:r>
      <w:r>
        <w:rPr>
          <w:sz w:val="18"/>
        </w:rPr>
        <w:t>（</w:t>
      </w:r>
      <w:r>
        <w:rPr>
          <w:rFonts w:ascii="Times New Roman" w:hAnsi="Times New Roman" w:eastAsia="Times New Roman"/>
          <w:sz w:val="18"/>
        </w:rPr>
        <w:t>1</w:t>
      </w:r>
      <w:r>
        <w:rPr>
          <w:sz w:val="18"/>
        </w:rPr>
        <w:t>）：</w:t>
      </w:r>
      <w:r>
        <w:rPr>
          <w:rFonts w:ascii="Times New Roman" w:hAnsi="Times New Roman" w:eastAsia="Times New Roman"/>
          <w:sz w:val="21"/>
        </w:rPr>
        <w:t>1.</w:t>
      </w:r>
    </w:p>
    <w:p>
      <w:pPr>
        <w:pStyle w:val="ListParagraph"/>
        <w:numPr>
          <w:ilvl w:val="0"/>
          <w:numId w:val="9"/>
        </w:numPr>
        <w:tabs>
          <w:tab w:pos="1589" w:val="left" w:leader="none"/>
        </w:tabs>
        <w:spacing w:line="240" w:lineRule="auto" w:before="142" w:after="0"/>
        <w:ind w:left="1588" w:right="0" w:hanging="270"/>
        <w:jc w:val="left"/>
        <w:rPr>
          <w:sz w:val="18"/>
        </w:rPr>
      </w:pPr>
      <w:bookmarkStart w:name="_bookmark95" w:id="116"/>
      <w:bookmarkEnd w:id="116"/>
      <w:r>
        <w:rPr/>
      </w:r>
      <w:bookmarkStart w:name="_bookmark95" w:id="117"/>
      <w:bookmarkEnd w:id="117"/>
      <w:r>
        <w:rPr>
          <w:sz w:val="18"/>
        </w:rPr>
        <w:t>柳夕浪</w:t>
      </w:r>
      <w:r>
        <w:rPr>
          <w:rFonts w:ascii="Times New Roman" w:hAnsi="Times New Roman" w:eastAsia="Times New Roman"/>
          <w:sz w:val="18"/>
        </w:rPr>
        <w:t>.</w:t>
      </w:r>
      <w:r>
        <w:rPr>
          <w:spacing w:val="-6"/>
          <w:sz w:val="18"/>
        </w:rPr>
        <w:t>从“素质”“核心素养”</w:t>
      </w:r>
      <w:r>
        <w:rPr>
          <w:rFonts w:ascii="Times New Roman" w:hAnsi="Times New Roman" w:eastAsia="Times New Roman"/>
          <w:spacing w:val="-5"/>
          <w:sz w:val="18"/>
        </w:rPr>
        <w:t>—</w:t>
      </w:r>
      <w:r>
        <w:rPr>
          <w:spacing w:val="-5"/>
          <w:sz w:val="18"/>
        </w:rPr>
        <w:t>关于“培养什么样的人”的进一步追问</w:t>
      </w:r>
      <w:r>
        <w:rPr>
          <w:rFonts w:ascii="Times New Roman" w:hAnsi="Times New Roman" w:eastAsia="Times New Roman"/>
          <w:sz w:val="18"/>
        </w:rPr>
        <w:t>[J].</w:t>
      </w:r>
      <w:r>
        <w:rPr>
          <w:spacing w:val="-1"/>
          <w:sz w:val="18"/>
        </w:rPr>
        <w:t>教育科学研究，</w:t>
      </w:r>
      <w:r>
        <w:rPr>
          <w:rFonts w:ascii="Times New Roman" w:hAnsi="Times New Roman" w:eastAsia="Times New Roman"/>
          <w:spacing w:val="-4"/>
          <w:sz w:val="18"/>
        </w:rPr>
        <w:t>2014</w:t>
      </w:r>
      <w:r>
        <w:rPr>
          <w:spacing w:val="-4"/>
          <w:sz w:val="18"/>
        </w:rPr>
        <w:t>（</w:t>
      </w:r>
      <w:r>
        <w:rPr>
          <w:rFonts w:ascii="Times New Roman" w:hAnsi="Times New Roman" w:eastAsia="Times New Roman"/>
          <w:spacing w:val="-4"/>
          <w:sz w:val="18"/>
        </w:rPr>
        <w:t>3</w:t>
      </w:r>
      <w:r>
        <w:rPr>
          <w:spacing w:val="-4"/>
          <w:sz w:val="18"/>
        </w:rPr>
        <w:t>）：</w:t>
      </w:r>
    </w:p>
    <w:p>
      <w:pPr>
        <w:spacing w:before="139"/>
        <w:ind w:left="1319" w:right="0" w:firstLine="0"/>
        <w:jc w:val="left"/>
        <w:rPr>
          <w:rFonts w:ascii="Times New Roman"/>
          <w:sz w:val="18"/>
        </w:rPr>
      </w:pPr>
      <w:r>
        <w:rPr>
          <w:rFonts w:ascii="Times New Roman"/>
          <w:sz w:val="18"/>
        </w:rPr>
        <w:t>5-11.</w:t>
      </w:r>
    </w:p>
    <w:p>
      <w:pPr>
        <w:pStyle w:val="ListParagraph"/>
        <w:numPr>
          <w:ilvl w:val="0"/>
          <w:numId w:val="9"/>
        </w:numPr>
        <w:tabs>
          <w:tab w:pos="1501" w:val="left" w:leader="none"/>
        </w:tabs>
        <w:spacing w:line="240" w:lineRule="auto" w:before="108" w:after="0"/>
        <w:ind w:left="1500" w:right="0" w:hanging="182"/>
        <w:jc w:val="left"/>
        <w:rPr>
          <w:sz w:val="18"/>
        </w:rPr>
      </w:pPr>
      <w:bookmarkStart w:name="_bookmark96" w:id="118"/>
      <w:bookmarkEnd w:id="118"/>
      <w:r>
        <w:rPr/>
      </w:r>
      <w:bookmarkStart w:name="_bookmark96" w:id="119"/>
      <w:bookmarkEnd w:id="119"/>
      <w:r>
        <w:rPr>
          <w:sz w:val="18"/>
        </w:rPr>
        <w:t>辛涛</w:t>
      </w:r>
      <w:r>
        <w:rPr>
          <w:rFonts w:ascii="Times New Roman" w:eastAsia="Times New Roman"/>
          <w:sz w:val="18"/>
        </w:rPr>
        <w:t>.</w:t>
      </w:r>
      <w:r>
        <w:rPr>
          <w:sz w:val="18"/>
        </w:rPr>
        <w:t>学生发展核心素养研究应注意的几个问题</w:t>
      </w:r>
      <w:r>
        <w:rPr>
          <w:rFonts w:ascii="Times New Roman" w:eastAsia="Times New Roman"/>
          <w:sz w:val="18"/>
        </w:rPr>
        <w:t>[J].</w:t>
      </w:r>
      <w:r>
        <w:rPr>
          <w:sz w:val="18"/>
        </w:rPr>
        <w:t>华东师范大学教育学报（教育科学版），</w:t>
      </w:r>
      <w:r>
        <w:rPr>
          <w:rFonts w:ascii="Times New Roman" w:eastAsia="Times New Roman"/>
          <w:sz w:val="18"/>
        </w:rPr>
        <w:t>2016</w:t>
      </w:r>
      <w:r>
        <w:rPr>
          <w:sz w:val="18"/>
        </w:rPr>
        <w:t>（</w:t>
      </w:r>
      <w:r>
        <w:rPr>
          <w:rFonts w:ascii="Times New Roman" w:eastAsia="Times New Roman"/>
          <w:sz w:val="18"/>
        </w:rPr>
        <w:t>1</w:t>
      </w:r>
      <w:r>
        <w:rPr>
          <w:sz w:val="18"/>
        </w:rPr>
        <w:t>）：</w:t>
      </w:r>
    </w:p>
    <w:p>
      <w:pPr>
        <w:spacing w:before="139"/>
        <w:ind w:left="1319" w:right="0" w:firstLine="0"/>
        <w:jc w:val="left"/>
        <w:rPr>
          <w:rFonts w:ascii="Times New Roman"/>
          <w:sz w:val="18"/>
        </w:rPr>
      </w:pPr>
      <w:r>
        <w:rPr>
          <w:rFonts w:ascii="Times New Roman"/>
          <w:sz w:val="18"/>
        </w:rPr>
        <w:t>8.</w:t>
      </w:r>
    </w:p>
    <w:p>
      <w:pPr>
        <w:pStyle w:val="ListParagraph"/>
        <w:numPr>
          <w:ilvl w:val="0"/>
          <w:numId w:val="9"/>
        </w:numPr>
        <w:tabs>
          <w:tab w:pos="1589" w:val="left" w:leader="none"/>
        </w:tabs>
        <w:spacing w:line="240" w:lineRule="auto" w:before="108" w:after="0"/>
        <w:ind w:left="1588" w:right="0" w:hanging="270"/>
        <w:jc w:val="left"/>
        <w:rPr>
          <w:rFonts w:ascii="Times New Roman" w:eastAsia="Times New Roman"/>
          <w:sz w:val="18"/>
        </w:rPr>
      </w:pPr>
      <w:bookmarkStart w:name="_bookmark97" w:id="120"/>
      <w:bookmarkEnd w:id="120"/>
      <w:r>
        <w:rPr/>
      </w:r>
      <w:bookmarkStart w:name="_bookmark97" w:id="121"/>
      <w:bookmarkEnd w:id="121"/>
      <w:r>
        <w:rPr>
          <w:sz w:val="18"/>
        </w:rPr>
        <w:t>李晓东</w:t>
      </w:r>
      <w:r>
        <w:rPr>
          <w:rFonts w:ascii="Times New Roman" w:eastAsia="Times New Roman"/>
          <w:sz w:val="18"/>
        </w:rPr>
        <w:t>.</w:t>
      </w:r>
      <w:r>
        <w:rPr>
          <w:sz w:val="18"/>
        </w:rPr>
        <w:t>理解学科核心素养的三个关键</w:t>
      </w:r>
      <w:r>
        <w:rPr>
          <w:rFonts w:ascii="Times New Roman" w:eastAsia="Times New Roman"/>
          <w:sz w:val="18"/>
        </w:rPr>
        <w:t>[J].</w:t>
      </w:r>
      <w:r>
        <w:rPr>
          <w:sz w:val="18"/>
        </w:rPr>
        <w:t>今日教育，</w:t>
      </w:r>
      <w:r>
        <w:rPr>
          <w:rFonts w:ascii="Times New Roman" w:eastAsia="Times New Roman"/>
          <w:sz w:val="18"/>
        </w:rPr>
        <w:t>2015</w:t>
      </w:r>
      <w:r>
        <w:rPr>
          <w:sz w:val="18"/>
        </w:rPr>
        <w:t>（</w:t>
      </w:r>
      <w:r>
        <w:rPr>
          <w:rFonts w:ascii="Times New Roman" w:eastAsia="Times New Roman"/>
          <w:sz w:val="18"/>
        </w:rPr>
        <w:t>3</w:t>
      </w:r>
      <w:r>
        <w:rPr>
          <w:sz w:val="18"/>
        </w:rPr>
        <w:t>）：</w:t>
      </w:r>
      <w:r>
        <w:rPr>
          <w:rFonts w:ascii="Times New Roman" w:eastAsia="Times New Roman"/>
          <w:sz w:val="18"/>
        </w:rPr>
        <w:t>15-17.</w:t>
      </w:r>
    </w:p>
    <w:p>
      <w:pPr>
        <w:spacing w:before="145"/>
        <w:ind w:left="1319" w:right="0" w:firstLine="0"/>
        <w:jc w:val="left"/>
        <w:rPr>
          <w:rFonts w:ascii="Times New Roman" w:eastAsia="Times New Roman"/>
          <w:sz w:val="18"/>
        </w:rPr>
      </w:pPr>
      <w:bookmarkStart w:name="_bookmark98" w:id="122"/>
      <w:bookmarkEnd w:id="122"/>
      <w:r>
        <w:rPr/>
      </w:r>
      <w:r>
        <w:rPr>
          <w:rFonts w:ascii="Times New Roman" w:eastAsia="Times New Roman"/>
          <w:position w:val="8"/>
          <w:sz w:val="15"/>
        </w:rPr>
        <w:t>[8] </w:t>
      </w:r>
      <w:r>
        <w:rPr>
          <w:sz w:val="18"/>
        </w:rPr>
        <w:t>顾明远</w:t>
      </w:r>
      <w:r>
        <w:rPr>
          <w:rFonts w:ascii="Times New Roman" w:eastAsia="Times New Roman"/>
          <w:sz w:val="18"/>
        </w:rPr>
        <w:t>.</w:t>
      </w:r>
      <w:r>
        <w:rPr>
          <w:sz w:val="18"/>
        </w:rPr>
        <w:t>核心素养：课程改革的原动力</w:t>
      </w:r>
      <w:r>
        <w:rPr>
          <w:rFonts w:ascii="Times New Roman" w:eastAsia="Times New Roman"/>
          <w:sz w:val="18"/>
        </w:rPr>
        <w:t>[J].</w:t>
      </w:r>
      <w:r>
        <w:rPr>
          <w:sz w:val="18"/>
        </w:rPr>
        <w:t>人民教育，</w:t>
      </w:r>
      <w:r>
        <w:rPr>
          <w:rFonts w:ascii="Times New Roman" w:eastAsia="Times New Roman"/>
          <w:sz w:val="18"/>
        </w:rPr>
        <w:t>2015</w:t>
      </w:r>
      <w:r>
        <w:rPr>
          <w:sz w:val="18"/>
        </w:rPr>
        <w:t>（</w:t>
      </w:r>
      <w:r>
        <w:rPr>
          <w:rFonts w:ascii="Times New Roman" w:eastAsia="Times New Roman"/>
          <w:sz w:val="18"/>
        </w:rPr>
        <w:t>13</w:t>
      </w:r>
      <w:r>
        <w:rPr>
          <w:sz w:val="18"/>
        </w:rPr>
        <w:t>）：</w:t>
      </w:r>
      <w:r>
        <w:rPr>
          <w:rFonts w:ascii="Times New Roman" w:eastAsia="Times New Roman"/>
          <w:sz w:val="18"/>
        </w:rPr>
        <w:t>17-18.</w:t>
      </w:r>
    </w:p>
    <w:p>
      <w:pPr>
        <w:spacing w:before="142"/>
        <w:ind w:left="1319" w:right="0" w:firstLine="0"/>
        <w:jc w:val="left"/>
        <w:rPr>
          <w:rFonts w:ascii="Times New Roman" w:eastAsia="Times New Roman"/>
          <w:sz w:val="18"/>
        </w:rPr>
      </w:pPr>
      <w:bookmarkStart w:name="_bookmark99" w:id="123"/>
      <w:bookmarkEnd w:id="123"/>
      <w:r>
        <w:rPr/>
      </w:r>
      <w:r>
        <w:rPr>
          <w:rFonts w:ascii="Times New Roman" w:eastAsia="Times New Roman"/>
          <w:position w:val="8"/>
          <w:sz w:val="15"/>
        </w:rPr>
        <w:t>[9] </w:t>
      </w:r>
      <w:r>
        <w:rPr>
          <w:sz w:val="18"/>
        </w:rPr>
        <w:t>钟启泉</w:t>
      </w:r>
      <w:r>
        <w:rPr>
          <w:rFonts w:ascii="Times New Roman" w:eastAsia="Times New Roman"/>
          <w:sz w:val="18"/>
        </w:rPr>
        <w:t>.</w:t>
      </w:r>
      <w:r>
        <w:rPr>
          <w:sz w:val="18"/>
        </w:rPr>
        <w:t>核心素养：赋予基础教育以新时代的内涵</w:t>
      </w:r>
      <w:r>
        <w:rPr>
          <w:rFonts w:ascii="Times New Roman" w:eastAsia="Times New Roman"/>
          <w:sz w:val="18"/>
        </w:rPr>
        <w:t>[J].</w:t>
      </w:r>
      <w:r>
        <w:rPr>
          <w:sz w:val="18"/>
        </w:rPr>
        <w:t>上海教育科研，</w:t>
      </w:r>
      <w:r>
        <w:rPr>
          <w:rFonts w:ascii="Times New Roman" w:eastAsia="Times New Roman"/>
          <w:sz w:val="18"/>
        </w:rPr>
        <w:t>2016</w:t>
      </w:r>
      <w:r>
        <w:rPr>
          <w:sz w:val="18"/>
        </w:rPr>
        <w:t>（</w:t>
      </w:r>
      <w:r>
        <w:rPr>
          <w:rFonts w:ascii="Times New Roman" w:eastAsia="Times New Roman"/>
          <w:sz w:val="18"/>
        </w:rPr>
        <w:t>2</w:t>
      </w:r>
      <w:r>
        <w:rPr>
          <w:sz w:val="18"/>
        </w:rPr>
        <w:t>）：</w:t>
      </w:r>
      <w:r>
        <w:rPr>
          <w:rFonts w:ascii="Times New Roman" w:eastAsia="Times New Roman"/>
          <w:sz w:val="18"/>
        </w:rPr>
        <w:t>1.</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3"/>
        <w:rPr>
          <w:rFonts w:ascii="Times New Roman"/>
          <w:sz w:val="11"/>
        </w:rPr>
      </w:pPr>
    </w:p>
    <w:p>
      <w:pPr>
        <w:pStyle w:val="BodyText"/>
        <w:spacing w:line="364" w:lineRule="auto" w:before="80"/>
        <w:ind w:left="1319" w:right="1457"/>
      </w:pPr>
      <w:r>
        <w:rPr/>
        <w:t>内涵，有助于矫正当前教育乱象并为明确基础教育功能定位提供支持。石鸥</w:t>
      </w:r>
      <w:hyperlink w:history="true" w:anchor="_bookmark100">
        <w:r>
          <w:rPr>
            <w:rFonts w:ascii="Times New Roman" w:eastAsia="Times New Roman"/>
            <w:position w:val="8"/>
            <w:sz w:val="15"/>
          </w:rPr>
          <w:t>[1</w:t>
        </w:r>
      </w:hyperlink>
      <w:r>
        <w:rPr>
          <w:rFonts w:ascii="Times New Roman" w:eastAsia="Times New Roman"/>
          <w:position w:val="8"/>
          <w:sz w:val="15"/>
        </w:rPr>
        <w:t>]</w:t>
      </w:r>
      <w:r>
        <w:rPr/>
        <w:t>、施久铭</w:t>
      </w:r>
      <w:r>
        <w:rPr>
          <w:rFonts w:ascii="Times New Roman" w:eastAsia="Times New Roman"/>
          <w:position w:val="8"/>
          <w:sz w:val="15"/>
        </w:rPr>
        <w:t>[</w:t>
      </w:r>
      <w:hyperlink w:history="true" w:anchor="_bookmark101">
        <w:r>
          <w:rPr>
            <w:rFonts w:ascii="Times New Roman" w:eastAsia="Times New Roman"/>
            <w:position w:val="8"/>
            <w:sz w:val="15"/>
          </w:rPr>
          <w:t>2</w:t>
        </w:r>
      </w:hyperlink>
      <w:r>
        <w:rPr>
          <w:rFonts w:ascii="Times New Roman" w:eastAsia="Times New Roman"/>
          <w:position w:val="8"/>
          <w:sz w:val="15"/>
        </w:rPr>
        <w:t>]</w:t>
      </w:r>
      <w:r>
        <w:rPr/>
        <w:t>等都基于核心素养对于我国基础教育课程改革的意义论证了核心素养研究的必要性，无论是课程设计还是课堂教学，都需要将核心素养作为顶层设计。</w:t>
      </w:r>
      <w:r>
        <w:rPr>
          <w:rFonts w:ascii="Times New Roman" w:eastAsia="Times New Roman"/>
        </w:rPr>
        <w:t>1.3.2.2.1.3 </w:t>
      </w:r>
      <w:r>
        <w:rPr/>
        <w:t>基于核心素养的课程改革研究</w:t>
      </w:r>
    </w:p>
    <w:p>
      <w:pPr>
        <w:pStyle w:val="BodyText"/>
        <w:spacing w:line="364" w:lineRule="auto" w:before="3"/>
        <w:ind w:left="1319" w:right="1575" w:firstLine="480"/>
        <w:jc w:val="both"/>
      </w:pPr>
      <w:r>
        <w:rPr>
          <w:spacing w:val="-10"/>
        </w:rPr>
        <w:t>从文献看来，我国学者围绕核心素养的课程体系开发、基于核心素养改进教学方法、基于核心素养的评价改革三方面探讨如何培养学生的核心素养。基于核</w:t>
      </w:r>
      <w:r>
        <w:rPr>
          <w:spacing w:val="-3"/>
        </w:rPr>
        <w:t>心素养的教学改革在研究数量上明显占优势，其中，高嵩</w:t>
      </w:r>
      <w:hyperlink w:history="true" w:anchor="_bookmark102">
        <w:r>
          <w:rPr>
            <w:rFonts w:ascii="Times New Roman" w:eastAsia="Times New Roman"/>
            <w:position w:val="8"/>
            <w:sz w:val="15"/>
          </w:rPr>
          <w:t>[3</w:t>
        </w:r>
      </w:hyperlink>
      <w:r>
        <w:rPr>
          <w:rFonts w:ascii="Times New Roman" w:eastAsia="Times New Roman"/>
          <w:position w:val="8"/>
          <w:sz w:val="15"/>
        </w:rPr>
        <w:t>]</w:t>
      </w:r>
      <w:r>
        <w:rPr>
          <w:spacing w:val="-2"/>
        </w:rPr>
        <w:t>等指出探究式教学为</w:t>
      </w:r>
      <w:r>
        <w:rPr>
          <w:spacing w:val="-7"/>
        </w:rPr>
        <w:t>核心素养的培养提供了有效手段，教学方式的改变势必带来学习方式的变化，并</w:t>
      </w:r>
      <w:r>
        <w:rPr>
          <w:spacing w:val="-6"/>
        </w:rPr>
        <w:t>进一步提出体验学习能促进素养形成。也有研究者将教学改革具体到各学科，如</w:t>
      </w:r>
      <w:r>
        <w:rPr/>
        <w:t>胡晓容</w:t>
      </w:r>
      <w:r>
        <w:rPr>
          <w:rFonts w:ascii="Times New Roman" w:eastAsia="Times New Roman"/>
          <w:position w:val="8"/>
          <w:sz w:val="15"/>
        </w:rPr>
        <w:t>[</w:t>
      </w:r>
      <w:hyperlink w:history="true" w:anchor="_bookmark103">
        <w:r>
          <w:rPr>
            <w:rFonts w:ascii="Times New Roman" w:eastAsia="Times New Roman"/>
            <w:position w:val="8"/>
            <w:sz w:val="15"/>
          </w:rPr>
          <w:t>4</w:t>
        </w:r>
      </w:hyperlink>
      <w:r>
        <w:rPr>
          <w:rFonts w:ascii="Times New Roman" w:eastAsia="Times New Roman"/>
          <w:position w:val="8"/>
          <w:sz w:val="15"/>
        </w:rPr>
        <w:t>]</w:t>
      </w:r>
      <w:r>
        <w:rPr/>
        <w:t>、张蕾</w:t>
      </w:r>
      <w:r>
        <w:rPr>
          <w:rFonts w:ascii="Times New Roman" w:eastAsia="Times New Roman"/>
          <w:position w:val="8"/>
          <w:sz w:val="15"/>
        </w:rPr>
        <w:t>[</w:t>
      </w:r>
      <w:hyperlink w:history="true" w:anchor="_bookmark104">
        <w:r>
          <w:rPr>
            <w:rFonts w:ascii="Times New Roman" w:eastAsia="Times New Roman"/>
            <w:position w:val="8"/>
            <w:sz w:val="15"/>
          </w:rPr>
          <w:t>5</w:t>
        </w:r>
      </w:hyperlink>
      <w:r>
        <w:rPr>
          <w:rFonts w:ascii="Times New Roman" w:eastAsia="Times New Roman"/>
          <w:position w:val="8"/>
          <w:sz w:val="15"/>
        </w:rPr>
        <w:t>]</w:t>
      </w:r>
      <w:r>
        <w:rPr/>
        <w:t>等。还有学者关注到了对核心素养的评价，如杨向东</w:t>
      </w:r>
      <w:r>
        <w:rPr>
          <w:rFonts w:ascii="Times New Roman" w:eastAsia="Times New Roman"/>
          <w:position w:val="8"/>
          <w:sz w:val="15"/>
        </w:rPr>
        <w:t>[</w:t>
      </w:r>
      <w:hyperlink w:history="true" w:anchor="_bookmark105">
        <w:r>
          <w:rPr>
            <w:rFonts w:ascii="Times New Roman" w:eastAsia="Times New Roman"/>
            <w:position w:val="8"/>
            <w:sz w:val="15"/>
          </w:rPr>
          <w:t>6</w:t>
        </w:r>
      </w:hyperlink>
      <w:r>
        <w:rPr>
          <w:rFonts w:ascii="Times New Roman" w:eastAsia="Times New Roman"/>
          <w:position w:val="8"/>
          <w:sz w:val="15"/>
        </w:rPr>
        <w:t>]</w:t>
      </w:r>
      <w:r>
        <w:rPr/>
        <w:t>辨析了</w:t>
      </w:r>
      <w:r>
        <w:rPr>
          <w:spacing w:val="-6"/>
        </w:rPr>
        <w:t>任务驱动的真实性评价和建构驱动的真实性评价，指出后者更为关注真实性学业</w:t>
      </w:r>
      <w:r>
        <w:rPr>
          <w:spacing w:val="-10"/>
        </w:rPr>
        <w:t>成就的内涵，其与核心素养具有很大的一致性，因此，可将这种评价在课程与教</w:t>
      </w:r>
      <w:r>
        <w:rPr/>
        <w:t>学中整合，促进学生核心素养发展。</w:t>
      </w:r>
    </w:p>
    <w:p>
      <w:pPr>
        <w:pStyle w:val="BodyText"/>
        <w:spacing w:line="364" w:lineRule="auto" w:before="5"/>
        <w:ind w:left="1319" w:right="1485" w:firstLine="480"/>
      </w:pPr>
      <w:r>
        <w:rPr>
          <w:spacing w:val="-9"/>
        </w:rPr>
        <w:t>相比之下，围绕核心素养课程体系开发的研究明显不足，只有少数学者提出</w:t>
      </w:r>
      <w:r>
        <w:rPr>
          <w:spacing w:val="-14"/>
        </w:rPr>
        <w:t>了当前课程体系改革的必要性，并对相关国际经验进行了研究。但教育作为一个</w:t>
      </w:r>
      <w:r>
        <w:rPr>
          <w:spacing w:val="-15"/>
        </w:rPr>
        <w:t>系统，不仅涉及课程体系开发，还应包括学习方式转变、对学业质量的评价等， </w:t>
      </w:r>
      <w:r>
        <w:rPr>
          <w:spacing w:val="-8"/>
        </w:rPr>
        <w:t>更离不开教师素质的提升，这些关键性研究的缺失严重影响了当前教育改革研究的深度，也体现出研究者在研究视域上的局限。</w:t>
      </w:r>
    </w:p>
    <w:p>
      <w:pPr>
        <w:pStyle w:val="BodyText"/>
        <w:spacing w:before="3"/>
        <w:ind w:left="1319"/>
      </w:pPr>
      <w:r>
        <w:rPr>
          <w:rFonts w:ascii="Times New Roman" w:eastAsia="Times New Roman"/>
        </w:rPr>
        <w:t>1.3.2.2.1.4 </w:t>
      </w:r>
      <w:r>
        <w:rPr/>
        <w:t>我国学者关于核心素养的国际经验介绍</w:t>
      </w:r>
    </w:p>
    <w:p>
      <w:pPr>
        <w:pStyle w:val="BodyText"/>
        <w:spacing w:line="364" w:lineRule="auto" w:before="161"/>
        <w:ind w:left="1319" w:right="1488" w:firstLine="480"/>
      </w:pPr>
      <w:r>
        <w:rPr>
          <w:spacing w:val="-9"/>
        </w:rPr>
        <w:t>第一，国际上相对具有代表性的核心素养观点的介绍。这一类研究在国际经</w:t>
      </w:r>
      <w:r>
        <w:rPr>
          <w:spacing w:val="-13"/>
        </w:rPr>
        <w:t>验介绍中占绝大部分，学者们主要对 </w:t>
      </w:r>
      <w:r>
        <w:rPr>
          <w:rFonts w:ascii="Times New Roman" w:eastAsia="Times New Roman"/>
        </w:rPr>
        <w:t>OECD</w:t>
      </w:r>
      <w:r>
        <w:rPr>
          <w:spacing w:val="-1"/>
        </w:rPr>
        <w:t>、欧盟、联合国教科文组织、美国、</w:t>
      </w:r>
      <w:r>
        <w:rPr>
          <w:spacing w:val="-4"/>
        </w:rPr>
        <w:t>日本等国际组织和发达国家的核心素养研究展开整体介绍，包括核心素养的提出</w:t>
      </w:r>
      <w:r>
        <w:rPr>
          <w:spacing w:val="-11"/>
        </w:rPr>
        <w:t>与发展、内涵特征等，最后提出对我国核心素养研究、基础教育改革等启示或建</w:t>
      </w:r>
    </w:p>
    <w:p>
      <w:pPr>
        <w:pStyle w:val="BodyText"/>
        <w:spacing w:before="5"/>
        <w:rPr>
          <w:sz w:val="9"/>
        </w:rPr>
      </w:pPr>
      <w:r>
        <w:rPr/>
        <w:pict>
          <v:shape style="position:absolute;margin-left:90pt;margin-top:8.013897pt;width:144pt;height:.1pt;mso-position-horizontal-relative:page;mso-position-vertical-relative:paragraph;z-index:-251624448;mso-wrap-distance-left:0;mso-wrap-distance-right:0" coordorigin="1800,160" coordsize="2880,0" path="m1800,160l4680,160e" filled="false" stroked="true" strokeweight="0pt" strokecolor="#000000">
            <v:path arrowok="t"/>
            <v:stroke dashstyle="solid"/>
            <w10:wrap type="topAndBottom"/>
          </v:shape>
        </w:pict>
      </w:r>
    </w:p>
    <w:p>
      <w:pPr>
        <w:spacing w:before="97"/>
        <w:ind w:left="1320" w:right="0" w:firstLine="0"/>
        <w:jc w:val="left"/>
        <w:rPr>
          <w:rFonts w:ascii="Times New Roman" w:eastAsia="Times New Roman"/>
          <w:sz w:val="18"/>
        </w:rPr>
      </w:pPr>
      <w:bookmarkStart w:name="_bookmark100" w:id="124"/>
      <w:bookmarkEnd w:id="124"/>
      <w:r>
        <w:rPr/>
      </w:r>
      <w:r>
        <w:rPr>
          <w:rFonts w:ascii="Times New Roman" w:eastAsia="Times New Roman"/>
          <w:position w:val="8"/>
          <w:sz w:val="15"/>
        </w:rPr>
        <w:t>[1] </w:t>
      </w:r>
      <w:r>
        <w:rPr>
          <w:sz w:val="18"/>
        </w:rPr>
        <w:t>石鸥</w:t>
      </w:r>
      <w:r>
        <w:rPr>
          <w:rFonts w:ascii="Times New Roman" w:eastAsia="Times New Roman"/>
          <w:sz w:val="18"/>
        </w:rPr>
        <w:t>.</w:t>
      </w:r>
      <w:r>
        <w:rPr>
          <w:sz w:val="18"/>
        </w:rPr>
        <w:t>核心素养的课程与教学价值</w:t>
      </w:r>
      <w:r>
        <w:rPr>
          <w:rFonts w:ascii="Times New Roman" w:eastAsia="Times New Roman"/>
          <w:sz w:val="18"/>
        </w:rPr>
        <w:t>[J].</w:t>
      </w:r>
      <w:r>
        <w:rPr>
          <w:sz w:val="18"/>
        </w:rPr>
        <w:t>华东师范大学学报</w:t>
      </w:r>
      <w:r>
        <w:rPr>
          <w:rFonts w:ascii="Times New Roman" w:eastAsia="Times New Roman"/>
          <w:sz w:val="18"/>
        </w:rPr>
        <w:t>(</w:t>
      </w:r>
      <w:r>
        <w:rPr>
          <w:sz w:val="18"/>
        </w:rPr>
        <w:t>教育科学版</w:t>
      </w:r>
      <w:r>
        <w:rPr>
          <w:rFonts w:ascii="Times New Roman" w:eastAsia="Times New Roman"/>
          <w:sz w:val="18"/>
        </w:rPr>
        <w:t>)</w:t>
      </w:r>
      <w:r>
        <w:rPr>
          <w:sz w:val="18"/>
        </w:rPr>
        <w:t>，</w:t>
      </w:r>
      <w:r>
        <w:rPr>
          <w:rFonts w:ascii="Times New Roman" w:eastAsia="Times New Roman"/>
          <w:sz w:val="18"/>
        </w:rPr>
        <w:t>2016</w:t>
      </w:r>
      <w:r>
        <w:rPr>
          <w:sz w:val="18"/>
        </w:rPr>
        <w:t>（</w:t>
      </w:r>
      <w:r>
        <w:rPr>
          <w:rFonts w:ascii="Times New Roman" w:eastAsia="Times New Roman"/>
          <w:sz w:val="18"/>
        </w:rPr>
        <w:t>1</w:t>
      </w:r>
      <w:r>
        <w:rPr>
          <w:sz w:val="18"/>
        </w:rPr>
        <w:t>）：</w:t>
      </w:r>
      <w:r>
        <w:rPr>
          <w:rFonts w:ascii="Times New Roman" w:eastAsia="Times New Roman"/>
          <w:sz w:val="18"/>
        </w:rPr>
        <w:t>9-11.</w:t>
      </w:r>
    </w:p>
    <w:p>
      <w:pPr>
        <w:spacing w:before="144"/>
        <w:ind w:left="1320" w:right="0" w:firstLine="0"/>
        <w:jc w:val="left"/>
        <w:rPr>
          <w:rFonts w:ascii="Times New Roman" w:hAnsi="Times New Roman" w:eastAsia="Times New Roman"/>
          <w:sz w:val="18"/>
        </w:rPr>
      </w:pPr>
      <w:bookmarkStart w:name="_bookmark101" w:id="125"/>
      <w:bookmarkEnd w:id="125"/>
      <w:r>
        <w:rPr/>
      </w:r>
      <w:r>
        <w:rPr>
          <w:rFonts w:ascii="Times New Roman" w:hAnsi="Times New Roman" w:eastAsia="Times New Roman"/>
          <w:position w:val="8"/>
          <w:sz w:val="15"/>
        </w:rPr>
        <w:t>[2] </w:t>
      </w:r>
      <w:r>
        <w:rPr>
          <w:sz w:val="18"/>
        </w:rPr>
        <w:t>施久铭</w:t>
      </w:r>
      <w:r>
        <w:rPr>
          <w:rFonts w:ascii="Times New Roman" w:hAnsi="Times New Roman" w:eastAsia="Times New Roman"/>
          <w:sz w:val="18"/>
        </w:rPr>
        <w:t>.</w:t>
      </w:r>
      <w:r>
        <w:rPr>
          <w:sz w:val="18"/>
        </w:rPr>
        <w:t>核心素养：为了培养“全面发展的人”</w:t>
      </w:r>
      <w:r>
        <w:rPr>
          <w:rFonts w:ascii="Times New Roman" w:hAnsi="Times New Roman" w:eastAsia="Times New Roman"/>
          <w:sz w:val="18"/>
        </w:rPr>
        <w:t>[J].</w:t>
      </w:r>
      <w:r>
        <w:rPr>
          <w:sz w:val="18"/>
        </w:rPr>
        <w:t>人民教育，</w:t>
      </w:r>
      <w:r>
        <w:rPr>
          <w:rFonts w:ascii="Times New Roman" w:hAnsi="Times New Roman" w:eastAsia="Times New Roman"/>
          <w:sz w:val="18"/>
        </w:rPr>
        <w:t>2014</w:t>
      </w:r>
      <w:r>
        <w:rPr>
          <w:sz w:val="18"/>
        </w:rPr>
        <w:t>（</w:t>
      </w:r>
      <w:r>
        <w:rPr>
          <w:rFonts w:ascii="Times New Roman" w:hAnsi="Times New Roman" w:eastAsia="Times New Roman"/>
          <w:sz w:val="18"/>
        </w:rPr>
        <w:t>10</w:t>
      </w:r>
      <w:r>
        <w:rPr>
          <w:sz w:val="18"/>
        </w:rPr>
        <w:t>）：</w:t>
      </w:r>
      <w:r>
        <w:rPr>
          <w:rFonts w:ascii="Times New Roman" w:hAnsi="Times New Roman" w:eastAsia="Times New Roman"/>
          <w:sz w:val="18"/>
        </w:rPr>
        <w:t>13-15.</w:t>
      </w:r>
    </w:p>
    <w:p>
      <w:pPr>
        <w:pStyle w:val="ListParagraph"/>
        <w:numPr>
          <w:ilvl w:val="0"/>
          <w:numId w:val="10"/>
        </w:numPr>
        <w:tabs>
          <w:tab w:pos="1589" w:val="left" w:leader="none"/>
        </w:tabs>
        <w:spacing w:line="240" w:lineRule="auto" w:before="143" w:after="0"/>
        <w:ind w:left="1588" w:right="0" w:hanging="269"/>
        <w:jc w:val="left"/>
        <w:rPr>
          <w:rFonts w:ascii="Times New Roman" w:eastAsia="Times New Roman"/>
          <w:sz w:val="18"/>
        </w:rPr>
      </w:pPr>
      <w:bookmarkStart w:name="_bookmark102" w:id="126"/>
      <w:bookmarkEnd w:id="126"/>
      <w:r>
        <w:rPr/>
      </w:r>
      <w:bookmarkStart w:name="_bookmark102" w:id="127"/>
      <w:bookmarkEnd w:id="127"/>
      <w:r>
        <w:rPr>
          <w:sz w:val="18"/>
        </w:rPr>
        <w:t>高嵩，李彦青</w:t>
      </w:r>
      <w:r>
        <w:rPr>
          <w:rFonts w:ascii="Times New Roman" w:eastAsia="Times New Roman"/>
          <w:sz w:val="18"/>
        </w:rPr>
        <w:t>.</w:t>
      </w:r>
      <w:r>
        <w:rPr>
          <w:sz w:val="18"/>
        </w:rPr>
        <w:t>基于核心素养的探究式教学</w:t>
      </w:r>
      <w:r>
        <w:rPr>
          <w:rFonts w:ascii="Times New Roman" w:eastAsia="Times New Roman"/>
          <w:sz w:val="18"/>
        </w:rPr>
        <w:t>[J].</w:t>
      </w:r>
      <w:r>
        <w:rPr>
          <w:sz w:val="18"/>
        </w:rPr>
        <w:t>物理教学探讨，</w:t>
      </w:r>
      <w:r>
        <w:rPr>
          <w:rFonts w:ascii="Times New Roman" w:eastAsia="Times New Roman"/>
          <w:sz w:val="18"/>
        </w:rPr>
        <w:t>2015</w:t>
      </w:r>
      <w:r>
        <w:rPr>
          <w:sz w:val="18"/>
        </w:rPr>
        <w:t>（</w:t>
      </w:r>
      <w:r>
        <w:rPr>
          <w:rFonts w:ascii="Times New Roman" w:eastAsia="Times New Roman"/>
          <w:sz w:val="18"/>
        </w:rPr>
        <w:t>8</w:t>
      </w:r>
      <w:r>
        <w:rPr>
          <w:sz w:val="18"/>
        </w:rPr>
        <w:t>）：</w:t>
      </w:r>
      <w:r>
        <w:rPr>
          <w:rFonts w:ascii="Times New Roman" w:eastAsia="Times New Roman"/>
          <w:sz w:val="18"/>
        </w:rPr>
        <w:t>1-3.</w:t>
      </w:r>
    </w:p>
    <w:p>
      <w:pPr>
        <w:pStyle w:val="ListParagraph"/>
        <w:numPr>
          <w:ilvl w:val="0"/>
          <w:numId w:val="10"/>
        </w:numPr>
        <w:tabs>
          <w:tab w:pos="1558" w:val="left" w:leader="none"/>
        </w:tabs>
        <w:spacing w:line="240" w:lineRule="auto" w:before="144" w:after="0"/>
        <w:ind w:left="1557" w:right="0" w:hanging="238"/>
        <w:jc w:val="left"/>
        <w:rPr>
          <w:rFonts w:ascii="Times New Roman" w:eastAsia="Times New Roman"/>
          <w:sz w:val="18"/>
        </w:rPr>
      </w:pPr>
      <w:bookmarkStart w:name="_bookmark103" w:id="128"/>
      <w:bookmarkEnd w:id="128"/>
      <w:r>
        <w:rPr/>
      </w:r>
      <w:bookmarkStart w:name="_bookmark103" w:id="129"/>
      <w:bookmarkEnd w:id="129"/>
      <w:r>
        <w:rPr>
          <w:sz w:val="18"/>
        </w:rPr>
        <w:t>胡晓容</w:t>
      </w:r>
      <w:r>
        <w:rPr>
          <w:rFonts w:ascii="Times New Roman" w:eastAsia="Times New Roman"/>
          <w:sz w:val="18"/>
        </w:rPr>
        <w:t>.</w:t>
      </w:r>
      <w:r>
        <w:rPr>
          <w:sz w:val="18"/>
        </w:rPr>
        <w:t>浅谈小学语文如何针对核心素养教学</w:t>
      </w:r>
      <w:r>
        <w:rPr>
          <w:rFonts w:ascii="Times New Roman" w:eastAsia="Times New Roman"/>
          <w:sz w:val="18"/>
        </w:rPr>
        <w:t>[J].</w:t>
      </w:r>
      <w:r>
        <w:rPr>
          <w:sz w:val="18"/>
        </w:rPr>
        <w:t>教育论坛，</w:t>
      </w:r>
      <w:r>
        <w:rPr>
          <w:rFonts w:ascii="Times New Roman" w:eastAsia="Times New Roman"/>
          <w:sz w:val="18"/>
        </w:rPr>
        <w:t>2015</w:t>
      </w:r>
      <w:r>
        <w:rPr>
          <w:sz w:val="18"/>
        </w:rPr>
        <w:t>（</w:t>
      </w:r>
      <w:r>
        <w:rPr>
          <w:rFonts w:ascii="Times New Roman" w:eastAsia="Times New Roman"/>
          <w:sz w:val="18"/>
        </w:rPr>
        <w:t>50</w:t>
      </w:r>
      <w:r>
        <w:rPr>
          <w:sz w:val="18"/>
        </w:rPr>
        <w:t>）：</w:t>
      </w:r>
      <w:r>
        <w:rPr>
          <w:rFonts w:ascii="Times New Roman" w:eastAsia="Times New Roman"/>
          <w:sz w:val="18"/>
        </w:rPr>
        <w:t>19.</w:t>
      </w:r>
    </w:p>
    <w:p>
      <w:pPr>
        <w:pStyle w:val="ListParagraph"/>
        <w:numPr>
          <w:ilvl w:val="0"/>
          <w:numId w:val="10"/>
        </w:numPr>
        <w:tabs>
          <w:tab w:pos="1558" w:val="left" w:leader="none"/>
        </w:tabs>
        <w:spacing w:line="386" w:lineRule="auto" w:before="142" w:after="0"/>
        <w:ind w:left="1319" w:right="1625" w:firstLine="0"/>
        <w:jc w:val="left"/>
        <w:rPr>
          <w:rFonts w:ascii="Times New Roman" w:hAnsi="Times New Roman" w:eastAsia="Times New Roman"/>
          <w:sz w:val="18"/>
        </w:rPr>
      </w:pPr>
      <w:bookmarkStart w:name="_bookmark104" w:id="130"/>
      <w:bookmarkEnd w:id="130"/>
      <w:r>
        <w:rPr/>
      </w:r>
      <w:bookmarkStart w:name="_bookmark104" w:id="131"/>
      <w:bookmarkEnd w:id="131"/>
      <w:r>
        <w:rPr>
          <w:sz w:val="18"/>
        </w:rPr>
        <w:t>张蕾</w:t>
      </w:r>
      <w:r>
        <w:rPr>
          <w:rFonts w:ascii="Times New Roman" w:hAnsi="Times New Roman" w:eastAsia="Times New Roman"/>
          <w:sz w:val="18"/>
        </w:rPr>
        <w:t>.</w:t>
      </w:r>
      <w:r>
        <w:rPr>
          <w:sz w:val="18"/>
        </w:rPr>
        <w:t>彰显学科特色，突出核心素养</w:t>
      </w:r>
      <w:r>
        <w:rPr>
          <w:rFonts w:ascii="Times New Roman" w:hAnsi="Times New Roman" w:eastAsia="Times New Roman"/>
          <w:sz w:val="18"/>
        </w:rPr>
        <w:t>——</w:t>
      </w:r>
      <w:r>
        <w:rPr>
          <w:sz w:val="18"/>
        </w:rPr>
        <w:t>试论“语文探究式教学”的有效实施</w:t>
      </w:r>
      <w:r>
        <w:rPr>
          <w:rFonts w:ascii="Times New Roman" w:hAnsi="Times New Roman" w:eastAsia="Times New Roman"/>
          <w:sz w:val="18"/>
        </w:rPr>
        <w:t>[J].</w:t>
      </w:r>
      <w:r>
        <w:rPr>
          <w:sz w:val="18"/>
        </w:rPr>
        <w:t>东北师大学报（</w:t>
      </w:r>
      <w:r>
        <w:rPr>
          <w:spacing w:val="-5"/>
          <w:sz w:val="18"/>
        </w:rPr>
        <w:t>哲学社</w:t>
      </w:r>
      <w:r>
        <w:rPr>
          <w:sz w:val="18"/>
        </w:rPr>
        <w:t>会科学版，</w:t>
      </w:r>
      <w:r>
        <w:rPr>
          <w:rFonts w:ascii="Times New Roman" w:hAnsi="Times New Roman" w:eastAsia="Times New Roman"/>
          <w:sz w:val="18"/>
        </w:rPr>
        <w:t>2015</w:t>
      </w:r>
      <w:r>
        <w:rPr>
          <w:sz w:val="18"/>
        </w:rPr>
        <w:t>（</w:t>
      </w:r>
      <w:r>
        <w:rPr>
          <w:rFonts w:ascii="Times New Roman" w:hAnsi="Times New Roman" w:eastAsia="Times New Roman"/>
          <w:sz w:val="18"/>
        </w:rPr>
        <w:t>6</w:t>
      </w:r>
      <w:r>
        <w:rPr>
          <w:sz w:val="18"/>
        </w:rPr>
        <w:t>）：</w:t>
      </w:r>
      <w:r>
        <w:rPr>
          <w:rFonts w:ascii="Times New Roman" w:hAnsi="Times New Roman" w:eastAsia="Times New Roman"/>
          <w:sz w:val="18"/>
        </w:rPr>
        <w:t>249-253.</w:t>
      </w:r>
    </w:p>
    <w:p>
      <w:pPr>
        <w:spacing w:line="254" w:lineRule="exact" w:before="0"/>
        <w:ind w:left="1319" w:right="0" w:firstLine="0"/>
        <w:jc w:val="left"/>
        <w:rPr>
          <w:rFonts w:ascii="Times New Roman" w:eastAsia="Times New Roman"/>
          <w:sz w:val="18"/>
        </w:rPr>
      </w:pPr>
      <w:bookmarkStart w:name="_bookmark105" w:id="132"/>
      <w:bookmarkEnd w:id="132"/>
      <w:r>
        <w:rPr/>
      </w:r>
      <w:r>
        <w:rPr>
          <w:rFonts w:ascii="Times New Roman" w:eastAsia="Times New Roman"/>
          <w:position w:val="8"/>
          <w:sz w:val="15"/>
        </w:rPr>
        <w:t>[6] </w:t>
      </w:r>
      <w:r>
        <w:rPr>
          <w:sz w:val="18"/>
        </w:rPr>
        <w:t>杨向东</w:t>
      </w:r>
      <w:r>
        <w:rPr>
          <w:rFonts w:ascii="Times New Roman" w:eastAsia="Times New Roman"/>
          <w:sz w:val="18"/>
        </w:rPr>
        <w:t>.</w:t>
      </w:r>
      <w:r>
        <w:rPr>
          <w:sz w:val="18"/>
        </w:rPr>
        <w:t>真实性评价之辩</w:t>
      </w:r>
      <w:r>
        <w:rPr>
          <w:rFonts w:ascii="Times New Roman" w:eastAsia="Times New Roman"/>
          <w:sz w:val="18"/>
        </w:rPr>
        <w:t>[J].</w:t>
      </w:r>
      <w:r>
        <w:rPr>
          <w:sz w:val="18"/>
        </w:rPr>
        <w:t>全球教育展望，</w:t>
      </w:r>
      <w:r>
        <w:rPr>
          <w:rFonts w:ascii="Times New Roman" w:eastAsia="Times New Roman"/>
          <w:sz w:val="18"/>
        </w:rPr>
        <w:t>2015</w:t>
      </w:r>
      <w:r>
        <w:rPr>
          <w:sz w:val="18"/>
        </w:rPr>
        <w:t>（</w:t>
      </w:r>
      <w:r>
        <w:rPr>
          <w:rFonts w:ascii="Times New Roman" w:eastAsia="Times New Roman"/>
          <w:sz w:val="18"/>
        </w:rPr>
        <w:t>5</w:t>
      </w:r>
      <w:r>
        <w:rPr>
          <w:sz w:val="18"/>
        </w:rPr>
        <w:t>）：</w:t>
      </w:r>
      <w:r>
        <w:rPr>
          <w:rFonts w:ascii="Times New Roman" w:eastAsia="Times New Roman"/>
          <w:sz w:val="18"/>
        </w:rPr>
        <w:t>36-49.</w:t>
      </w:r>
    </w:p>
    <w:p>
      <w:pPr>
        <w:spacing w:after="0" w:line="254" w:lineRule="exact"/>
        <w:jc w:val="left"/>
        <w:rPr>
          <w:rFonts w:ascii="Times New Roman" w:eastAsia="Times New Roman"/>
          <w:sz w:val="18"/>
        </w:rPr>
        <w:sectPr>
          <w:pgSz w:w="11910" w:h="16840"/>
          <w:pgMar w:header="878" w:footer="1191" w:top="1300" w:bottom="1380" w:left="480" w:right="220"/>
        </w:sectPr>
      </w:pPr>
    </w:p>
    <w:p>
      <w:pPr>
        <w:pStyle w:val="BodyText"/>
        <w:spacing w:before="3"/>
        <w:rPr>
          <w:rFonts w:ascii="Times New Roman"/>
          <w:sz w:val="11"/>
        </w:rPr>
      </w:pPr>
    </w:p>
    <w:p>
      <w:pPr>
        <w:spacing w:before="80"/>
        <w:ind w:left="1320" w:right="0" w:firstLine="0"/>
        <w:jc w:val="left"/>
        <w:rPr>
          <w:sz w:val="24"/>
        </w:rPr>
      </w:pPr>
      <w:r>
        <w:rPr>
          <w:sz w:val="24"/>
        </w:rPr>
        <w:t>议。如裴新宁和刘新阳</w:t>
      </w:r>
      <w:r>
        <w:rPr>
          <w:rFonts w:ascii="Times New Roman" w:eastAsia="Times New Roman"/>
          <w:position w:val="8"/>
          <w:sz w:val="15"/>
        </w:rPr>
        <w:t>[</w:t>
      </w:r>
      <w:hyperlink w:history="true" w:anchor="_bookmark106">
        <w:r>
          <w:rPr>
            <w:rFonts w:ascii="Times New Roman" w:eastAsia="Times New Roman"/>
            <w:position w:val="8"/>
            <w:sz w:val="15"/>
          </w:rPr>
          <w:t>1</w:t>
        </w:r>
      </w:hyperlink>
      <w:r>
        <w:rPr>
          <w:rFonts w:ascii="Times New Roman" w:eastAsia="Times New Roman"/>
          <w:position w:val="8"/>
          <w:sz w:val="15"/>
        </w:rPr>
        <w:t>]</w:t>
      </w:r>
      <w:r>
        <w:rPr>
          <w:sz w:val="24"/>
        </w:rPr>
        <w:t>、钟启泉</w:t>
      </w:r>
      <w:r>
        <w:rPr>
          <w:rFonts w:ascii="Times New Roman" w:eastAsia="Times New Roman"/>
          <w:position w:val="8"/>
          <w:sz w:val="15"/>
        </w:rPr>
        <w:t>[</w:t>
      </w:r>
      <w:hyperlink w:history="true" w:anchor="_bookmark107">
        <w:r>
          <w:rPr>
            <w:rFonts w:ascii="Times New Roman" w:eastAsia="Times New Roman"/>
            <w:position w:val="8"/>
            <w:sz w:val="15"/>
          </w:rPr>
          <w:t>2</w:t>
        </w:r>
      </w:hyperlink>
      <w:r>
        <w:rPr>
          <w:rFonts w:ascii="Times New Roman" w:eastAsia="Times New Roman"/>
          <w:position w:val="8"/>
          <w:sz w:val="15"/>
        </w:rPr>
        <w:t>]</w:t>
      </w:r>
      <w:r>
        <w:rPr>
          <w:sz w:val="24"/>
        </w:rPr>
        <w:t>、张娜</w:t>
      </w:r>
      <w:r>
        <w:rPr>
          <w:rFonts w:ascii="Times New Roman" w:eastAsia="Times New Roman"/>
          <w:position w:val="8"/>
          <w:sz w:val="15"/>
        </w:rPr>
        <w:t>[</w:t>
      </w:r>
      <w:hyperlink w:history="true" w:anchor="_bookmark108">
        <w:r>
          <w:rPr>
            <w:rFonts w:ascii="Times New Roman" w:eastAsia="Times New Roman"/>
            <w:position w:val="8"/>
            <w:sz w:val="15"/>
          </w:rPr>
          <w:t>3</w:t>
        </w:r>
      </w:hyperlink>
      <w:r>
        <w:rPr>
          <w:rFonts w:ascii="Times New Roman" w:eastAsia="Times New Roman"/>
          <w:position w:val="8"/>
          <w:sz w:val="15"/>
        </w:rPr>
        <w:t>]</w:t>
      </w:r>
      <w:r>
        <w:rPr>
          <w:sz w:val="24"/>
        </w:rPr>
        <w:t>等。</w:t>
      </w:r>
    </w:p>
    <w:p>
      <w:pPr>
        <w:pStyle w:val="BodyText"/>
        <w:spacing w:line="364" w:lineRule="auto" w:before="161"/>
        <w:ind w:left="1319" w:right="1457" w:firstLine="480"/>
      </w:pPr>
      <w:r>
        <w:rPr>
          <w:spacing w:val="-15"/>
        </w:rPr>
        <w:t>第二，基于核心素养课程体系建构的国际经验介绍。蔡文艺</w:t>
      </w:r>
      <w:hyperlink w:history="true" w:anchor="_bookmark109">
        <w:r>
          <w:rPr>
            <w:position w:val="12"/>
            <w:sz w:val="12"/>
          </w:rPr>
          <w:t>[4</w:t>
        </w:r>
      </w:hyperlink>
      <w:r>
        <w:rPr>
          <w:position w:val="12"/>
          <w:sz w:val="12"/>
        </w:rPr>
        <w:t>]</w:t>
      </w:r>
      <w:r>
        <w:rPr>
          <w:spacing w:val="-13"/>
        </w:rPr>
        <w:t>等以苏格兰“卓</w:t>
      </w:r>
      <w:r>
        <w:rPr>
          <w:spacing w:val="-12"/>
        </w:rPr>
        <w:t>越课程”为例，详细阐述了苏格兰以“核心素养”为中心，制定标准和落实标准</w:t>
      </w:r>
      <w:r>
        <w:rPr>
          <w:spacing w:val="-18"/>
        </w:rPr>
        <w:t>的过程。苏格兰从“具有”怎样的特征和“能够”做什么两方面阐述了核心素养， </w:t>
      </w:r>
      <w:r>
        <w:rPr>
          <w:spacing w:val="-5"/>
        </w:rPr>
        <w:t>并设计了八个相互关联的课程领域以及“经验和结果”的五级成就标准和评价以</w:t>
      </w:r>
      <w:r>
        <w:rPr>
          <w:spacing w:val="-8"/>
        </w:rPr>
        <w:t>落实核心素养的培养。尹小霞和徐继存</w:t>
      </w:r>
      <w:r>
        <w:rPr>
          <w:rFonts w:ascii="Times New Roman" w:hAnsi="Times New Roman" w:eastAsia="Times New Roman"/>
          <w:position w:val="8"/>
          <w:sz w:val="15"/>
        </w:rPr>
        <w:t>[</w:t>
      </w:r>
      <w:hyperlink w:history="true" w:anchor="_bookmark110">
        <w:r>
          <w:rPr>
            <w:rFonts w:ascii="Times New Roman" w:hAnsi="Times New Roman" w:eastAsia="Times New Roman"/>
            <w:position w:val="8"/>
            <w:sz w:val="15"/>
          </w:rPr>
          <w:t>5</w:t>
        </w:r>
      </w:hyperlink>
      <w:r>
        <w:rPr>
          <w:rFonts w:ascii="Times New Roman" w:hAnsi="Times New Roman" w:eastAsia="Times New Roman"/>
          <w:position w:val="8"/>
          <w:sz w:val="15"/>
        </w:rPr>
        <w:t>]</w:t>
      </w:r>
      <w:r>
        <w:rPr/>
        <w:t>系统介绍了西班牙基于学生核心素养的</w:t>
      </w:r>
      <w:r>
        <w:rPr>
          <w:spacing w:val="-6"/>
        </w:rPr>
        <w:t>基础教育课程体系的构建过程，包括确立学生发展核心素养、修订各学段的教育</w:t>
      </w:r>
      <w:r>
        <w:rPr>
          <w:spacing w:val="-10"/>
        </w:rPr>
        <w:t>目标、完善课程标准、规定课程目标等。另外，还有学者以研究综述的形式呈现了多个国家核心素养构建模式，如王烨晖</w:t>
      </w:r>
      <w:r>
        <w:rPr>
          <w:rFonts w:ascii="Times New Roman" w:hAnsi="Times New Roman" w:eastAsia="Times New Roman"/>
          <w:spacing w:val="-10"/>
          <w:position w:val="8"/>
          <w:sz w:val="15"/>
        </w:rPr>
        <w:t>[</w:t>
      </w:r>
      <w:hyperlink w:history="true" w:anchor="_bookmark111">
        <w:r>
          <w:rPr>
            <w:rFonts w:ascii="Times New Roman" w:hAnsi="Times New Roman" w:eastAsia="Times New Roman"/>
            <w:spacing w:val="-10"/>
            <w:position w:val="8"/>
            <w:sz w:val="15"/>
          </w:rPr>
          <w:t>6</w:t>
        </w:r>
      </w:hyperlink>
      <w:r>
        <w:rPr>
          <w:rFonts w:ascii="Times New Roman" w:hAnsi="Times New Roman" w:eastAsia="Times New Roman"/>
          <w:spacing w:val="-10"/>
          <w:position w:val="8"/>
          <w:sz w:val="15"/>
        </w:rPr>
        <w:t>]</w:t>
      </w:r>
      <w:r>
        <w:rPr>
          <w:spacing w:val="-10"/>
        </w:rPr>
        <w:t>、常珊珊</w:t>
      </w:r>
      <w:r>
        <w:rPr>
          <w:rFonts w:ascii="Times New Roman" w:hAnsi="Times New Roman" w:eastAsia="Times New Roman"/>
          <w:spacing w:val="-10"/>
          <w:position w:val="8"/>
          <w:sz w:val="15"/>
        </w:rPr>
        <w:t>[</w:t>
      </w:r>
      <w:hyperlink w:history="true" w:anchor="_bookmark112">
        <w:r>
          <w:rPr>
            <w:rFonts w:ascii="Times New Roman" w:hAnsi="Times New Roman" w:eastAsia="Times New Roman"/>
            <w:spacing w:val="-10"/>
            <w:position w:val="8"/>
            <w:sz w:val="15"/>
          </w:rPr>
          <w:t>7</w:t>
        </w:r>
      </w:hyperlink>
      <w:r>
        <w:rPr>
          <w:rFonts w:ascii="Times New Roman" w:hAnsi="Times New Roman" w:eastAsia="Times New Roman"/>
          <w:spacing w:val="-10"/>
          <w:position w:val="8"/>
          <w:sz w:val="15"/>
        </w:rPr>
        <w:t>]</w:t>
      </w:r>
      <w:r>
        <w:rPr>
          <w:spacing w:val="-10"/>
        </w:rPr>
        <w:t>等，为我国基于核心素养的课程建设提供了一条切实可行的研究思路。</w:t>
      </w:r>
    </w:p>
    <w:p>
      <w:pPr>
        <w:pStyle w:val="ListParagraph"/>
        <w:numPr>
          <w:ilvl w:val="4"/>
          <w:numId w:val="3"/>
        </w:numPr>
        <w:tabs>
          <w:tab w:pos="2220" w:val="left" w:leader="none"/>
        </w:tabs>
        <w:spacing w:line="240" w:lineRule="auto" w:before="5" w:after="0"/>
        <w:ind w:left="2220" w:right="0" w:hanging="901"/>
        <w:jc w:val="left"/>
        <w:rPr>
          <w:sz w:val="24"/>
        </w:rPr>
      </w:pPr>
      <w:r>
        <w:rPr>
          <w:sz w:val="24"/>
        </w:rPr>
        <w:t>有关核心素养的实践研究</w:t>
      </w:r>
    </w:p>
    <w:p>
      <w:pPr>
        <w:pStyle w:val="BodyText"/>
        <w:spacing w:line="364" w:lineRule="auto" w:before="161"/>
        <w:ind w:left="1319" w:right="1577" w:firstLine="480"/>
      </w:pPr>
      <w:r>
        <w:rPr>
          <w:spacing w:val="-6"/>
        </w:rPr>
        <w:t>由于我国对核心素养的研究起步较晚，理论方面的研究成果不少，但实践层</w:t>
      </w:r>
      <w:r>
        <w:rPr/>
        <w:t>面仍有广阔的发展空间。</w:t>
      </w:r>
    </w:p>
    <w:p>
      <w:pPr>
        <w:pStyle w:val="BodyText"/>
        <w:spacing w:line="364" w:lineRule="auto" w:before="1"/>
        <w:ind w:left="1319" w:right="1485" w:firstLine="480"/>
      </w:pPr>
      <w:r>
        <w:rPr>
          <w:spacing w:val="-1"/>
        </w:rPr>
        <w:t>我国培养学生核心素养的实践主要依靠部分学校的自主改革。从文献来看， </w:t>
      </w:r>
      <w:r>
        <w:rPr>
          <w:spacing w:val="-6"/>
        </w:rPr>
        <w:t>清华大学附属小学自 </w:t>
      </w:r>
      <w:r>
        <w:rPr>
          <w:rFonts w:ascii="Times New Roman" w:eastAsia="Times New Roman"/>
        </w:rPr>
        <w:t>2010 </w:t>
      </w:r>
      <w:r>
        <w:rPr/>
        <w:t>年以来就致力于研究本校学生发展的核心素养；夏雪梅</w:t>
      </w:r>
      <w:r>
        <w:rPr>
          <w:rFonts w:ascii="Times New Roman" w:eastAsia="Times New Roman"/>
          <w:position w:val="8"/>
          <w:sz w:val="15"/>
        </w:rPr>
        <w:t>[</w:t>
      </w:r>
      <w:hyperlink w:history="true" w:anchor="_bookmark113">
        <w:r>
          <w:rPr>
            <w:rFonts w:ascii="Times New Roman" w:eastAsia="Times New Roman"/>
            <w:position w:val="8"/>
            <w:sz w:val="15"/>
          </w:rPr>
          <w:t>8</w:t>
        </w:r>
      </w:hyperlink>
      <w:r>
        <w:rPr>
          <w:rFonts w:ascii="Times New Roman" w:eastAsia="Times New Roman"/>
          <w:position w:val="8"/>
          <w:sz w:val="15"/>
        </w:rPr>
        <w:t>]</w:t>
      </w:r>
      <w:r>
        <w:rPr>
          <w:spacing w:val="-12"/>
        </w:rPr>
        <w:t>呈现了对 </w:t>
      </w:r>
      <w:r>
        <w:rPr>
          <w:rFonts w:ascii="Times New Roman" w:eastAsia="Times New Roman"/>
        </w:rPr>
        <w:t>S </w:t>
      </w:r>
      <w:r>
        <w:rPr>
          <w:spacing w:val="-5"/>
        </w:rPr>
        <w:t>小学的校本课程干预，使该校课程与核心素养的一致关联性从原</w:t>
      </w:r>
      <w:r>
        <w:rPr>
          <w:spacing w:val="-6"/>
        </w:rPr>
        <w:t>有的无关联的碎片课程上升到实质关联的课程。随着《中国学生发展核心素养》</w:t>
      </w:r>
      <w:r>
        <w:rPr>
          <w:spacing w:val="-8"/>
        </w:rPr>
        <w:t>的公布，越来越多的学校基于学生、教师、家长，并结合学校实际，开发该校的核心素养体系，培养学生的核心素养，将对核心素养的研究推向一个高潮。</w:t>
      </w:r>
    </w:p>
    <w:p>
      <w:pPr>
        <w:pStyle w:val="BodyText"/>
        <w:spacing w:line="364" w:lineRule="auto" w:before="4"/>
        <w:ind w:left="1319" w:right="1577" w:firstLine="480"/>
      </w:pPr>
      <w:r>
        <w:rPr>
          <w:spacing w:val="-7"/>
        </w:rPr>
        <w:t>与大陆地区相比，我国台湾地区较早开展对核心素养的研究。目前，已经实</w:t>
      </w:r>
      <w:r>
        <w:rPr/>
        <w:t>现核心素养到课程的转换，（</w:t>
      </w:r>
      <w:r>
        <w:rPr>
          <w:spacing w:val="2"/>
        </w:rPr>
        <w:t>见图 </w:t>
      </w:r>
      <w:r>
        <w:rPr>
          <w:rFonts w:ascii="Times New Roman" w:eastAsia="Times New Roman"/>
        </w:rPr>
        <w:t>1.2</w:t>
      </w:r>
      <w:r>
        <w:rPr/>
        <w:t>）</w:t>
      </w:r>
      <w:hyperlink w:history="true" w:anchor="_bookmark114">
        <w:r>
          <w:rPr>
            <w:rFonts w:ascii="Times New Roman" w:eastAsia="Times New Roman"/>
            <w:position w:val="8"/>
            <w:sz w:val="15"/>
          </w:rPr>
          <w:t>[9</w:t>
        </w:r>
      </w:hyperlink>
      <w:r>
        <w:rPr>
          <w:rFonts w:ascii="Times New Roman" w:eastAsia="Times New Roman"/>
          <w:position w:val="8"/>
          <w:sz w:val="15"/>
        </w:rPr>
        <w:t>]</w:t>
      </w:r>
      <w:r>
        <w:rPr/>
        <w:t>并将核心素养全面渗透于基础教育课</w:t>
      </w:r>
    </w:p>
    <w:p>
      <w:pPr>
        <w:pStyle w:val="BodyText"/>
        <w:spacing w:before="10"/>
        <w:rPr>
          <w:sz w:val="12"/>
        </w:rPr>
      </w:pPr>
      <w:r>
        <w:rPr/>
        <w:pict>
          <v:shape style="position:absolute;margin-left:90pt;margin-top:10.148896pt;width:144pt;height:.1pt;mso-position-horizontal-relative:page;mso-position-vertical-relative:paragraph;z-index:-251623424;mso-wrap-distance-left:0;mso-wrap-distance-right:0" coordorigin="1800,203" coordsize="2880,0" path="m1800,203l4680,203e" filled="false" stroked="true" strokeweight="0pt" strokecolor="#000000">
            <v:path arrowok="t"/>
            <v:stroke dashstyle="solid"/>
            <w10:wrap type="topAndBottom"/>
          </v:shape>
        </w:pict>
      </w:r>
    </w:p>
    <w:p>
      <w:pPr>
        <w:spacing w:before="98"/>
        <w:ind w:left="1320" w:right="0" w:firstLine="0"/>
        <w:jc w:val="left"/>
        <w:rPr>
          <w:rFonts w:ascii="Times New Roman" w:hAnsi="Times New Roman" w:eastAsia="Times New Roman"/>
          <w:sz w:val="18"/>
        </w:rPr>
      </w:pPr>
      <w:bookmarkStart w:name="_bookmark106" w:id="133"/>
      <w:bookmarkEnd w:id="133"/>
      <w:r>
        <w:rPr/>
      </w:r>
      <w:r>
        <w:rPr>
          <w:rFonts w:ascii="Times New Roman" w:hAnsi="Times New Roman" w:eastAsia="Times New Roman"/>
          <w:position w:val="8"/>
          <w:sz w:val="15"/>
        </w:rPr>
        <w:t>[1]  </w:t>
      </w:r>
      <w:r>
        <w:rPr>
          <w:sz w:val="18"/>
        </w:rPr>
        <w:t>裴新宁等</w:t>
      </w:r>
      <w:r>
        <w:rPr>
          <w:rFonts w:ascii="Times New Roman" w:hAnsi="Times New Roman" w:eastAsia="Times New Roman"/>
          <w:sz w:val="18"/>
        </w:rPr>
        <w:t>.</w:t>
      </w:r>
      <w:r>
        <w:rPr>
          <w:spacing w:val="-23"/>
          <w:sz w:val="18"/>
        </w:rPr>
        <w:t>为 </w:t>
      </w:r>
      <w:r>
        <w:rPr>
          <w:rFonts w:ascii="Times New Roman" w:hAnsi="Times New Roman" w:eastAsia="Times New Roman"/>
          <w:sz w:val="18"/>
        </w:rPr>
        <w:t>21</w:t>
      </w:r>
      <w:r>
        <w:rPr>
          <w:rFonts w:ascii="Times New Roman" w:hAnsi="Times New Roman" w:eastAsia="Times New Roman"/>
          <w:spacing w:val="-4"/>
          <w:sz w:val="18"/>
        </w:rPr>
        <w:t> </w:t>
      </w:r>
      <w:r>
        <w:rPr>
          <w:sz w:val="18"/>
        </w:rPr>
        <w:t>世纪重建教育</w:t>
      </w:r>
      <w:r>
        <w:rPr>
          <w:rFonts w:ascii="Times New Roman" w:hAnsi="Times New Roman" w:eastAsia="Times New Roman"/>
          <w:sz w:val="18"/>
        </w:rPr>
        <w:t>——</w:t>
      </w:r>
      <w:r>
        <w:rPr>
          <w:sz w:val="18"/>
        </w:rPr>
        <w:t>欧盟</w:t>
      </w:r>
      <w:r>
        <w:rPr>
          <w:rFonts w:ascii="Times New Roman" w:hAnsi="Times New Roman" w:eastAsia="Times New Roman"/>
          <w:sz w:val="18"/>
        </w:rPr>
        <w:t>“</w:t>
      </w:r>
      <w:r>
        <w:rPr>
          <w:sz w:val="18"/>
        </w:rPr>
        <w:t>核心素养</w:t>
      </w:r>
      <w:r>
        <w:rPr>
          <w:rFonts w:ascii="Times New Roman" w:hAnsi="Times New Roman" w:eastAsia="Times New Roman"/>
          <w:sz w:val="18"/>
        </w:rPr>
        <w:t>”</w:t>
      </w:r>
      <w:r>
        <w:rPr>
          <w:sz w:val="18"/>
        </w:rPr>
        <w:t>框架的确立</w:t>
      </w:r>
      <w:r>
        <w:rPr>
          <w:rFonts w:ascii="Times New Roman" w:hAnsi="Times New Roman" w:eastAsia="Times New Roman"/>
          <w:sz w:val="18"/>
        </w:rPr>
        <w:t>[J].</w:t>
      </w:r>
      <w:r>
        <w:rPr>
          <w:sz w:val="18"/>
        </w:rPr>
        <w:t>全球教育展望，</w:t>
      </w:r>
      <w:r>
        <w:rPr>
          <w:rFonts w:ascii="Times New Roman" w:hAnsi="Times New Roman" w:eastAsia="Times New Roman"/>
          <w:sz w:val="18"/>
        </w:rPr>
        <w:t>2013</w:t>
      </w:r>
      <w:r>
        <w:rPr>
          <w:sz w:val="18"/>
        </w:rPr>
        <w:t>（</w:t>
      </w:r>
      <w:r>
        <w:rPr>
          <w:rFonts w:ascii="Times New Roman" w:hAnsi="Times New Roman" w:eastAsia="Times New Roman"/>
          <w:sz w:val="18"/>
        </w:rPr>
        <w:t>12</w:t>
      </w:r>
      <w:r>
        <w:rPr>
          <w:sz w:val="18"/>
        </w:rPr>
        <w:t>）：</w:t>
      </w:r>
      <w:r>
        <w:rPr>
          <w:rFonts w:ascii="Times New Roman" w:hAnsi="Times New Roman" w:eastAsia="Times New Roman"/>
          <w:sz w:val="18"/>
        </w:rPr>
        <w:t>89—102.</w:t>
      </w:r>
    </w:p>
    <w:p>
      <w:pPr>
        <w:spacing w:before="143"/>
        <w:ind w:left="1319" w:right="0" w:firstLine="0"/>
        <w:jc w:val="left"/>
        <w:rPr>
          <w:rFonts w:ascii="Times New Roman" w:hAnsi="Times New Roman" w:eastAsia="Times New Roman"/>
          <w:sz w:val="18"/>
        </w:rPr>
      </w:pPr>
      <w:bookmarkStart w:name="_bookmark107" w:id="134"/>
      <w:bookmarkEnd w:id="134"/>
      <w:r>
        <w:rPr/>
      </w:r>
      <w:r>
        <w:rPr>
          <w:rFonts w:ascii="Times New Roman" w:hAnsi="Times New Roman" w:eastAsia="Times New Roman"/>
          <w:position w:val="8"/>
          <w:sz w:val="15"/>
        </w:rPr>
        <w:t>[2] </w:t>
      </w:r>
      <w:r>
        <w:rPr>
          <w:sz w:val="18"/>
        </w:rPr>
        <w:t>钟启泉</w:t>
      </w:r>
      <w:r>
        <w:rPr>
          <w:rFonts w:ascii="Times New Roman" w:hAnsi="Times New Roman" w:eastAsia="Times New Roman"/>
          <w:sz w:val="18"/>
        </w:rPr>
        <w:t>.</w:t>
      </w:r>
      <w:r>
        <w:rPr>
          <w:sz w:val="18"/>
        </w:rPr>
        <w:t>日本“学力”念的演进</w:t>
      </w:r>
      <w:r>
        <w:rPr>
          <w:rFonts w:ascii="Times New Roman" w:hAnsi="Times New Roman" w:eastAsia="Times New Roman"/>
          <w:sz w:val="18"/>
        </w:rPr>
        <w:t>[J].</w:t>
      </w:r>
      <w:r>
        <w:rPr>
          <w:sz w:val="18"/>
        </w:rPr>
        <w:t>教育探究，</w:t>
      </w:r>
      <w:r>
        <w:rPr>
          <w:rFonts w:ascii="Times New Roman" w:hAnsi="Times New Roman" w:eastAsia="Times New Roman"/>
          <w:sz w:val="18"/>
        </w:rPr>
        <w:t>2014</w:t>
      </w:r>
      <w:r>
        <w:rPr>
          <w:sz w:val="18"/>
        </w:rPr>
        <w:t>（</w:t>
      </w:r>
      <w:r>
        <w:rPr>
          <w:rFonts w:ascii="Times New Roman" w:hAnsi="Times New Roman" w:eastAsia="Times New Roman"/>
          <w:sz w:val="18"/>
        </w:rPr>
        <w:t>2</w:t>
      </w:r>
      <w:r>
        <w:rPr>
          <w:sz w:val="18"/>
        </w:rPr>
        <w:t>）：</w:t>
      </w:r>
      <w:r>
        <w:rPr>
          <w:rFonts w:ascii="Times New Roman" w:hAnsi="Times New Roman" w:eastAsia="Times New Roman"/>
          <w:sz w:val="18"/>
        </w:rPr>
        <w:t>1-7.</w:t>
      </w:r>
    </w:p>
    <w:p>
      <w:pPr>
        <w:pStyle w:val="ListParagraph"/>
        <w:numPr>
          <w:ilvl w:val="0"/>
          <w:numId w:val="11"/>
        </w:numPr>
        <w:tabs>
          <w:tab w:pos="1558" w:val="left" w:leader="none"/>
        </w:tabs>
        <w:spacing w:line="240" w:lineRule="auto" w:before="144" w:after="0"/>
        <w:ind w:left="1557" w:right="0" w:hanging="239"/>
        <w:jc w:val="left"/>
        <w:rPr>
          <w:rFonts w:ascii="Times New Roman" w:eastAsia="Times New Roman"/>
          <w:sz w:val="18"/>
        </w:rPr>
      </w:pPr>
      <w:bookmarkStart w:name="_bookmark108" w:id="135"/>
      <w:bookmarkEnd w:id="135"/>
      <w:r>
        <w:rPr/>
      </w:r>
      <w:bookmarkStart w:name="_bookmark108" w:id="136"/>
      <w:bookmarkEnd w:id="136"/>
      <w:r>
        <w:rPr>
          <w:sz w:val="18"/>
        </w:rPr>
        <w:t>张娜</w:t>
      </w:r>
      <w:r>
        <w:rPr>
          <w:rFonts w:ascii="Times New Roman" w:eastAsia="Times New Roman"/>
          <w:sz w:val="18"/>
        </w:rPr>
        <w:t>.DeSeCo </w:t>
      </w:r>
      <w:r>
        <w:rPr>
          <w:sz w:val="18"/>
        </w:rPr>
        <w:t>项目关于核心素养的研究及启示</w:t>
      </w:r>
      <w:r>
        <w:rPr>
          <w:rFonts w:ascii="Times New Roman" w:eastAsia="Times New Roman"/>
          <w:sz w:val="18"/>
        </w:rPr>
        <w:t>[J].</w:t>
      </w:r>
      <w:r>
        <w:rPr>
          <w:sz w:val="18"/>
        </w:rPr>
        <w:t>教育科学研究，</w:t>
      </w:r>
      <w:r>
        <w:rPr>
          <w:rFonts w:ascii="Times New Roman" w:eastAsia="Times New Roman"/>
          <w:sz w:val="18"/>
        </w:rPr>
        <w:t>2013</w:t>
      </w:r>
      <w:r>
        <w:rPr>
          <w:sz w:val="18"/>
        </w:rPr>
        <w:t>（</w:t>
      </w:r>
      <w:r>
        <w:rPr>
          <w:rFonts w:ascii="Times New Roman" w:eastAsia="Times New Roman"/>
          <w:sz w:val="18"/>
        </w:rPr>
        <w:t>10</w:t>
      </w:r>
      <w:r>
        <w:rPr>
          <w:sz w:val="18"/>
        </w:rPr>
        <w:t>）：</w:t>
      </w:r>
      <w:r>
        <w:rPr>
          <w:rFonts w:ascii="Times New Roman" w:eastAsia="Times New Roman"/>
          <w:sz w:val="18"/>
        </w:rPr>
        <w:t>39-45.</w:t>
      </w:r>
    </w:p>
    <w:p>
      <w:pPr>
        <w:pStyle w:val="ListParagraph"/>
        <w:numPr>
          <w:ilvl w:val="0"/>
          <w:numId w:val="11"/>
        </w:numPr>
        <w:tabs>
          <w:tab w:pos="1558" w:val="left" w:leader="none"/>
        </w:tabs>
        <w:spacing w:line="240" w:lineRule="auto" w:before="142" w:after="0"/>
        <w:ind w:left="1557" w:right="0" w:hanging="239"/>
        <w:jc w:val="left"/>
        <w:rPr>
          <w:rFonts w:ascii="Times New Roman" w:hAnsi="Times New Roman" w:eastAsia="Times New Roman"/>
          <w:sz w:val="18"/>
        </w:rPr>
      </w:pPr>
      <w:bookmarkStart w:name="_bookmark109" w:id="137"/>
      <w:bookmarkEnd w:id="137"/>
      <w:r>
        <w:rPr/>
      </w:r>
      <w:bookmarkStart w:name="_bookmark109" w:id="138"/>
      <w:bookmarkEnd w:id="138"/>
      <w:r>
        <w:rPr>
          <w:sz w:val="18"/>
        </w:rPr>
        <w:t>蔡文艺</w:t>
      </w:r>
      <w:r>
        <w:rPr>
          <w:rFonts w:ascii="Times New Roman" w:hAnsi="Times New Roman" w:eastAsia="Times New Roman"/>
          <w:sz w:val="18"/>
        </w:rPr>
        <w:t>.</w:t>
      </w:r>
      <w:r>
        <w:rPr>
          <w:sz w:val="18"/>
        </w:rPr>
        <w:t>以“核心素养”为中心的课程设计</w:t>
      </w:r>
      <w:r>
        <w:rPr>
          <w:rFonts w:ascii="Times New Roman" w:hAnsi="Times New Roman" w:eastAsia="Times New Roman"/>
          <w:sz w:val="18"/>
        </w:rPr>
        <w:t>——</w:t>
      </w:r>
      <w:r>
        <w:rPr>
          <w:sz w:val="18"/>
        </w:rPr>
        <w:t>苏格兰的经验和启示</w:t>
      </w:r>
      <w:r>
        <w:rPr>
          <w:rFonts w:ascii="Times New Roman" w:hAnsi="Times New Roman" w:eastAsia="Times New Roman"/>
          <w:sz w:val="18"/>
        </w:rPr>
        <w:t>[J].</w:t>
      </w:r>
      <w:r>
        <w:rPr>
          <w:sz w:val="18"/>
        </w:rPr>
        <w:t>辽宁教育，</w:t>
      </w:r>
      <w:r>
        <w:rPr>
          <w:rFonts w:ascii="Times New Roman" w:hAnsi="Times New Roman" w:eastAsia="Times New Roman"/>
          <w:sz w:val="18"/>
        </w:rPr>
        <w:t>2014</w:t>
      </w:r>
      <w:r>
        <w:rPr>
          <w:sz w:val="18"/>
        </w:rPr>
        <w:t>（</w:t>
      </w:r>
      <w:r>
        <w:rPr>
          <w:rFonts w:ascii="Times New Roman" w:hAnsi="Times New Roman" w:eastAsia="Times New Roman"/>
          <w:sz w:val="18"/>
        </w:rPr>
        <w:t>7</w:t>
      </w:r>
      <w:r>
        <w:rPr>
          <w:sz w:val="18"/>
        </w:rPr>
        <w:t>）：</w:t>
      </w:r>
      <w:r>
        <w:rPr>
          <w:rFonts w:ascii="Times New Roman" w:hAnsi="Times New Roman" w:eastAsia="Times New Roman"/>
          <w:sz w:val="18"/>
        </w:rPr>
        <w:t>87-90.</w:t>
      </w:r>
    </w:p>
    <w:p>
      <w:pPr>
        <w:pStyle w:val="ListParagraph"/>
        <w:numPr>
          <w:ilvl w:val="0"/>
          <w:numId w:val="11"/>
        </w:numPr>
        <w:tabs>
          <w:tab w:pos="1558" w:val="left" w:leader="none"/>
        </w:tabs>
        <w:spacing w:line="240" w:lineRule="auto" w:before="145" w:after="0"/>
        <w:ind w:left="1557" w:right="0" w:hanging="239"/>
        <w:jc w:val="left"/>
        <w:rPr>
          <w:rFonts w:ascii="Times New Roman" w:eastAsia="Times New Roman"/>
          <w:sz w:val="18"/>
        </w:rPr>
      </w:pPr>
      <w:bookmarkStart w:name="_bookmark110" w:id="139"/>
      <w:bookmarkEnd w:id="139"/>
      <w:r>
        <w:rPr/>
      </w:r>
      <w:bookmarkStart w:name="_bookmark110" w:id="140"/>
      <w:bookmarkEnd w:id="140"/>
      <w:r>
        <w:rPr>
          <w:sz w:val="18"/>
        </w:rPr>
        <w:t>尹小霞</w:t>
      </w:r>
      <w:r>
        <w:rPr>
          <w:rFonts w:ascii="Times New Roman" w:eastAsia="Times New Roman"/>
          <w:sz w:val="18"/>
        </w:rPr>
        <w:t>,</w:t>
      </w:r>
      <w:r>
        <w:rPr>
          <w:sz w:val="18"/>
        </w:rPr>
        <w:t>徐继存</w:t>
      </w:r>
      <w:r>
        <w:rPr>
          <w:rFonts w:ascii="Times New Roman" w:eastAsia="Times New Roman"/>
          <w:sz w:val="18"/>
        </w:rPr>
        <w:t>.</w:t>
      </w:r>
      <w:r>
        <w:rPr>
          <w:sz w:val="18"/>
        </w:rPr>
        <w:t>西班牙基于学生核心素养的基础教育课程体系构建</w:t>
      </w:r>
      <w:r>
        <w:rPr>
          <w:rFonts w:ascii="Times New Roman" w:eastAsia="Times New Roman"/>
          <w:sz w:val="18"/>
        </w:rPr>
        <w:t>[J].</w:t>
      </w:r>
      <w:r>
        <w:rPr>
          <w:spacing w:val="-1"/>
          <w:sz w:val="18"/>
        </w:rPr>
        <w:t>比较教育研究，</w:t>
      </w:r>
      <w:r>
        <w:rPr>
          <w:rFonts w:ascii="Times New Roman" w:eastAsia="Times New Roman"/>
          <w:spacing w:val="-7"/>
          <w:sz w:val="18"/>
        </w:rPr>
        <w:t>2016</w:t>
      </w:r>
      <w:r>
        <w:rPr>
          <w:spacing w:val="-7"/>
          <w:sz w:val="18"/>
        </w:rPr>
        <w:t>（</w:t>
      </w:r>
      <w:r>
        <w:rPr>
          <w:rFonts w:ascii="Times New Roman" w:eastAsia="Times New Roman"/>
          <w:spacing w:val="-7"/>
          <w:sz w:val="18"/>
        </w:rPr>
        <w:t>2</w:t>
      </w:r>
      <w:r>
        <w:rPr>
          <w:spacing w:val="-7"/>
          <w:sz w:val="18"/>
        </w:rPr>
        <w:t>）：</w:t>
      </w:r>
      <w:r>
        <w:rPr>
          <w:rFonts w:ascii="Times New Roman" w:eastAsia="Times New Roman"/>
          <w:spacing w:val="-7"/>
          <w:sz w:val="18"/>
        </w:rPr>
        <w:t>94-100.</w:t>
      </w:r>
    </w:p>
    <w:p>
      <w:pPr>
        <w:pStyle w:val="ListParagraph"/>
        <w:numPr>
          <w:ilvl w:val="0"/>
          <w:numId w:val="11"/>
        </w:numPr>
        <w:tabs>
          <w:tab w:pos="1577" w:val="left" w:leader="none"/>
        </w:tabs>
        <w:spacing w:line="240" w:lineRule="auto" w:before="142" w:after="0"/>
        <w:ind w:left="1576" w:right="0" w:hanging="258"/>
        <w:jc w:val="left"/>
        <w:rPr>
          <w:rFonts w:ascii="Times New Roman" w:eastAsia="Times New Roman"/>
          <w:sz w:val="18"/>
        </w:rPr>
      </w:pPr>
      <w:bookmarkStart w:name="_bookmark111" w:id="141"/>
      <w:bookmarkEnd w:id="141"/>
      <w:r>
        <w:rPr/>
      </w:r>
      <w:bookmarkStart w:name="_bookmark111" w:id="142"/>
      <w:bookmarkEnd w:id="142"/>
      <w:r>
        <w:rPr>
          <w:sz w:val="18"/>
        </w:rPr>
        <w:t>王烨晖</w:t>
      </w:r>
      <w:r>
        <w:rPr>
          <w:rFonts w:ascii="Times New Roman" w:eastAsia="Times New Roman"/>
          <w:sz w:val="18"/>
        </w:rPr>
        <w:t>,</w:t>
      </w:r>
      <w:r>
        <w:rPr>
          <w:sz w:val="18"/>
        </w:rPr>
        <w:t>辛涛</w:t>
      </w:r>
      <w:r>
        <w:rPr>
          <w:rFonts w:ascii="Times New Roman" w:eastAsia="Times New Roman"/>
          <w:sz w:val="18"/>
        </w:rPr>
        <w:t>.</w:t>
      </w:r>
      <w:r>
        <w:rPr>
          <w:sz w:val="18"/>
        </w:rPr>
        <w:t>国际学生核心素养构建模式的启示</w:t>
      </w:r>
      <w:r>
        <w:rPr>
          <w:rFonts w:ascii="Times New Roman" w:eastAsia="Times New Roman"/>
          <w:sz w:val="18"/>
        </w:rPr>
        <w:t>[J].</w:t>
      </w:r>
      <w:r>
        <w:rPr>
          <w:sz w:val="18"/>
        </w:rPr>
        <w:t>中小学管理，</w:t>
      </w:r>
      <w:r>
        <w:rPr>
          <w:rFonts w:ascii="Times New Roman" w:eastAsia="Times New Roman"/>
          <w:sz w:val="18"/>
        </w:rPr>
        <w:t>2015</w:t>
      </w:r>
      <w:r>
        <w:rPr>
          <w:sz w:val="18"/>
        </w:rPr>
        <w:t>（</w:t>
      </w:r>
      <w:r>
        <w:rPr>
          <w:rFonts w:ascii="Times New Roman" w:eastAsia="Times New Roman"/>
          <w:sz w:val="18"/>
        </w:rPr>
        <w:t>05</w:t>
      </w:r>
      <w:r>
        <w:rPr>
          <w:sz w:val="18"/>
        </w:rPr>
        <w:t>）：</w:t>
      </w:r>
      <w:r>
        <w:rPr>
          <w:rFonts w:ascii="Times New Roman" w:eastAsia="Times New Roman"/>
          <w:sz w:val="18"/>
        </w:rPr>
        <w:t>22-24.</w:t>
      </w:r>
    </w:p>
    <w:p>
      <w:pPr>
        <w:pStyle w:val="ListParagraph"/>
        <w:numPr>
          <w:ilvl w:val="0"/>
          <w:numId w:val="11"/>
        </w:numPr>
        <w:tabs>
          <w:tab w:pos="1577" w:val="left" w:leader="none"/>
        </w:tabs>
        <w:spacing w:line="240" w:lineRule="auto" w:before="144" w:after="0"/>
        <w:ind w:left="1576" w:right="0" w:hanging="258"/>
        <w:jc w:val="left"/>
        <w:rPr>
          <w:rFonts w:ascii="Times New Roman" w:eastAsia="Times New Roman"/>
          <w:sz w:val="18"/>
        </w:rPr>
      </w:pPr>
      <w:bookmarkStart w:name="_bookmark112" w:id="143"/>
      <w:bookmarkEnd w:id="143"/>
      <w:r>
        <w:rPr/>
      </w:r>
      <w:bookmarkStart w:name="_bookmark112" w:id="144"/>
      <w:bookmarkEnd w:id="144"/>
      <w:r>
        <w:rPr>
          <w:sz w:val="18"/>
        </w:rPr>
        <w:t>常珊珊</w:t>
      </w:r>
      <w:r>
        <w:rPr>
          <w:rFonts w:ascii="Times New Roman" w:eastAsia="Times New Roman"/>
          <w:sz w:val="18"/>
        </w:rPr>
        <w:t>,</w:t>
      </w:r>
      <w:r>
        <w:rPr>
          <w:sz w:val="18"/>
        </w:rPr>
        <w:t>李佳清</w:t>
      </w:r>
      <w:r>
        <w:rPr>
          <w:rFonts w:ascii="Times New Roman" w:eastAsia="Times New Roman"/>
          <w:sz w:val="18"/>
        </w:rPr>
        <w:t>.</w:t>
      </w:r>
      <w:r>
        <w:rPr>
          <w:sz w:val="18"/>
        </w:rPr>
        <w:t>课程改革深化背景下的核心素养体系建构</w:t>
      </w:r>
      <w:r>
        <w:rPr>
          <w:rFonts w:ascii="Times New Roman" w:eastAsia="Times New Roman"/>
          <w:sz w:val="18"/>
        </w:rPr>
        <w:t>[J].</w:t>
      </w:r>
      <w:r>
        <w:rPr>
          <w:sz w:val="18"/>
        </w:rPr>
        <w:t>课程教材教法，</w:t>
      </w:r>
      <w:r>
        <w:rPr>
          <w:rFonts w:ascii="Times New Roman" w:eastAsia="Times New Roman"/>
          <w:sz w:val="18"/>
        </w:rPr>
        <w:t>2015</w:t>
      </w:r>
      <w:r>
        <w:rPr>
          <w:sz w:val="18"/>
        </w:rPr>
        <w:t>（</w:t>
      </w:r>
      <w:r>
        <w:rPr>
          <w:rFonts w:ascii="Times New Roman" w:eastAsia="Times New Roman"/>
          <w:sz w:val="18"/>
        </w:rPr>
        <w:t>9</w:t>
      </w:r>
      <w:r>
        <w:rPr>
          <w:sz w:val="18"/>
        </w:rPr>
        <w:t>）：</w:t>
      </w:r>
      <w:r>
        <w:rPr>
          <w:rFonts w:ascii="Times New Roman" w:eastAsia="Times New Roman"/>
          <w:sz w:val="18"/>
        </w:rPr>
        <w:t>29-35.</w:t>
      </w:r>
    </w:p>
    <w:p>
      <w:pPr>
        <w:pStyle w:val="ListParagraph"/>
        <w:numPr>
          <w:ilvl w:val="0"/>
          <w:numId w:val="11"/>
        </w:numPr>
        <w:tabs>
          <w:tab w:pos="1558" w:val="left" w:leader="none"/>
        </w:tabs>
        <w:spacing w:line="240" w:lineRule="auto" w:before="143" w:after="0"/>
        <w:ind w:left="1557" w:right="0" w:hanging="239"/>
        <w:jc w:val="left"/>
        <w:rPr>
          <w:rFonts w:ascii="Times New Roman" w:eastAsia="Times New Roman"/>
          <w:sz w:val="18"/>
        </w:rPr>
      </w:pPr>
      <w:bookmarkStart w:name="_bookmark113" w:id="145"/>
      <w:bookmarkEnd w:id="145"/>
      <w:r>
        <w:rPr/>
      </w:r>
      <w:bookmarkStart w:name="_bookmark113" w:id="146"/>
      <w:bookmarkEnd w:id="146"/>
      <w:r>
        <w:rPr>
          <w:sz w:val="18"/>
        </w:rPr>
        <w:t>夏雪梅</w:t>
      </w:r>
      <w:r>
        <w:rPr>
          <w:rFonts w:ascii="Times New Roman" w:eastAsia="Times New Roman"/>
          <w:sz w:val="18"/>
        </w:rPr>
        <w:t>.</w:t>
      </w:r>
      <w:r>
        <w:rPr>
          <w:sz w:val="18"/>
        </w:rPr>
        <w:t>基于学生核心素养的学校课程建设：水平划分与干预实例</w:t>
      </w:r>
      <w:r>
        <w:rPr>
          <w:rFonts w:ascii="Times New Roman" w:eastAsia="Times New Roman"/>
          <w:sz w:val="18"/>
        </w:rPr>
        <w:t>[J].</w:t>
      </w:r>
      <w:r>
        <w:rPr>
          <w:sz w:val="18"/>
        </w:rPr>
        <w:t>课程教材教法，</w:t>
      </w:r>
      <w:r>
        <w:rPr>
          <w:rFonts w:ascii="Times New Roman" w:eastAsia="Times New Roman"/>
          <w:sz w:val="18"/>
        </w:rPr>
        <w:t>2013</w:t>
      </w:r>
      <w:r>
        <w:rPr>
          <w:sz w:val="18"/>
        </w:rPr>
        <w:t>（</w:t>
      </w:r>
      <w:r>
        <w:rPr>
          <w:rFonts w:ascii="Times New Roman" w:eastAsia="Times New Roman"/>
          <w:sz w:val="18"/>
        </w:rPr>
        <w:t>7</w:t>
      </w:r>
      <w:r>
        <w:rPr>
          <w:sz w:val="18"/>
        </w:rPr>
        <w:t>）：</w:t>
      </w:r>
      <w:r>
        <w:rPr>
          <w:rFonts w:ascii="Times New Roman" w:eastAsia="Times New Roman"/>
          <w:sz w:val="18"/>
        </w:rPr>
        <w:t>11-16.</w:t>
      </w:r>
    </w:p>
    <w:p>
      <w:pPr>
        <w:pStyle w:val="ListParagraph"/>
        <w:numPr>
          <w:ilvl w:val="0"/>
          <w:numId w:val="11"/>
        </w:numPr>
        <w:tabs>
          <w:tab w:pos="1577" w:val="left" w:leader="none"/>
        </w:tabs>
        <w:spacing w:line="240" w:lineRule="auto" w:before="144" w:after="0"/>
        <w:ind w:left="1576" w:right="0" w:hanging="258"/>
        <w:jc w:val="left"/>
        <w:rPr>
          <w:rFonts w:ascii="Times New Roman" w:eastAsia="Times New Roman"/>
          <w:sz w:val="18"/>
        </w:rPr>
      </w:pPr>
      <w:bookmarkStart w:name="_bookmark114" w:id="147"/>
      <w:bookmarkEnd w:id="147"/>
      <w:r>
        <w:rPr/>
      </w:r>
      <w:bookmarkStart w:name="_bookmark114" w:id="148"/>
      <w:bookmarkEnd w:id="148"/>
      <w:r>
        <w:rPr>
          <w:sz w:val="18"/>
        </w:rPr>
        <w:t>蔡清田</w:t>
      </w:r>
      <w:r>
        <w:rPr>
          <w:rFonts w:ascii="Times New Roman" w:eastAsia="Times New Roman"/>
          <w:sz w:val="18"/>
        </w:rPr>
        <w:t>.</w:t>
      </w:r>
      <w:r>
        <w:rPr>
          <w:sz w:val="18"/>
        </w:rPr>
        <w:t>台湾十二年国民基本教育课程改革的核心素养</w:t>
      </w:r>
      <w:r>
        <w:rPr>
          <w:rFonts w:ascii="Times New Roman" w:eastAsia="Times New Roman"/>
          <w:sz w:val="18"/>
        </w:rPr>
        <w:t>[J].</w:t>
      </w:r>
      <w:r>
        <w:rPr>
          <w:sz w:val="18"/>
        </w:rPr>
        <w:t>上海教育科研，</w:t>
      </w:r>
      <w:r>
        <w:rPr>
          <w:rFonts w:ascii="Times New Roman" w:eastAsia="Times New Roman"/>
          <w:sz w:val="18"/>
        </w:rPr>
        <w:t>2015</w:t>
      </w:r>
      <w:r>
        <w:rPr>
          <w:sz w:val="18"/>
        </w:rPr>
        <w:t>（</w:t>
      </w:r>
      <w:r>
        <w:rPr>
          <w:rFonts w:ascii="Times New Roman" w:eastAsia="Times New Roman"/>
          <w:sz w:val="18"/>
        </w:rPr>
        <w:t>4</w:t>
      </w:r>
      <w:r>
        <w:rPr>
          <w:sz w:val="18"/>
        </w:rPr>
        <w:t>）：</w:t>
      </w:r>
      <w:r>
        <w:rPr>
          <w:rFonts w:ascii="Times New Roman" w:eastAsia="Times New Roman"/>
          <w:sz w:val="18"/>
        </w:rPr>
        <w:t>6-9.</w:t>
      </w:r>
    </w:p>
    <w:p>
      <w:pPr>
        <w:spacing w:after="0" w:line="240" w:lineRule="auto"/>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575"/>
        <w:jc w:val="both"/>
      </w:pPr>
      <w:bookmarkStart w:name="_bookmark115" w:id="149"/>
      <w:bookmarkEnd w:id="149"/>
      <w:r>
        <w:rPr/>
      </w:r>
      <w:r>
        <w:rPr>
          <w:spacing w:val="-11"/>
        </w:rPr>
        <w:t>程体系中。具体而言，“领域</w:t>
      </w:r>
      <w:r>
        <w:rPr/>
        <w:t>/科目核心素养指九项核心素养在各领域/</w:t>
      </w:r>
      <w:r>
        <w:rPr>
          <w:spacing w:val="-4"/>
        </w:rPr>
        <w:t>科目内的</w:t>
      </w:r>
      <w:r>
        <w:rPr>
          <w:spacing w:val="-3"/>
        </w:rPr>
        <w:t>展现及内涵，引导各领域</w:t>
      </w:r>
      <w:r>
        <w:rPr/>
        <w:t>/</w:t>
      </w:r>
      <w:r>
        <w:rPr>
          <w:spacing w:val="-9"/>
        </w:rPr>
        <w:t>科目“学习重点”的发展。“领域</w:t>
      </w:r>
      <w:r>
        <w:rPr/>
        <w:t>/</w:t>
      </w:r>
      <w:r>
        <w:rPr>
          <w:spacing w:val="-5"/>
        </w:rPr>
        <w:t>科目学习重点”由</w:t>
      </w:r>
      <w:r>
        <w:rPr>
          <w:spacing w:val="-11"/>
        </w:rPr>
        <w:t>“学习表现”与“学习内容”两个向度组合交织而成，用以引导课程设计、教材</w:t>
      </w:r>
      <w:r>
        <w:rPr/>
        <w:t>发展、教科书审查及学习评量等，并能呼应核心素养的呈现”。</w:t>
      </w:r>
    </w:p>
    <w:p>
      <w:pPr>
        <w:pStyle w:val="BodyText"/>
        <w:rPr>
          <w:sz w:val="20"/>
        </w:rPr>
      </w:pPr>
    </w:p>
    <w:p>
      <w:pPr>
        <w:pStyle w:val="BodyText"/>
        <w:spacing w:before="7"/>
        <w:rPr>
          <w:sz w:val="23"/>
        </w:rPr>
      </w:pPr>
      <w:r>
        <w:rPr/>
        <w:pict>
          <v:group style="position:absolute;margin-left:90.900002pt;margin-top:17.061445pt;width:412.15pt;height:184.35pt;mso-position-horizontal-relative:page;mso-position-vertical-relative:paragraph;z-index:-251615232;mso-wrap-distance-left:0;mso-wrap-distance-right:0" coordorigin="1818,341" coordsize="8243,3687">
            <v:shape style="position:absolute;left:2246;top:1063;width:1302;height:552" coordorigin="2246,1063" coordsize="1302,552" path="m3542,1615l2252,1615,2250,1615,2248,1613,2246,1612,2246,1609,2246,1069,2246,1067,2248,1065,2250,1064,2252,1063,3542,1063,3544,1064,3546,1065,3548,1067,3548,1069,2258,1069,2252,1075,2258,1075,2258,1603,2252,1603,2258,1609,3548,1609,3548,1612,3546,1613,3544,1615,3542,1615xm2258,1075l2252,1075,2258,1069,2258,1075xm3536,1075l2258,1075,2258,1069,3536,1069,3536,1075xm3536,1609l3536,1069,3542,1075,3548,1075,3548,1603,3542,1603,3536,1609xm3548,1075l3542,1075,3536,1069,3548,1069,3548,1075xm2258,1609l2252,1603,2258,1603,2258,1609xm3536,1609l2258,1609,2258,1603,3536,1603,3536,1609xm3548,1609l3536,1609,3542,1603,3548,1603,3548,1609xe" filled="true" fillcolor="#000000" stroked="false">
              <v:path arrowok="t"/>
              <v:fill type="solid"/>
            </v:shape>
            <v:shape style="position:absolute;left:1818;top:341;width:5235;height:2757" type="#_x0000_t75" stroked="false">
              <v:imagedata r:id="rId29" o:title=""/>
            </v:shape>
            <v:shape style="position:absolute;left:7120;top:1481;width:2941;height:642" coordorigin="7120,1481" coordsize="2941,642" path="m10055,2123l7126,2123,7124,2123,7122,2121,7120,2120,7120,2117,7120,1487,7120,1485,7122,1483,7124,1482,7126,1481,10055,1481,10057,1482,10059,1483,10061,1485,10061,1487,7132,1487,7126,1493,7132,1493,7132,2111,7126,2111,7132,2117,10061,2117,10061,2120,10059,2121,10057,2123,10055,2123xm7132,1493l7126,1493,7132,1487,7132,1493xm10049,1493l7132,1493,7132,1487,10049,1487,10049,1493xm10049,2117l10049,1487,10055,1493,10061,1493,10061,2111,10055,2111,10049,2117xm10061,1493l10055,1493,10049,1487,10061,1487,10061,1493xm7132,2117l7126,2111,7132,2111,7132,2117xm10049,2117l7132,2117,7132,2111,10049,2111,10049,2117xm10061,2117l10049,2117,10055,2111,10061,2111,10061,2117xe" filled="true" fillcolor="#000000" stroked="false">
              <v:path arrowok="t"/>
              <v:fill type="solid"/>
            </v:shape>
            <v:shape style="position:absolute;left:7072;top:3251;width:2950;height:777" coordorigin="7072,3251" coordsize="2950,777" path="m10016,4028l7078,4028,7076,4028,7074,4026,7072,4025,7072,4022,7072,3257,7072,3255,7074,3253,7076,3252,7078,3251,10016,3251,10018,3252,10020,3253,10022,3255,10022,3257,7084,3257,7078,3263,7084,3263,7084,4016,7078,4016,7084,4022,10022,4022,10022,4025,10020,4026,10018,4028,10016,4028xm7084,3263l7078,3263,7084,3257,7084,3263xm10010,3263l7084,3263,7084,3257,10010,3257,10010,3263xm10010,4022l10010,3257,10016,3263,10022,3263,10022,4016,10016,4016,10010,4022xm10022,3263l10016,3263,10010,3257,10022,3257,10022,3263xm7084,4022l7078,4016,7084,4016,7084,4022xm10010,4022l7084,4022,7084,4016,10010,4016,10010,4022xm10022,4022l10010,4022,10016,4016,10022,4016,10022,4022xe" filled="true" fillcolor="#000000" stroked="false">
              <v:path arrowok="t"/>
              <v:fill type="solid"/>
            </v:shape>
            <v:shape style="position:absolute;left:6332;top:3199;width:679;height:407" coordorigin="6332,3199" coordsize="679,407" path="m6412,3336l6409,3336,6407,3334,6405,3332,6332,3199,6435,3200,6349,3200,6341,3213,6365,3228,6418,3325,6419,3327,6419,3330,6418,3333,6416,3334,6414,3336,6412,3336xm6365,3228l6341,3213,6349,3200,6353,3203,6351,3203,6345,3214,6358,3215,6365,3228xm6484,3216l6372,3215,6349,3200,6435,3200,6484,3201,6486,3202,6489,3203,6490,3205,6491,3207,6491,3210,6490,3212,6488,3214,6486,3216,6484,3216xm6358,3215l6345,3214,6351,3203,6358,3215xm6372,3215l6358,3215,6351,3203,6353,3203,6372,3215xm6985,3591l6971,3591,6365,3228,6358,3215,6372,3215,6978,3578,6985,3591xm7010,3605l6994,3605,7002,3592,6978,3578,6925,3480,6924,3478,6924,3475,6925,3473,6927,3471,6929,3470,6931,3469,6934,3470,6936,3471,6938,3473,7010,3605xm6996,3602l6992,3602,6998,3591,6985,3591,6978,3578,7002,3592,6996,3602xm7011,3606l6859,3604,6857,3604,6854,3603,6853,3601,6852,3598,6852,3596,6853,3593,6855,3591,6857,3590,6859,3589,6971,3591,6994,3605,7010,3605,7011,3606xm6994,3605l6971,3591,6985,3591,6992,3602,6996,3602,6994,3605xm6992,3602l6985,3591,6998,3591,6992,3602xe" filled="true" fillcolor="#000000" stroked="false">
              <v:path arrowok="t"/>
              <v:fill type="solid"/>
            </v:shape>
            <v:shape style="position:absolute;left:8504;top:2239;width:155;height:990" coordorigin="8505,2239" coordsize="155,990" path="m8512,2382l8509,2381,8507,2380,8505,2378,8505,2375,8505,2373,8506,2370,8582,2239,8591,2254,8574,2254,8574,2282,8518,2378,8517,2380,8515,2381,8512,2382xm8574,2282l8574,2254,8589,2254,8589,2258,8576,2258,8582,2269,8574,2282xm8652,2382l8649,2381,8647,2380,8645,2378,8589,2282,8589,2254,8591,2254,8658,2370,8659,2373,8659,2375,8659,2378,8657,2380,8655,2381,8652,2382xm8582,2269l8576,2258,8588,2258,8582,2269xm8589,2282l8582,2269,8588,2258,8589,2258,8589,2282xm8582,3199l8574,3187,8574,2282,8582,2269,8589,2282,8589,3187,8582,3199xm8582,3229l8506,3098,8505,3096,8505,3093,8505,3091,8507,3089,8509,3087,8512,3087,8515,3087,8517,3089,8519,3091,8574,3187,8574,3214,8591,3214,8582,3229xm8591,3214l8589,3214,8589,3187,8646,3091,8647,3089,8649,3087,8652,3087,8655,3087,8657,3089,8659,3091,8659,3093,8659,3096,8658,3098,8591,3214xm8589,3214l8574,3214,8574,3187,8582,3199,8576,3211,8589,3211,8589,3214xm8589,3211l8588,3211,8582,3199,8589,3187,8589,3211xm8588,3211l8576,3211,8582,3199,8588,3211xe" filled="true" fillcolor="#000000" stroked="false">
              <v:path arrowok="t"/>
              <v:fill type="solid"/>
            </v:shape>
            <v:shape style="position:absolute;left:4720;top:461;width:1460;height:240" type="#_x0000_t202" filled="false" stroked="false">
              <v:textbox inset="0,0,0,0">
                <w:txbxContent>
                  <w:p>
                    <w:pPr>
                      <w:spacing w:line="240" w:lineRule="exact" w:before="0"/>
                      <w:ind w:left="0" w:right="0" w:firstLine="0"/>
                      <w:jc w:val="left"/>
                      <w:rPr>
                        <w:sz w:val="24"/>
                      </w:rPr>
                    </w:pPr>
                    <w:r>
                      <w:rPr>
                        <w:sz w:val="24"/>
                      </w:rPr>
                      <w:t>国民核心素养</w:t>
                    </w:r>
                  </w:p>
                </w:txbxContent>
              </v:textbox>
              <w10:wrap type="none"/>
            </v:shape>
            <v:shape style="position:absolute;left:2611;top:1181;width:500;height:240" type="#_x0000_t202" filled="false" stroked="false">
              <v:textbox inset="0,0,0,0">
                <w:txbxContent>
                  <w:p>
                    <w:pPr>
                      <w:spacing w:line="240" w:lineRule="exact" w:before="0"/>
                      <w:ind w:left="0" w:right="0" w:firstLine="0"/>
                      <w:jc w:val="left"/>
                      <w:rPr>
                        <w:sz w:val="24"/>
                      </w:rPr>
                    </w:pPr>
                    <w:r>
                      <w:rPr>
                        <w:sz w:val="24"/>
                      </w:rPr>
                      <w:t>总纲</w:t>
                    </w:r>
                  </w:p>
                </w:txbxContent>
              </v:textbox>
              <w10:wrap type="none"/>
            </v:shape>
            <v:shape style="position:absolute;left:4497;top:1510;width:2180;height:240" type="#_x0000_t202" filled="false" stroked="false">
              <v:textbox inset="0,0,0,0">
                <w:txbxContent>
                  <w:p>
                    <w:pPr>
                      <w:spacing w:line="240" w:lineRule="exact" w:before="0"/>
                      <w:ind w:left="0" w:right="0" w:firstLine="0"/>
                      <w:jc w:val="left"/>
                      <w:rPr>
                        <w:sz w:val="24"/>
                      </w:rPr>
                    </w:pPr>
                    <w:r>
                      <w:rPr>
                        <w:sz w:val="24"/>
                      </w:rPr>
                      <w:t>各教育阶段核心素养</w:t>
                    </w:r>
                  </w:p>
                </w:txbxContent>
              </v:textbox>
              <w10:wrap type="none"/>
            </v:shape>
            <v:shape style="position:absolute;left:7356;top:1670;width:2488;height:266" type="#_x0000_t202" filled="false" stroked="false">
              <v:textbox inset="0,0,0,0">
                <w:txbxContent>
                  <w:p>
                    <w:pPr>
                      <w:spacing w:line="266" w:lineRule="exact" w:before="0"/>
                      <w:ind w:left="0" w:right="0" w:firstLine="0"/>
                      <w:jc w:val="left"/>
                      <w:rPr>
                        <w:sz w:val="24"/>
                      </w:rPr>
                    </w:pPr>
                    <w:r>
                      <w:rPr>
                        <w:sz w:val="24"/>
                      </w:rPr>
                      <w:t>各领域</w:t>
                    </w:r>
                    <w:r>
                      <w:rPr>
                        <w:rFonts w:ascii="Times New Roman" w:eastAsia="Times New Roman"/>
                        <w:sz w:val="24"/>
                      </w:rPr>
                      <w:t>/</w:t>
                    </w:r>
                    <w:r>
                      <w:rPr>
                        <w:sz w:val="24"/>
                      </w:rPr>
                      <w:t>科目理念与目标</w:t>
                    </w:r>
                  </w:p>
                </w:txbxContent>
              </v:textbox>
              <w10:wrap type="none"/>
            </v:shape>
            <v:shape style="position:absolute;left:1972;top:2566;width:1768;height:266" type="#_x0000_t202" filled="false" stroked="false">
              <v:textbox inset="0,0,0,0">
                <w:txbxContent>
                  <w:p>
                    <w:pPr>
                      <w:spacing w:line="266" w:lineRule="exact" w:before="0"/>
                      <w:ind w:left="0" w:right="0" w:firstLine="0"/>
                      <w:jc w:val="left"/>
                      <w:rPr>
                        <w:sz w:val="24"/>
                      </w:rPr>
                    </w:pPr>
                    <w:r>
                      <w:rPr>
                        <w:sz w:val="24"/>
                      </w:rPr>
                      <w:t>各领域</w:t>
                    </w:r>
                    <w:r>
                      <w:rPr>
                        <w:rFonts w:ascii="Times New Roman" w:eastAsia="Times New Roman"/>
                        <w:sz w:val="24"/>
                      </w:rPr>
                      <w:t>/</w:t>
                    </w:r>
                    <w:r>
                      <w:rPr>
                        <w:sz w:val="24"/>
                      </w:rPr>
                      <w:t>科目纲要</w:t>
                    </w:r>
                  </w:p>
                </w:txbxContent>
              </v:textbox>
              <w10:wrap type="none"/>
            </v:shape>
            <v:shape style="position:absolute;left:4404;top:2688;width:2488;height:266" type="#_x0000_t202" filled="false" stroked="false">
              <v:textbox inset="0,0,0,0">
                <w:txbxContent>
                  <w:p>
                    <w:pPr>
                      <w:spacing w:line="266" w:lineRule="exact" w:before="0"/>
                      <w:ind w:left="0" w:right="0" w:firstLine="0"/>
                      <w:jc w:val="left"/>
                      <w:rPr>
                        <w:sz w:val="24"/>
                      </w:rPr>
                    </w:pPr>
                    <w:r>
                      <w:rPr>
                        <w:sz w:val="24"/>
                      </w:rPr>
                      <w:t>各领域</w:t>
                    </w:r>
                    <w:r>
                      <w:rPr>
                        <w:rFonts w:ascii="Times New Roman" w:eastAsia="Times New Roman"/>
                        <w:sz w:val="24"/>
                      </w:rPr>
                      <w:t>/</w:t>
                    </w:r>
                    <w:r>
                      <w:rPr>
                        <w:sz w:val="24"/>
                      </w:rPr>
                      <w:t>各科目核心素养</w:t>
                    </w:r>
                  </w:p>
                </w:txbxContent>
              </v:textbox>
              <w10:wrap type="none"/>
            </v:shape>
            <v:shape style="position:absolute;left:7432;top:3439;width:2248;height:266" type="#_x0000_t202" filled="false" stroked="false">
              <v:textbox inset="0,0,0,0">
                <w:txbxContent>
                  <w:p>
                    <w:pPr>
                      <w:spacing w:line="266" w:lineRule="exact" w:before="0"/>
                      <w:ind w:left="0" w:right="0" w:firstLine="0"/>
                      <w:jc w:val="left"/>
                      <w:rPr>
                        <w:sz w:val="24"/>
                      </w:rPr>
                    </w:pPr>
                    <w:r>
                      <w:rPr>
                        <w:sz w:val="24"/>
                      </w:rPr>
                      <w:t>各领域</w:t>
                    </w:r>
                    <w:r>
                      <w:rPr>
                        <w:rFonts w:ascii="Times New Roman" w:eastAsia="Times New Roman"/>
                        <w:sz w:val="24"/>
                      </w:rPr>
                      <w:t>/</w:t>
                    </w:r>
                    <w:r>
                      <w:rPr>
                        <w:sz w:val="24"/>
                      </w:rPr>
                      <w:t>科目学习重点</w:t>
                    </w:r>
                  </w:p>
                </w:txbxContent>
              </v:textbox>
              <w10:wrap type="none"/>
            </v:shape>
            <w10:wrap type="topAndBottom"/>
          </v:group>
        </w:pict>
      </w:r>
    </w:p>
    <w:p>
      <w:pPr>
        <w:pStyle w:val="BodyText"/>
        <w:rPr>
          <w:sz w:val="20"/>
        </w:rPr>
      </w:pPr>
    </w:p>
    <w:p>
      <w:pPr>
        <w:pStyle w:val="BodyText"/>
        <w:rPr>
          <w:sz w:val="20"/>
        </w:rPr>
      </w:pPr>
    </w:p>
    <w:p>
      <w:pPr>
        <w:pStyle w:val="BodyText"/>
        <w:rPr>
          <w:sz w:val="20"/>
        </w:rPr>
      </w:pPr>
    </w:p>
    <w:p>
      <w:pPr>
        <w:pStyle w:val="BodyText"/>
        <w:tabs>
          <w:tab w:pos="839" w:val="left" w:leader="none"/>
        </w:tabs>
        <w:spacing w:before="224"/>
        <w:ind w:right="525"/>
        <w:jc w:val="center"/>
      </w:pPr>
      <w:r>
        <w:rPr/>
        <w:t>图</w:t>
      </w:r>
      <w:r>
        <w:rPr>
          <w:spacing w:val="-60"/>
        </w:rPr>
        <w:t> </w:t>
      </w:r>
      <w:r>
        <w:rPr>
          <w:rFonts w:ascii="Times New Roman" w:eastAsia="Times New Roman"/>
        </w:rPr>
        <w:t>1.2</w:t>
        <w:tab/>
      </w:r>
      <w:r>
        <w:rPr/>
        <w:t>台湾国民核心素养在课程纲要的转换及其学习重点</w:t>
      </w:r>
    </w:p>
    <w:p>
      <w:pPr>
        <w:pStyle w:val="BodyText"/>
        <w:spacing w:before="10"/>
        <w:rPr>
          <w:sz w:val="35"/>
        </w:rPr>
      </w:pPr>
    </w:p>
    <w:p>
      <w:pPr>
        <w:pStyle w:val="ListParagraph"/>
        <w:numPr>
          <w:ilvl w:val="2"/>
          <w:numId w:val="3"/>
        </w:numPr>
        <w:tabs>
          <w:tab w:pos="1920" w:val="left" w:leader="none"/>
        </w:tabs>
        <w:spacing w:line="240" w:lineRule="auto" w:before="0" w:after="0"/>
        <w:ind w:left="1920" w:right="0" w:hanging="600"/>
        <w:jc w:val="both"/>
        <w:rPr>
          <w:sz w:val="24"/>
        </w:rPr>
      </w:pPr>
      <w:r>
        <w:rPr>
          <w:sz w:val="24"/>
        </w:rPr>
        <w:t>基于核心素养观的生涯规划教育研究</w:t>
      </w:r>
    </w:p>
    <w:p>
      <w:pPr>
        <w:pStyle w:val="BodyText"/>
        <w:spacing w:before="7"/>
        <w:rPr>
          <w:sz w:val="35"/>
        </w:rPr>
      </w:pPr>
    </w:p>
    <w:p>
      <w:pPr>
        <w:pStyle w:val="ListParagraph"/>
        <w:numPr>
          <w:ilvl w:val="3"/>
          <w:numId w:val="3"/>
        </w:numPr>
        <w:tabs>
          <w:tab w:pos="2100" w:val="left" w:leader="none"/>
        </w:tabs>
        <w:spacing w:line="240" w:lineRule="auto" w:before="0" w:after="0"/>
        <w:ind w:left="2100" w:right="0" w:hanging="780"/>
        <w:jc w:val="both"/>
        <w:rPr>
          <w:sz w:val="24"/>
        </w:rPr>
      </w:pPr>
      <w:r>
        <w:rPr>
          <w:sz w:val="24"/>
        </w:rPr>
        <w:t>国外基于核心素养观的生涯规划教育研究</w:t>
      </w:r>
    </w:p>
    <w:p>
      <w:pPr>
        <w:pStyle w:val="BodyText"/>
        <w:spacing w:line="364" w:lineRule="auto" w:before="161"/>
        <w:ind w:left="1320" w:right="1577" w:firstLine="480"/>
        <w:jc w:val="both"/>
      </w:pPr>
      <w:r>
        <w:rPr>
          <w:spacing w:val="-8"/>
        </w:rPr>
        <w:t>从国际形势来看，当前国际上多数国家、地区与国际组织都认为，以个人发</w:t>
      </w:r>
      <w:r>
        <w:rPr>
          <w:spacing w:val="-7"/>
        </w:rPr>
        <w:t>展和终身学习为主体的核心素养模型，应取代以学科知识结构为核心的传统课程</w:t>
      </w:r>
      <w:r>
        <w:rPr/>
        <w:t>标准体，并且基于核心素养观对包括生涯规划教育在内的学校教育进行系统反</w:t>
      </w:r>
      <w:r>
        <w:rPr>
          <w:spacing w:val="-10"/>
        </w:rPr>
        <w:t>思，从而引发了一系列变革。虽然多数国家并未明确提出“基于核心素养观的生</w:t>
      </w:r>
      <w:r>
        <w:rPr>
          <w:spacing w:val="-9"/>
        </w:rPr>
        <w:t>涯规划教育”这一理念，但是在美国、澳大利亚、加拿大等发达国家出台的相关</w:t>
      </w:r>
      <w:r>
        <w:rPr>
          <w:spacing w:val="-10"/>
        </w:rPr>
        <w:t>文件中，均表明了在核心素养观下对生涯规划教育的思考，包括对生涯规划教育</w:t>
      </w:r>
      <w:r>
        <w:rPr/>
        <w:t>所要培养的“核心素养”的概述，及如何落实对这些“核心素养”的培养等。</w:t>
      </w:r>
    </w:p>
    <w:p>
      <w:pPr>
        <w:spacing w:after="0" w:line="364" w:lineRule="auto"/>
        <w:jc w:val="both"/>
        <w:sectPr>
          <w:pgSz w:w="11910" w:h="16840"/>
          <w:pgMar w:header="878" w:footer="1191" w:top="1300" w:bottom="1380" w:left="480" w:right="220"/>
        </w:sectPr>
      </w:pPr>
    </w:p>
    <w:p>
      <w:pPr>
        <w:pStyle w:val="BodyText"/>
        <w:spacing w:before="1"/>
        <w:rPr>
          <w:sz w:val="10"/>
        </w:rPr>
      </w:pPr>
    </w:p>
    <w:p>
      <w:pPr>
        <w:pStyle w:val="BodyText"/>
        <w:spacing w:line="364" w:lineRule="auto" w:before="81"/>
        <w:ind w:left="1319" w:right="1575" w:firstLine="480"/>
      </w:pPr>
      <w:r>
        <w:rPr>
          <w:spacing w:val="-3"/>
        </w:rPr>
        <w:t>如澳大利亚在《生涯发展蓝图》的文件</w:t>
      </w:r>
      <w:r>
        <w:rPr>
          <w:rFonts w:ascii="Times New Roman" w:eastAsia="Times New Roman"/>
          <w:position w:val="8"/>
          <w:sz w:val="15"/>
        </w:rPr>
        <w:t>[</w:t>
      </w:r>
      <w:hyperlink w:history="true" w:anchor="_bookmark116">
        <w:r>
          <w:rPr>
            <w:rFonts w:ascii="Times New Roman" w:eastAsia="Times New Roman"/>
            <w:position w:val="8"/>
            <w:sz w:val="15"/>
          </w:rPr>
          <w:t>1</w:t>
        </w:r>
      </w:hyperlink>
      <w:r>
        <w:rPr>
          <w:rFonts w:ascii="Times New Roman" w:eastAsia="Times New Roman"/>
          <w:position w:val="8"/>
          <w:sz w:val="15"/>
        </w:rPr>
        <w:t>]</w:t>
      </w:r>
      <w:r>
        <w:rPr>
          <w:spacing w:val="-2"/>
        </w:rPr>
        <w:t>中提出了包含在个人规划、学习和</w:t>
      </w:r>
      <w:r>
        <w:rPr>
          <w:spacing w:val="-6"/>
        </w:rPr>
        <w:t>工作探索、生涯建树 </w:t>
      </w:r>
      <w:r>
        <w:rPr>
          <w:rFonts w:ascii="Times New Roman" w:eastAsia="Times New Roman"/>
        </w:rPr>
        <w:t>3 </w:t>
      </w:r>
      <w:r>
        <w:rPr>
          <w:spacing w:val="-9"/>
        </w:rPr>
        <w:t>个领域中的 </w:t>
      </w:r>
      <w:r>
        <w:rPr>
          <w:rFonts w:ascii="Times New Roman" w:eastAsia="Times New Roman"/>
          <w:spacing w:val="-3"/>
        </w:rPr>
        <w:t>11 </w:t>
      </w:r>
      <w:r>
        <w:rPr/>
        <w:t>项生涯规划能力，并将其作为生涯规划教</w:t>
      </w:r>
    </w:p>
    <w:p>
      <w:pPr>
        <w:pStyle w:val="BodyText"/>
        <w:spacing w:line="364" w:lineRule="auto" w:before="1"/>
        <w:ind w:left="1319" w:right="1455"/>
      </w:pPr>
      <w:r>
        <w:rPr>
          <w:spacing w:val="-8"/>
        </w:rPr>
        <w:t>育的目标。这 </w:t>
      </w:r>
      <w:r>
        <w:rPr>
          <w:rFonts w:ascii="Times New Roman" w:hAnsi="Times New Roman" w:eastAsia="Times New Roman"/>
          <w:spacing w:val="-3"/>
        </w:rPr>
        <w:t>11 </w:t>
      </w:r>
      <w:r>
        <w:rPr/>
        <w:t>项能力之下分别设有若干项指标并将其不断细化分解到每个教</w:t>
      </w:r>
      <w:r>
        <w:rPr>
          <w:spacing w:val="-10"/>
        </w:rPr>
        <w:t>育阶段，使其得以真正落实。在《加拿大生涯发展实践者的标准和指导：核心能</w:t>
      </w:r>
      <w:r>
        <w:rPr>
          <w:spacing w:val="-9"/>
        </w:rPr>
        <w:t>力》</w:t>
      </w:r>
      <w:r>
        <w:rPr>
          <w:rFonts w:ascii="Times New Roman" w:hAnsi="Times New Roman" w:eastAsia="Times New Roman"/>
          <w:position w:val="8"/>
          <w:sz w:val="15"/>
        </w:rPr>
        <w:t>[</w:t>
      </w:r>
      <w:hyperlink w:history="true" w:anchor="_bookmark117">
        <w:r>
          <w:rPr>
            <w:rFonts w:ascii="Times New Roman" w:hAnsi="Times New Roman" w:eastAsia="Times New Roman"/>
            <w:position w:val="8"/>
            <w:sz w:val="15"/>
          </w:rPr>
          <w:t>2</w:t>
        </w:r>
      </w:hyperlink>
      <w:r>
        <w:rPr>
          <w:rFonts w:ascii="Times New Roman" w:hAnsi="Times New Roman" w:eastAsia="Times New Roman"/>
          <w:position w:val="8"/>
          <w:sz w:val="15"/>
        </w:rPr>
        <w:t>]</w:t>
      </w:r>
      <w:r>
        <w:rPr>
          <w:spacing w:val="-5"/>
        </w:rPr>
        <w:t>文件中，从专业行为、人际交往能力、生涯发展知识、需求评估咨询这四</w:t>
      </w:r>
      <w:r>
        <w:rPr>
          <w:spacing w:val="-10"/>
        </w:rPr>
        <w:t>个方面对学生的生涯发展能力作出了规定与说明，用以指导该国的生涯规划教育</w:t>
      </w:r>
      <w:r>
        <w:rPr>
          <w:spacing w:val="-7"/>
        </w:rPr>
        <w:t>的开展，而加拿大安大略省将生涯规划教育课程总目标</w:t>
      </w:r>
      <w:r>
        <w:rPr>
          <w:rFonts w:ascii="Times New Roman" w:hAnsi="Times New Roman" w:eastAsia="Times New Roman"/>
          <w:position w:val="8"/>
          <w:sz w:val="15"/>
        </w:rPr>
        <w:t>[</w:t>
      </w:r>
      <w:hyperlink w:history="true" w:anchor="_bookmark118">
        <w:r>
          <w:rPr>
            <w:rFonts w:ascii="Times New Roman" w:hAnsi="Times New Roman" w:eastAsia="Times New Roman"/>
            <w:position w:val="8"/>
            <w:sz w:val="15"/>
          </w:rPr>
          <w:t>3</w:t>
        </w:r>
      </w:hyperlink>
      <w:r>
        <w:rPr>
          <w:rFonts w:ascii="Times New Roman" w:hAnsi="Times New Roman" w:eastAsia="Times New Roman"/>
          <w:position w:val="8"/>
          <w:sz w:val="15"/>
        </w:rPr>
        <w:t>]</w:t>
      </w:r>
      <w:r>
        <w:rPr>
          <w:spacing w:val="-3"/>
        </w:rPr>
        <w:t>融合在学习技能、自我</w:t>
      </w:r>
      <w:r>
        <w:rPr>
          <w:spacing w:val="-17"/>
        </w:rPr>
        <w:t>认知与管理能力、人际交往知识与能力、机会的探索、工作和学习中的必要技能、</w:t>
      </w:r>
      <w:r>
        <w:rPr>
          <w:spacing w:val="-9"/>
        </w:rPr>
        <w:t>个人管理、为过渡和改变做准备这七个领域中，在对每个领域的具体要求的描述中就蕴含了所要培养的“核心素养”。</w:t>
      </w:r>
    </w:p>
    <w:p>
      <w:pPr>
        <w:pStyle w:val="BodyText"/>
        <w:spacing w:line="364" w:lineRule="auto" w:before="5"/>
        <w:ind w:left="1319" w:right="1365" w:firstLine="480"/>
      </w:pPr>
      <w:r>
        <w:rPr>
          <w:spacing w:val="-7"/>
        </w:rPr>
        <w:t>最为典型的要数新西兰，该国采用了美国、加拿大、澳大利亚三国公认的生</w:t>
      </w:r>
      <w:r>
        <w:rPr>
          <w:spacing w:val="-11"/>
        </w:rPr>
        <w:t>涯规划教育所发展的生涯规划能力，即自我意识的发展、机会探索、决策与行动三个方面的能力，</w:t>
      </w:r>
      <w:hyperlink w:history="true" w:anchor="_bookmark119">
        <w:r>
          <w:rPr>
            <w:rFonts w:ascii="Times New Roman" w:hAnsi="Times New Roman" w:eastAsia="Times New Roman"/>
            <w:spacing w:val="-6"/>
            <w:position w:val="8"/>
            <w:sz w:val="15"/>
          </w:rPr>
          <w:t>[4</w:t>
        </w:r>
      </w:hyperlink>
      <w:r>
        <w:rPr>
          <w:rFonts w:ascii="Times New Roman" w:hAnsi="Times New Roman" w:eastAsia="Times New Roman"/>
          <w:spacing w:val="-6"/>
          <w:position w:val="8"/>
          <w:sz w:val="15"/>
        </w:rPr>
        <w:t>]</w:t>
      </w:r>
      <w:r>
        <w:rPr>
          <w:spacing w:val="-2"/>
        </w:rPr>
        <w:t>并分别对每一项内涵进行了阐释。该国的生涯规划教育的核</w:t>
      </w:r>
      <w:r>
        <w:rPr>
          <w:spacing w:val="-9"/>
        </w:rPr>
        <w:t>心素养蕴含了该国的五类学生发展核心素养，即“自我管理”、“与他人交往”、</w:t>
      </w:r>
      <w:r>
        <w:rPr/>
        <w:t>“运用语言、符号、文化”、“思考”，“参与和贡献”。</w:t>
      </w:r>
    </w:p>
    <w:p>
      <w:pPr>
        <w:pStyle w:val="ListParagraph"/>
        <w:numPr>
          <w:ilvl w:val="3"/>
          <w:numId w:val="3"/>
        </w:numPr>
        <w:tabs>
          <w:tab w:pos="2040" w:val="left" w:leader="none"/>
        </w:tabs>
        <w:spacing w:line="240" w:lineRule="auto" w:before="3" w:after="0"/>
        <w:ind w:left="2040" w:right="0" w:hanging="721"/>
        <w:jc w:val="left"/>
        <w:rPr>
          <w:sz w:val="24"/>
        </w:rPr>
      </w:pPr>
      <w:r>
        <w:rPr>
          <w:sz w:val="24"/>
        </w:rPr>
        <w:t>国内基于核心素养观的生涯规划教育研究</w:t>
      </w:r>
    </w:p>
    <w:p>
      <w:pPr>
        <w:pStyle w:val="BodyText"/>
        <w:spacing w:line="364" w:lineRule="auto" w:before="160"/>
        <w:ind w:left="1319" w:right="1485" w:firstLine="480"/>
        <w:jc w:val="both"/>
      </w:pPr>
      <w:r>
        <w:rPr>
          <w:spacing w:val="-5"/>
        </w:rPr>
        <w:t>我国香港和台湾地区较早开展生涯规划教育，目前已经完成基于核心素养体</w:t>
      </w:r>
      <w:r>
        <w:rPr>
          <w:spacing w:val="-10"/>
        </w:rPr>
        <w:t>系的课程体系重构，将核心素养框架融入课程体系中。因此，在运用核心素养理</w:t>
      </w:r>
      <w:r>
        <w:rPr>
          <w:spacing w:val="-14"/>
        </w:rPr>
        <w:t>念审视生涯规划教育的发展方面，也走在了大陆地区的前面。例如，台湾地区在</w:t>
      </w:r>
      <w:r>
        <w:rPr>
          <w:spacing w:val="-13"/>
        </w:rPr>
        <w:t>“自主行动”下的身心素质与“自我精进”这一核心素养项目中，明确指出在高</w:t>
      </w:r>
      <w:r>
        <w:rPr>
          <w:spacing w:val="-14"/>
        </w:rPr>
        <w:t>级中等学校教育阶段的具体内涵是“探索自我，肯定自我价值，有效规划生涯，</w:t>
      </w:r>
    </w:p>
    <w:p>
      <w:pPr>
        <w:pStyle w:val="BodyText"/>
        <w:spacing w:before="2"/>
        <w:rPr>
          <w:sz w:val="29"/>
        </w:rPr>
      </w:pPr>
      <w:r>
        <w:rPr/>
        <w:pict>
          <v:shape style="position:absolute;margin-left:90pt;margin-top:20.67211pt;width:144pt;height:.1pt;mso-position-horizontal-relative:page;mso-position-vertical-relative:paragraph;z-index:-251614208;mso-wrap-distance-left:0;mso-wrap-distance-right:0" coordorigin="1800,413" coordsize="2880,0" path="m1800,413l4680,413e" filled="false" stroked="true" strokeweight="0pt" strokecolor="#000000">
            <v:path arrowok="t"/>
            <v:stroke dashstyle="solid"/>
            <w10:wrap type="topAndBottom"/>
          </v:shape>
        </w:pict>
      </w:r>
    </w:p>
    <w:p>
      <w:pPr>
        <w:pStyle w:val="ListParagraph"/>
        <w:numPr>
          <w:ilvl w:val="0"/>
          <w:numId w:val="12"/>
        </w:numPr>
        <w:tabs>
          <w:tab w:pos="1580" w:val="left" w:leader="none"/>
        </w:tabs>
        <w:spacing w:line="240" w:lineRule="auto" w:before="97" w:after="0"/>
        <w:ind w:left="1579" w:right="0" w:hanging="260"/>
        <w:jc w:val="left"/>
        <w:rPr>
          <w:rFonts w:ascii="Times New Roman"/>
          <w:sz w:val="18"/>
        </w:rPr>
      </w:pPr>
      <w:bookmarkStart w:name="_bookmark116" w:id="150"/>
      <w:bookmarkEnd w:id="150"/>
      <w:r>
        <w:rPr/>
      </w:r>
      <w:bookmarkStart w:name="_bookmark116" w:id="151"/>
      <w:bookmarkEnd w:id="151"/>
      <w:r>
        <w:rPr>
          <w:rFonts w:ascii="Times New Roman"/>
          <w:sz w:val="18"/>
        </w:rPr>
        <w:t>Mil</w:t>
      </w:r>
      <w:r>
        <w:rPr>
          <w:rFonts w:ascii="Times New Roman"/>
          <w:sz w:val="18"/>
        </w:rPr>
        <w:t>es Morgan Australia, Commonwealth of Australia, CanberraMCEECDYA.2010 The Australian</w:t>
      </w:r>
      <w:r>
        <w:rPr>
          <w:rFonts w:ascii="Times New Roman"/>
          <w:spacing w:val="-4"/>
          <w:sz w:val="18"/>
        </w:rPr>
        <w:t> </w:t>
      </w:r>
      <w:r>
        <w:rPr>
          <w:rFonts w:ascii="Times New Roman"/>
          <w:sz w:val="18"/>
        </w:rPr>
        <w:t>Bluepr</w:t>
      </w:r>
    </w:p>
    <w:p>
      <w:pPr>
        <w:spacing w:line="360" w:lineRule="auto" w:before="150"/>
        <w:ind w:left="1319" w:right="1660" w:firstLine="0"/>
        <w:jc w:val="left"/>
        <w:rPr>
          <w:rFonts w:ascii="Times New Roman"/>
          <w:sz w:val="18"/>
        </w:rPr>
      </w:pPr>
      <w:r>
        <w:rPr>
          <w:rFonts w:ascii="Times New Roman"/>
          <w:sz w:val="18"/>
        </w:rPr>
        <w:t>int for Career Development.[EB/OL].https://docs.education.gov.au/system/files/doc/other/australian_blueprint_f or_career_development.pdf,2016-3-5.</w:t>
      </w:r>
    </w:p>
    <w:p>
      <w:pPr>
        <w:pStyle w:val="ListParagraph"/>
        <w:numPr>
          <w:ilvl w:val="0"/>
          <w:numId w:val="12"/>
        </w:numPr>
        <w:tabs>
          <w:tab w:pos="1577" w:val="left" w:leader="none"/>
        </w:tabs>
        <w:spacing w:line="240" w:lineRule="auto" w:before="4" w:after="0"/>
        <w:ind w:left="1576" w:right="0" w:hanging="258"/>
        <w:jc w:val="left"/>
        <w:rPr>
          <w:rFonts w:ascii="Times New Roman"/>
          <w:sz w:val="18"/>
        </w:rPr>
      </w:pPr>
      <w:bookmarkStart w:name="_bookmark117" w:id="152"/>
      <w:bookmarkEnd w:id="152"/>
      <w:r>
        <w:rPr/>
      </w:r>
      <w:bookmarkStart w:name="_bookmark117" w:id="153"/>
      <w:bookmarkEnd w:id="153"/>
      <w:r>
        <w:rPr>
          <w:rFonts w:ascii="Times New Roman"/>
          <w:sz w:val="18"/>
        </w:rPr>
        <w:t>T</w:t>
      </w:r>
      <w:r>
        <w:rPr>
          <w:rFonts w:ascii="Times New Roman"/>
          <w:sz w:val="18"/>
        </w:rPr>
        <w:t>he Canadian Council of Career Development Associations.Candian Standards and Guidalines for</w:t>
      </w:r>
      <w:r>
        <w:rPr>
          <w:rFonts w:ascii="Times New Roman"/>
          <w:spacing w:val="20"/>
          <w:sz w:val="18"/>
        </w:rPr>
        <w:t> </w:t>
      </w:r>
      <w:r>
        <w:rPr>
          <w:rFonts w:ascii="Times New Roman"/>
          <w:sz w:val="18"/>
        </w:rPr>
        <w:t>Care</w:t>
      </w:r>
    </w:p>
    <w:p>
      <w:pPr>
        <w:spacing w:line="360" w:lineRule="auto" w:before="151"/>
        <w:ind w:left="1319" w:right="1606" w:firstLine="0"/>
        <w:jc w:val="left"/>
        <w:rPr>
          <w:rFonts w:ascii="Times New Roman"/>
          <w:sz w:val="18"/>
        </w:rPr>
      </w:pPr>
      <w:r>
        <w:rPr>
          <w:rFonts w:ascii="Times New Roman"/>
          <w:sz w:val="18"/>
        </w:rPr>
        <w:t>er Development Practitioners-Core Competencies.[EB/OL]</w:t>
      </w:r>
      <w:hyperlink r:id="rId30">
        <w:r>
          <w:rPr>
            <w:rFonts w:ascii="Times New Roman"/>
            <w:sz w:val="18"/>
          </w:rPr>
          <w:t>.http://career-dev-guidelines.org/career_dev/wp-conte</w:t>
        </w:r>
      </w:hyperlink>
      <w:r>
        <w:rPr>
          <w:rFonts w:ascii="Times New Roman"/>
          <w:sz w:val="18"/>
        </w:rPr>
        <w:t> nt/uploads/2015/06/Core-Competencies.pdf,2016-3-5.</w:t>
      </w:r>
    </w:p>
    <w:p>
      <w:pPr>
        <w:pStyle w:val="ListParagraph"/>
        <w:numPr>
          <w:ilvl w:val="0"/>
          <w:numId w:val="12"/>
        </w:numPr>
        <w:tabs>
          <w:tab w:pos="1572" w:val="left" w:leader="none"/>
        </w:tabs>
        <w:spacing w:line="415" w:lineRule="auto" w:before="4" w:after="0"/>
        <w:ind w:left="1319" w:right="1774" w:firstLine="0"/>
        <w:jc w:val="left"/>
        <w:rPr>
          <w:rFonts w:ascii="Times New Roman"/>
          <w:sz w:val="18"/>
        </w:rPr>
      </w:pPr>
      <w:bookmarkStart w:name="_bookmark118" w:id="154"/>
      <w:bookmarkEnd w:id="154"/>
      <w:r>
        <w:rPr/>
      </w:r>
      <w:bookmarkStart w:name="_bookmark118" w:id="155"/>
      <w:bookmarkEnd w:id="155"/>
      <w:r>
        <w:rPr>
          <w:rFonts w:ascii="Times New Roman"/>
          <w:sz w:val="18"/>
        </w:rPr>
        <w:t>O</w:t>
      </w:r>
      <w:r>
        <w:rPr>
          <w:rFonts w:ascii="Times New Roman"/>
          <w:sz w:val="18"/>
        </w:rPr>
        <w:t>ntario Ministry of Educaiton.The Ontario Curriculum Guidance Grades and 12.Guidance and Career Education.[EB/OL].</w:t>
      </w:r>
      <w:hyperlink r:id="rId31">
        <w:r>
          <w:rPr>
            <w:rFonts w:ascii="Times New Roman"/>
            <w:sz w:val="18"/>
          </w:rPr>
          <w:t>www.edu.gov.on.ca.2016-3-4.</w:t>
        </w:r>
      </w:hyperlink>
    </w:p>
    <w:p>
      <w:pPr>
        <w:pStyle w:val="ListParagraph"/>
        <w:numPr>
          <w:ilvl w:val="0"/>
          <w:numId w:val="12"/>
        </w:numPr>
        <w:tabs>
          <w:tab w:pos="1606" w:val="left" w:leader="none"/>
        </w:tabs>
        <w:spacing w:line="216" w:lineRule="exact" w:before="0" w:after="0"/>
        <w:ind w:left="1605" w:right="0" w:hanging="287"/>
        <w:jc w:val="left"/>
        <w:rPr>
          <w:rFonts w:ascii="Times New Roman"/>
          <w:sz w:val="18"/>
        </w:rPr>
      </w:pPr>
      <w:bookmarkStart w:name="_bookmark119" w:id="156"/>
      <w:bookmarkEnd w:id="156"/>
      <w:r>
        <w:rPr/>
      </w:r>
      <w:bookmarkStart w:name="_bookmark119" w:id="157"/>
      <w:bookmarkEnd w:id="157"/>
      <w:r>
        <w:rPr>
          <w:rFonts w:ascii="Times New Roman"/>
          <w:sz w:val="18"/>
        </w:rPr>
        <w:t>N</w:t>
      </w:r>
      <w:r>
        <w:rPr>
          <w:rFonts w:ascii="Times New Roman"/>
          <w:sz w:val="18"/>
        </w:rPr>
        <w:t>ew Zealand Government.Career Education and Guidance in New Zealand</w:t>
      </w:r>
      <w:r>
        <w:rPr>
          <w:rFonts w:ascii="Times New Roman"/>
          <w:spacing w:val="34"/>
          <w:sz w:val="18"/>
        </w:rPr>
        <w:t> </w:t>
      </w:r>
      <w:r>
        <w:rPr>
          <w:rFonts w:ascii="Times New Roman"/>
          <w:sz w:val="18"/>
        </w:rPr>
        <w:t>Schools[EB/OL]</w:t>
      </w:r>
      <w:hyperlink r:id="rId32">
        <w:r>
          <w:rPr>
            <w:rFonts w:ascii="Times New Roman"/>
            <w:sz w:val="18"/>
          </w:rPr>
          <w:t>.http://nzcur</w:t>
        </w:r>
      </w:hyperlink>
    </w:p>
    <w:p>
      <w:pPr>
        <w:spacing w:before="150"/>
        <w:ind w:left="1319" w:right="0" w:firstLine="0"/>
        <w:jc w:val="left"/>
        <w:rPr>
          <w:rFonts w:ascii="Times New Roman"/>
          <w:sz w:val="18"/>
        </w:rPr>
      </w:pPr>
      <w:r>
        <w:rPr>
          <w:rFonts w:ascii="Times New Roman"/>
          <w:sz w:val="18"/>
        </w:rPr>
        <w:t>riculum.tki.org.nz/Curriculum-resources/Career-education,2016-3-5.</w:t>
      </w:r>
    </w:p>
    <w:p>
      <w:pPr>
        <w:spacing w:after="0"/>
        <w:jc w:val="left"/>
        <w:rPr>
          <w:rFonts w:ascii="Times New Roman"/>
          <w:sz w:val="18"/>
        </w:rPr>
        <w:sectPr>
          <w:pgSz w:w="11910" w:h="16840"/>
          <w:pgMar w:header="878" w:footer="1191" w:top="1300" w:bottom="1380" w:left="480" w:right="220"/>
        </w:sectPr>
      </w:pPr>
    </w:p>
    <w:p>
      <w:pPr>
        <w:pStyle w:val="BodyText"/>
        <w:spacing w:before="3"/>
        <w:rPr>
          <w:rFonts w:ascii="Times New Roman"/>
          <w:sz w:val="11"/>
        </w:rPr>
      </w:pPr>
    </w:p>
    <w:p>
      <w:pPr>
        <w:pStyle w:val="BodyText"/>
        <w:spacing w:line="364" w:lineRule="auto" w:before="80"/>
        <w:ind w:left="1320" w:right="1525"/>
      </w:pPr>
      <w:bookmarkStart w:name="_bookmark120" w:id="158"/>
      <w:bookmarkEnd w:id="158"/>
      <w:r>
        <w:rPr/>
      </w:r>
      <w:r>
        <w:rPr/>
        <w:t>并透过自我精进与超越，追求至善与幸福人生”，</w:t>
      </w:r>
      <w:r>
        <w:rPr>
          <w:rFonts w:ascii="Times New Roman" w:hAnsi="Times New Roman" w:eastAsia="Times New Roman"/>
          <w:position w:val="8"/>
          <w:sz w:val="15"/>
        </w:rPr>
        <w:t>[</w:t>
      </w:r>
      <w:hyperlink w:history="true" w:anchor="_bookmark121">
        <w:r>
          <w:rPr>
            <w:rFonts w:ascii="Times New Roman" w:hAnsi="Times New Roman" w:eastAsia="Times New Roman"/>
            <w:position w:val="8"/>
            <w:sz w:val="15"/>
          </w:rPr>
          <w:t>1</w:t>
        </w:r>
      </w:hyperlink>
      <w:r>
        <w:rPr>
          <w:rFonts w:ascii="Times New Roman" w:hAnsi="Times New Roman" w:eastAsia="Times New Roman"/>
          <w:position w:val="8"/>
          <w:sz w:val="15"/>
        </w:rPr>
        <w:t>]</w:t>
      </w:r>
      <w:r>
        <w:rPr/>
        <w:t>换言之，这是高中的生涯规划教育核心素养之一。</w:t>
      </w:r>
    </w:p>
    <w:p>
      <w:pPr>
        <w:pStyle w:val="BodyText"/>
        <w:spacing w:line="364" w:lineRule="auto" w:before="2"/>
        <w:ind w:left="1320" w:right="1457" w:firstLine="480"/>
      </w:pPr>
      <w:r>
        <w:rPr>
          <w:spacing w:val="-5"/>
        </w:rPr>
        <w:t>虽然港台地区已有一定的理论研究和实践积累，但是总体看来，我国对普通</w:t>
      </w:r>
      <w:r>
        <w:rPr>
          <w:spacing w:val="-9"/>
        </w:rPr>
        <w:t>高中生涯规划教育的研究与世界课程改革趋势性理念“核心素养”相关的几乎为</w:t>
      </w:r>
      <w:r>
        <w:rPr>
          <w:spacing w:val="-17"/>
        </w:rPr>
        <w:t>零，与新高考制度下的选课问题相关的亦较少，总体上表现为有较多的国际经验， </w:t>
      </w:r>
      <w:r>
        <w:rPr/>
        <w:t>但缺乏有效的本土行动。</w:t>
      </w:r>
    </w:p>
    <w:p>
      <w:pPr>
        <w:pStyle w:val="BodyText"/>
        <w:spacing w:before="5"/>
        <w:rPr>
          <w:sz w:val="23"/>
        </w:rPr>
      </w:pPr>
    </w:p>
    <w:p>
      <w:pPr>
        <w:pStyle w:val="ListParagraph"/>
        <w:numPr>
          <w:ilvl w:val="2"/>
          <w:numId w:val="3"/>
        </w:numPr>
        <w:tabs>
          <w:tab w:pos="1920" w:val="left" w:leader="none"/>
        </w:tabs>
        <w:spacing w:line="240" w:lineRule="auto" w:before="0" w:after="0"/>
        <w:ind w:left="1920" w:right="0" w:hanging="600"/>
        <w:jc w:val="left"/>
        <w:rPr>
          <w:sz w:val="24"/>
        </w:rPr>
      </w:pPr>
      <w:r>
        <w:rPr>
          <w:sz w:val="24"/>
        </w:rPr>
        <w:t>对国内外已有研究的反思</w:t>
      </w:r>
    </w:p>
    <w:p>
      <w:pPr>
        <w:pStyle w:val="BodyText"/>
        <w:spacing w:before="7"/>
        <w:rPr>
          <w:sz w:val="35"/>
        </w:rPr>
      </w:pPr>
    </w:p>
    <w:p>
      <w:pPr>
        <w:spacing w:line="391" w:lineRule="auto" w:before="0"/>
        <w:ind w:left="1320" w:right="1577" w:firstLine="480"/>
        <w:jc w:val="both"/>
        <w:rPr>
          <w:sz w:val="24"/>
        </w:rPr>
      </w:pPr>
      <w:r>
        <w:rPr>
          <w:spacing w:val="-11"/>
          <w:sz w:val="24"/>
        </w:rPr>
        <w:t>首先，国际上对核心素养的关注持续上升，核心素养的理念引领着世界范围</w:t>
      </w:r>
      <w:r>
        <w:rPr>
          <w:spacing w:val="-7"/>
          <w:sz w:val="21"/>
        </w:rPr>
        <w:t>内的教育变革。部分发达国家</w:t>
      </w:r>
      <w:r>
        <w:rPr>
          <w:sz w:val="21"/>
        </w:rPr>
        <w:t>（地区）</w:t>
      </w:r>
      <w:r>
        <w:rPr>
          <w:spacing w:val="-4"/>
          <w:sz w:val="21"/>
        </w:rPr>
        <w:t>不仅早已确立核心素养框架体系，而且基于核心素</w:t>
      </w:r>
      <w:r>
        <w:rPr>
          <w:spacing w:val="-7"/>
          <w:sz w:val="24"/>
        </w:rPr>
        <w:t>养的理念不断完善学校教育。同时，核心素养也进入到生涯规划教育领域。虽然</w:t>
      </w:r>
    </w:p>
    <w:p>
      <w:pPr>
        <w:spacing w:line="241" w:lineRule="exact" w:before="0"/>
        <w:ind w:left="1320" w:right="0" w:firstLine="0"/>
        <w:jc w:val="left"/>
        <w:rPr>
          <w:sz w:val="21"/>
        </w:rPr>
      </w:pPr>
      <w:r>
        <w:rPr>
          <w:w w:val="105"/>
          <w:sz w:val="21"/>
        </w:rPr>
        <w:t>这些国家（地区）并未明确指出基于核心素养观开展生涯规划教育，但是无论从其目标、</w:t>
      </w:r>
    </w:p>
    <w:p>
      <w:pPr>
        <w:pStyle w:val="BodyText"/>
        <w:spacing w:before="7"/>
        <w:rPr>
          <w:sz w:val="15"/>
        </w:rPr>
      </w:pPr>
    </w:p>
    <w:p>
      <w:pPr>
        <w:spacing w:line="386" w:lineRule="auto" w:before="0"/>
        <w:ind w:left="1320" w:right="1460" w:firstLine="0"/>
        <w:jc w:val="left"/>
        <w:rPr>
          <w:sz w:val="24"/>
        </w:rPr>
      </w:pPr>
      <w:r>
        <w:rPr>
          <w:sz w:val="21"/>
        </w:rPr>
        <w:t>内容或实施方式来看，都能反映出各国（地区）</w:t>
      </w:r>
      <w:r>
        <w:rPr>
          <w:spacing w:val="-1"/>
          <w:sz w:val="21"/>
        </w:rPr>
        <w:t>在核心素养观下对生涯规划教育的思考。 </w:t>
      </w:r>
      <w:r>
        <w:rPr>
          <w:spacing w:val="-10"/>
          <w:sz w:val="24"/>
        </w:rPr>
        <w:t>反观国内，近几年，我国也掀起了对核心素养的研究热潮，教育部门、各级各类</w:t>
      </w:r>
      <w:r>
        <w:rPr>
          <w:spacing w:val="-16"/>
          <w:sz w:val="24"/>
        </w:rPr>
        <w:t>学校都在热议学生发展的核心素养，但将核心素养与生涯规划教育相关联的研究</w:t>
      </w:r>
    </w:p>
    <w:p>
      <w:pPr>
        <w:pStyle w:val="BodyText"/>
        <w:spacing w:line="279" w:lineRule="exact"/>
        <w:ind w:left="1320"/>
      </w:pPr>
      <w:r>
        <w:rPr>
          <w:spacing w:val="-11"/>
        </w:rPr>
        <w:t>寥寥无几。因此，我们应该拓展研究视野，将核心素养理念引入普通高中生涯规</w:t>
      </w:r>
    </w:p>
    <w:p>
      <w:pPr>
        <w:pStyle w:val="BodyText"/>
        <w:spacing w:line="364" w:lineRule="auto" w:before="161"/>
        <w:ind w:left="1320" w:right="1577"/>
      </w:pPr>
      <w:r>
        <w:rPr>
          <w:spacing w:val="-11"/>
        </w:rPr>
        <w:t>划教育，以弥补国内研究的不足，切实推动国内生涯规划教育的研究迈入科学合</w:t>
      </w:r>
      <w:r>
        <w:rPr/>
        <w:t>理的新阶段。</w:t>
      </w:r>
    </w:p>
    <w:p>
      <w:pPr>
        <w:pStyle w:val="BodyText"/>
        <w:spacing w:line="364" w:lineRule="auto" w:before="1"/>
        <w:ind w:left="1320" w:right="1577" w:firstLine="480"/>
        <w:jc w:val="both"/>
      </w:pPr>
      <w:r>
        <w:rPr>
          <w:spacing w:val="-12"/>
        </w:rPr>
        <w:t>其次，我国普通高中生涯规划教育自课程改革逐渐深化以来获得了大量学者</w:t>
      </w:r>
      <w:r>
        <w:rPr>
          <w:spacing w:val="-10"/>
        </w:rPr>
        <w:t>的关注，但研究内容偏重于经验介绍及理论研究。高考改革以来，普通高中生涯</w:t>
      </w:r>
      <w:r>
        <w:rPr>
          <w:spacing w:val="-7"/>
        </w:rPr>
        <w:t>规划教育的开展显得愈加迫切，但以高考改革为背景，与国内高中课程改革密切</w:t>
      </w:r>
      <w:r>
        <w:rPr>
          <w:spacing w:val="-6"/>
        </w:rPr>
        <w:t>相关的的普通高中生涯规划教育实施研究少之甚少。当下，我国普通高中处于经</w:t>
      </w:r>
      <w:r>
        <w:rPr>
          <w:spacing w:val="-7"/>
        </w:rPr>
        <w:t>济社会和教育转型的关键期，新的挑战层出不穷，现有的生涯规划教育已经难以</w:t>
      </w:r>
      <w:r>
        <w:rPr>
          <w:spacing w:val="-8"/>
        </w:rPr>
        <w:t>适应普通高中教育的发展。因此，本研究认为，有必要基于当前国内教育改革的</w:t>
      </w:r>
      <w:r>
        <w:rPr/>
        <w:t>实际情况，运用相关理论研究和科学探索重新思考我国普通高中的生涯规划教育。</w:t>
      </w:r>
    </w:p>
    <w:p>
      <w:pPr>
        <w:spacing w:before="12"/>
        <w:ind w:left="0" w:right="1584" w:firstLine="0"/>
        <w:jc w:val="right"/>
        <w:rPr>
          <w:sz w:val="21"/>
        </w:rPr>
      </w:pPr>
      <w:r>
        <w:rPr>
          <w:spacing w:val="-9"/>
          <w:sz w:val="21"/>
        </w:rPr>
        <w:t>最后，从文献看来，生涯规划教育源于欧美等发达国家</w:t>
      </w:r>
      <w:r>
        <w:rPr>
          <w:sz w:val="21"/>
        </w:rPr>
        <w:t>（地区</w:t>
      </w:r>
      <w:r>
        <w:rPr>
          <w:spacing w:val="-14"/>
          <w:sz w:val="21"/>
        </w:rPr>
        <w:t>）</w:t>
      </w:r>
      <w:r>
        <w:rPr>
          <w:spacing w:val="-4"/>
          <w:sz w:val="21"/>
        </w:rPr>
        <w:t>，它们已经积累了的</w:t>
      </w:r>
    </w:p>
    <w:p>
      <w:pPr>
        <w:pStyle w:val="BodyText"/>
        <w:spacing w:before="12"/>
        <w:rPr>
          <w:sz w:val="14"/>
        </w:rPr>
      </w:pPr>
    </w:p>
    <w:p>
      <w:pPr>
        <w:pStyle w:val="BodyText"/>
        <w:ind w:right="1577"/>
        <w:jc w:val="right"/>
      </w:pPr>
      <w:r>
        <w:rPr>
          <w:spacing w:val="-6"/>
        </w:rPr>
        <w:t>深厚理论基础和丰富实践经验，形成了较为成熟的生涯规划教育体系。生涯规划</w:t>
      </w:r>
    </w:p>
    <w:p>
      <w:pPr>
        <w:pStyle w:val="BodyText"/>
        <w:spacing w:before="4"/>
        <w:rPr>
          <w:sz w:val="18"/>
        </w:rPr>
      </w:pPr>
      <w:r>
        <w:rPr/>
        <w:pict>
          <v:shape style="position:absolute;margin-left:90pt;margin-top:13.694376pt;width:144pt;height:.1pt;mso-position-horizontal-relative:page;mso-position-vertical-relative:paragraph;z-index:-251613184;mso-wrap-distance-left:0;mso-wrap-distance-right:0" coordorigin="1800,274" coordsize="2880,0" path="m1800,274l4680,274e" filled="false" stroked="true" strokeweight="0pt" strokecolor="#000000">
            <v:path arrowok="t"/>
            <v:stroke dashstyle="solid"/>
            <w10:wrap type="topAndBottom"/>
          </v:shape>
        </w:pict>
      </w:r>
    </w:p>
    <w:p>
      <w:pPr>
        <w:spacing w:before="98"/>
        <w:ind w:left="1320" w:right="0" w:firstLine="0"/>
        <w:jc w:val="left"/>
        <w:rPr>
          <w:rFonts w:ascii="Times New Roman" w:eastAsia="Times New Roman"/>
          <w:sz w:val="18"/>
        </w:rPr>
      </w:pPr>
      <w:bookmarkStart w:name="_bookmark121" w:id="159"/>
      <w:bookmarkEnd w:id="159"/>
      <w:r>
        <w:rPr/>
      </w:r>
      <w:r>
        <w:rPr>
          <w:rFonts w:ascii="Times New Roman" w:eastAsia="Times New Roman"/>
          <w:position w:val="8"/>
          <w:sz w:val="15"/>
        </w:rPr>
        <w:t>[1] </w:t>
      </w:r>
      <w:r>
        <w:rPr>
          <w:sz w:val="18"/>
        </w:rPr>
        <w:t>台湾教育部</w:t>
      </w:r>
      <w:r>
        <w:rPr>
          <w:rFonts w:ascii="Times New Roman" w:eastAsia="Times New Roman"/>
          <w:sz w:val="18"/>
        </w:rPr>
        <w:t>.</w:t>
      </w:r>
      <w:r>
        <w:rPr>
          <w:sz w:val="18"/>
        </w:rPr>
        <w:t>十二年国民基本教育课程总纲</w:t>
      </w:r>
      <w:r>
        <w:rPr>
          <w:rFonts w:ascii="Times New Roman" w:eastAsia="Times New Roman"/>
          <w:sz w:val="18"/>
        </w:rPr>
        <w:t>[M].</w:t>
      </w:r>
      <w:r>
        <w:rPr>
          <w:sz w:val="18"/>
        </w:rPr>
        <w:t>台湾：台湾教育部，</w:t>
      </w:r>
      <w:r>
        <w:rPr>
          <w:rFonts w:ascii="Times New Roman" w:eastAsia="Times New Roman"/>
          <w:sz w:val="18"/>
        </w:rPr>
        <w:t>2014</w:t>
      </w:r>
      <w:r>
        <w:rPr>
          <w:sz w:val="18"/>
        </w:rPr>
        <w:t>：</w:t>
      </w:r>
      <w:r>
        <w:rPr>
          <w:rFonts w:ascii="Times New Roman" w:eastAsia="Times New Roman"/>
          <w:sz w:val="18"/>
        </w:rPr>
        <w:t>8.</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577"/>
        <w:jc w:val="both"/>
      </w:pPr>
      <w:bookmarkStart w:name="_bookmark122" w:id="160"/>
      <w:bookmarkEnd w:id="160"/>
      <w:r>
        <w:rPr/>
      </w:r>
      <w:r>
        <w:rPr>
          <w:spacing w:val="-13"/>
        </w:rPr>
        <w:t>教育自 </w:t>
      </w:r>
      <w:r>
        <w:rPr/>
        <w:t>20</w:t>
      </w:r>
      <w:r>
        <w:rPr>
          <w:spacing w:val="-9"/>
        </w:rPr>
        <w:t> 世纪初传入我国，经历了短暂的发展之后出现了断层，导致现今的生涯规划教育发展缓慢，仍处于探索阶段。因此，应适当借鉴国际生涯规划教育实</w:t>
      </w:r>
      <w:r>
        <w:rPr/>
        <w:t>施的有益经验。</w:t>
      </w:r>
    </w:p>
    <w:p>
      <w:pPr>
        <w:pStyle w:val="BodyText"/>
        <w:spacing w:before="4"/>
        <w:rPr>
          <w:sz w:val="17"/>
        </w:rPr>
      </w:pPr>
    </w:p>
    <w:p>
      <w:pPr>
        <w:pStyle w:val="Heading2"/>
        <w:numPr>
          <w:ilvl w:val="1"/>
          <w:numId w:val="3"/>
        </w:numPr>
        <w:tabs>
          <w:tab w:pos="1810" w:val="left" w:leader="none"/>
        </w:tabs>
        <w:spacing w:line="240" w:lineRule="auto" w:before="0" w:after="0"/>
        <w:ind w:left="1809" w:right="0" w:hanging="490"/>
        <w:jc w:val="left"/>
      </w:pPr>
      <w:r>
        <w:rPr/>
        <w:t>研究思路与研究方法</w:t>
      </w:r>
    </w:p>
    <w:p>
      <w:pPr>
        <w:pStyle w:val="BodyText"/>
        <w:spacing w:before="4"/>
        <w:rPr>
          <w:rFonts w:ascii="Microsoft JhengHei"/>
          <w:b/>
        </w:rPr>
      </w:pPr>
    </w:p>
    <w:p>
      <w:pPr>
        <w:pStyle w:val="ListParagraph"/>
        <w:numPr>
          <w:ilvl w:val="2"/>
          <w:numId w:val="3"/>
        </w:numPr>
        <w:tabs>
          <w:tab w:pos="1920" w:val="left" w:leader="none"/>
        </w:tabs>
        <w:spacing w:line="240" w:lineRule="auto" w:before="1" w:after="0"/>
        <w:ind w:left="1920" w:right="0" w:hanging="600"/>
        <w:jc w:val="left"/>
        <w:rPr>
          <w:sz w:val="24"/>
        </w:rPr>
      </w:pPr>
      <w:r>
        <w:rPr>
          <w:sz w:val="24"/>
        </w:rPr>
        <w:t>研究思路</w:t>
      </w:r>
    </w:p>
    <w:p>
      <w:pPr>
        <w:pStyle w:val="BodyText"/>
        <w:spacing w:before="7"/>
        <w:rPr>
          <w:sz w:val="35"/>
        </w:rPr>
      </w:pPr>
    </w:p>
    <w:p>
      <w:pPr>
        <w:pStyle w:val="BodyText"/>
        <w:spacing w:line="364" w:lineRule="auto"/>
        <w:ind w:left="1320" w:right="1455" w:firstLine="480"/>
      </w:pPr>
      <w:r>
        <w:rPr>
          <w:spacing w:val="-9"/>
        </w:rPr>
        <w:t>本研究按照“文献资料查阅——国际经验介绍——现状调查分析——原因探究——实施建议研究”这一研究思路：首先，查阅相关文献，对核心素养理念、</w:t>
      </w:r>
      <w:r>
        <w:rPr>
          <w:spacing w:val="-13"/>
        </w:rPr>
        <w:t>生涯规划教育以及核心素养视阈下的生涯规划教育进行梳理，了解国内外研究现</w:t>
      </w:r>
      <w:r>
        <w:rPr>
          <w:spacing w:val="-11"/>
        </w:rPr>
        <w:t>状；其次，以核心素养的本质特征为基础，分析核心素养观对发达国家生涯规划</w:t>
      </w:r>
      <w:r>
        <w:rPr>
          <w:spacing w:val="-14"/>
        </w:rPr>
        <w:t>教育实施目标、实施内容、实施方式的影响；再次，通过相关调查指出我国普通</w:t>
      </w:r>
      <w:r>
        <w:rPr>
          <w:spacing w:val="-21"/>
        </w:rPr>
        <w:t>高中生涯规划教育存在的问题；然后，剖析生涯规划教育存在问题的成因；最后， </w:t>
      </w:r>
      <w:r>
        <w:rPr/>
        <w:t>提出基于核心素养观的我国普通高中生涯规划教育的实施建议。</w:t>
      </w:r>
    </w:p>
    <w:p>
      <w:pPr>
        <w:pStyle w:val="BodyText"/>
        <w:spacing w:before="7"/>
        <w:rPr>
          <w:sz w:val="23"/>
        </w:rPr>
      </w:pPr>
    </w:p>
    <w:p>
      <w:pPr>
        <w:pStyle w:val="ListParagraph"/>
        <w:numPr>
          <w:ilvl w:val="2"/>
          <w:numId w:val="3"/>
        </w:numPr>
        <w:tabs>
          <w:tab w:pos="1920" w:val="left" w:leader="none"/>
        </w:tabs>
        <w:spacing w:line="240" w:lineRule="auto" w:before="0" w:after="0"/>
        <w:ind w:left="1920" w:right="0" w:hanging="600"/>
        <w:jc w:val="left"/>
        <w:rPr>
          <w:sz w:val="24"/>
        </w:rPr>
      </w:pPr>
      <w:r>
        <w:rPr>
          <w:sz w:val="24"/>
        </w:rPr>
        <w:t>研究方法</w:t>
      </w:r>
    </w:p>
    <w:p>
      <w:pPr>
        <w:pStyle w:val="BodyText"/>
        <w:spacing w:before="7"/>
        <w:rPr>
          <w:sz w:val="35"/>
        </w:rPr>
      </w:pPr>
    </w:p>
    <w:p>
      <w:pPr>
        <w:pStyle w:val="ListParagraph"/>
        <w:numPr>
          <w:ilvl w:val="3"/>
          <w:numId w:val="3"/>
        </w:numPr>
        <w:tabs>
          <w:tab w:pos="2100" w:val="left" w:leader="none"/>
        </w:tabs>
        <w:spacing w:line="240" w:lineRule="auto" w:before="0" w:after="0"/>
        <w:ind w:left="2100" w:right="0" w:hanging="780"/>
        <w:jc w:val="left"/>
        <w:rPr>
          <w:sz w:val="24"/>
        </w:rPr>
      </w:pPr>
      <w:r>
        <w:rPr>
          <w:sz w:val="24"/>
        </w:rPr>
        <w:t>比较研究法</w:t>
      </w:r>
    </w:p>
    <w:p>
      <w:pPr>
        <w:pStyle w:val="BodyText"/>
        <w:spacing w:line="364" w:lineRule="auto" w:before="161"/>
        <w:ind w:left="1320" w:right="1575" w:firstLine="480"/>
        <w:jc w:val="both"/>
      </w:pPr>
      <w:r>
        <w:rPr>
          <w:spacing w:val="-5"/>
        </w:rPr>
        <w:t>比较研究的本质是从事物的相互联系和差异的比较中对事物进行观察，从而</w:t>
      </w:r>
      <w:r>
        <w:rPr>
          <w:spacing w:val="-4"/>
        </w:rPr>
        <w:t>认识事物，探索其规律。</w:t>
      </w:r>
      <w:r>
        <w:rPr>
          <w:rFonts w:ascii="Times New Roman" w:eastAsia="Times New Roman"/>
          <w:position w:val="8"/>
          <w:sz w:val="15"/>
        </w:rPr>
        <w:t>[</w:t>
      </w:r>
      <w:hyperlink w:history="true" w:anchor="_bookmark123">
        <w:r>
          <w:rPr>
            <w:rFonts w:ascii="Times New Roman" w:eastAsia="Times New Roman"/>
            <w:position w:val="8"/>
            <w:sz w:val="15"/>
          </w:rPr>
          <w:t>1</w:t>
        </w:r>
      </w:hyperlink>
      <w:r>
        <w:rPr>
          <w:rFonts w:ascii="Times New Roman" w:eastAsia="Times New Roman"/>
          <w:position w:val="8"/>
          <w:sz w:val="15"/>
        </w:rPr>
        <w:t>]</w:t>
      </w:r>
      <w:r>
        <w:rPr>
          <w:spacing w:val="-2"/>
        </w:rPr>
        <w:t>本研究采取横向比较法，通过对国际上基于核心素养</w:t>
      </w:r>
      <w:r>
        <w:rPr>
          <w:spacing w:val="-6"/>
        </w:rPr>
        <w:t>观开展生涯规划教育的经验进行分析，归纳其显著特点和优势，再对比我国目前</w:t>
      </w:r>
      <w:r>
        <w:rPr>
          <w:spacing w:val="-7"/>
        </w:rPr>
        <w:t>普通高中生涯规划教育实施的现状，提出对我国普通高中基于核心素养观实施生</w:t>
      </w:r>
      <w:r>
        <w:rPr/>
        <w:t>涯规划教育的有力策略。</w:t>
      </w:r>
    </w:p>
    <w:p>
      <w:pPr>
        <w:pStyle w:val="ListParagraph"/>
        <w:numPr>
          <w:ilvl w:val="3"/>
          <w:numId w:val="3"/>
        </w:numPr>
        <w:tabs>
          <w:tab w:pos="2100" w:val="left" w:leader="none"/>
        </w:tabs>
        <w:spacing w:line="240" w:lineRule="auto" w:before="3" w:after="0"/>
        <w:ind w:left="2100" w:right="0" w:hanging="780"/>
        <w:jc w:val="left"/>
        <w:rPr>
          <w:sz w:val="24"/>
        </w:rPr>
      </w:pPr>
      <w:r>
        <w:rPr>
          <w:sz w:val="24"/>
        </w:rPr>
        <w:t>文献研究法</w:t>
      </w:r>
    </w:p>
    <w:p>
      <w:pPr>
        <w:pStyle w:val="BodyText"/>
        <w:spacing w:line="364" w:lineRule="auto" w:before="160"/>
        <w:ind w:left="1319" w:right="1485" w:firstLine="420"/>
        <w:jc w:val="both"/>
      </w:pPr>
      <w:r>
        <w:rPr>
          <w:spacing w:val="-5"/>
        </w:rPr>
        <w:t>文献法是对现存的有关文献、资料等进行检索、搜集、鉴别、整理、分析并</w:t>
      </w:r>
      <w:r>
        <w:rPr>
          <w:spacing w:val="-11"/>
        </w:rPr>
        <w:t>进行研究，以达到某种调查研究目的的科学研究方法。本研究通过在杭州师范大</w:t>
      </w:r>
      <w:r>
        <w:rPr>
          <w:spacing w:val="-12"/>
        </w:rPr>
        <w:t>学图书馆、教育学院资料室查阅电子资料、专业书籍、期刊杂志，其中包括中国</w:t>
      </w:r>
      <w:r>
        <w:rPr>
          <w:spacing w:val="-18"/>
        </w:rPr>
        <w:t>知网、</w:t>
      </w:r>
      <w:r>
        <w:rPr>
          <w:rFonts w:ascii="Times New Roman" w:eastAsia="Times New Roman"/>
        </w:rPr>
        <w:t>EBSCO</w:t>
      </w:r>
      <w:r>
        <w:rPr>
          <w:spacing w:val="-27"/>
        </w:rPr>
        <w:t>、</w:t>
      </w:r>
      <w:r>
        <w:rPr>
          <w:rFonts w:ascii="Times New Roman" w:eastAsia="Times New Roman"/>
        </w:rPr>
        <w:t>SAGE </w:t>
      </w:r>
      <w:r>
        <w:rPr>
          <w:spacing w:val="-6"/>
        </w:rPr>
        <w:t>等数据库进行资料收集。同时搜索国外网站，包括美国公</w:t>
      </w:r>
      <w:r>
        <w:rPr>
          <w:spacing w:val="-7"/>
        </w:rPr>
        <w:t>立大学联合会网站、相关大学的网站、联邦政府网站、教育专业团体的网站等，</w:t>
      </w:r>
    </w:p>
    <w:p>
      <w:pPr>
        <w:spacing w:before="172"/>
        <w:ind w:left="1320" w:right="0" w:firstLine="0"/>
        <w:jc w:val="left"/>
        <w:rPr>
          <w:rFonts w:ascii="Times New Roman" w:eastAsia="Times New Roman"/>
          <w:sz w:val="18"/>
        </w:rPr>
      </w:pPr>
      <w:bookmarkStart w:name="_bookmark123" w:id="161"/>
      <w:bookmarkEnd w:id="161"/>
      <w:r>
        <w:rPr/>
      </w:r>
      <w:r>
        <w:rPr>
          <w:rFonts w:ascii="Times New Roman" w:eastAsia="Times New Roman"/>
          <w:position w:val="8"/>
          <w:sz w:val="15"/>
        </w:rPr>
        <w:t>[1] </w:t>
      </w:r>
      <w:r>
        <w:rPr>
          <w:sz w:val="18"/>
        </w:rPr>
        <w:t>裴娣娜</w:t>
      </w:r>
      <w:r>
        <w:rPr>
          <w:rFonts w:ascii="Times New Roman" w:eastAsia="Times New Roman"/>
          <w:sz w:val="18"/>
        </w:rPr>
        <w:t>.</w:t>
      </w:r>
      <w:r>
        <w:rPr>
          <w:sz w:val="18"/>
        </w:rPr>
        <w:t>教育研究方法导论</w:t>
      </w:r>
      <w:r>
        <w:rPr>
          <w:rFonts w:ascii="Times New Roman" w:eastAsia="Times New Roman"/>
          <w:sz w:val="18"/>
        </w:rPr>
        <w:t>[M].</w:t>
      </w:r>
      <w:r>
        <w:rPr>
          <w:sz w:val="18"/>
        </w:rPr>
        <w:t>合肥</w:t>
      </w:r>
      <w:r>
        <w:rPr>
          <w:rFonts w:ascii="Times New Roman" w:eastAsia="Times New Roman"/>
          <w:sz w:val="18"/>
        </w:rPr>
        <w:t>:</w:t>
      </w:r>
      <w:r>
        <w:rPr>
          <w:sz w:val="18"/>
        </w:rPr>
        <w:t>安徽教育出版社，</w:t>
      </w:r>
      <w:r>
        <w:rPr>
          <w:rFonts w:ascii="Times New Roman" w:eastAsia="Times New Roman"/>
          <w:sz w:val="18"/>
        </w:rPr>
        <w:t>1995</w:t>
      </w:r>
      <w:r>
        <w:rPr>
          <w:sz w:val="18"/>
        </w:rPr>
        <w:t>：</w:t>
      </w:r>
      <w:r>
        <w:rPr>
          <w:rFonts w:ascii="Times New Roman" w:eastAsia="Times New Roman"/>
          <w:sz w:val="18"/>
        </w:rPr>
        <w:t>224.</w:t>
      </w:r>
    </w:p>
    <w:p>
      <w:pPr>
        <w:spacing w:after="0"/>
        <w:jc w:val="left"/>
        <w:rPr>
          <w:rFonts w:ascii="Times New Roman" w:eastAsia="Times New Roman"/>
          <w:sz w:val="18"/>
        </w:rPr>
        <w:sectPr>
          <w:headerReference w:type="default" r:id="rId33"/>
          <w:footerReference w:type="default" r:id="rId34"/>
          <w:pgSz w:w="11910" w:h="16840"/>
          <w:pgMar w:header="878" w:footer="1312" w:top="1300" w:bottom="1500" w:left="480" w:right="220"/>
        </w:sectPr>
      </w:pPr>
    </w:p>
    <w:p>
      <w:pPr>
        <w:pStyle w:val="BodyText"/>
        <w:spacing w:before="6"/>
        <w:rPr>
          <w:rFonts w:ascii="Times New Roman"/>
          <w:sz w:val="12"/>
        </w:rPr>
      </w:pPr>
    </w:p>
    <w:p>
      <w:pPr>
        <w:pStyle w:val="BodyText"/>
        <w:spacing w:line="364" w:lineRule="auto" w:before="66"/>
        <w:ind w:left="1320" w:right="1577"/>
      </w:pPr>
      <w:r>
        <w:rPr>
          <w:spacing w:val="-8"/>
        </w:rPr>
        <w:t>获得了有价值的文献，不仅为笔者提供文献综述的相关资料，同时也为本研究奠</w:t>
      </w:r>
      <w:r>
        <w:rPr/>
        <w:t>定了理论基础。</w:t>
      </w:r>
    </w:p>
    <w:p>
      <w:pPr>
        <w:pStyle w:val="ListParagraph"/>
        <w:numPr>
          <w:ilvl w:val="3"/>
          <w:numId w:val="3"/>
        </w:numPr>
        <w:tabs>
          <w:tab w:pos="2100" w:val="left" w:leader="none"/>
        </w:tabs>
        <w:spacing w:line="240" w:lineRule="auto" w:before="1" w:after="0"/>
        <w:ind w:left="2100" w:right="0" w:hanging="780"/>
        <w:jc w:val="left"/>
        <w:rPr>
          <w:sz w:val="24"/>
        </w:rPr>
      </w:pPr>
      <w:r>
        <w:rPr>
          <w:sz w:val="24"/>
        </w:rPr>
        <w:t>调查研究法</w:t>
      </w:r>
    </w:p>
    <w:p>
      <w:pPr>
        <w:pStyle w:val="BodyText"/>
        <w:spacing w:line="364" w:lineRule="auto" w:before="161"/>
        <w:ind w:left="1320" w:right="1577" w:firstLine="420"/>
        <w:jc w:val="both"/>
      </w:pPr>
      <w:r>
        <w:rPr>
          <w:spacing w:val="-4"/>
        </w:rPr>
        <w:t>调查研究法是有目的、有计划地搜集研究对象的材料，通过分析形成对其的</w:t>
      </w:r>
      <w:r>
        <w:rPr>
          <w:spacing w:val="-10"/>
        </w:rPr>
        <w:t>科学认识。本研究为获得第一手真实而客观的资料，主要使用调查研究法中的问</w:t>
      </w:r>
      <w:r>
        <w:rPr>
          <w:spacing w:val="-9"/>
        </w:rPr>
        <w:t>卷调查和访谈研究，深入学校对学生进行问卷调查，以及对生涯规划教育的主要</w:t>
      </w:r>
      <w:r>
        <w:rPr>
          <w:spacing w:val="-11"/>
        </w:rPr>
        <w:t>负责领导、教师进行访谈，了解该校生涯规划教育的实施情况，以获得更准确的</w:t>
      </w:r>
      <w:r>
        <w:rPr/>
        <w:t>资料。</w:t>
      </w:r>
    </w:p>
    <w:p>
      <w:pPr>
        <w:spacing w:after="0" w:line="364" w:lineRule="auto"/>
        <w:jc w:val="both"/>
        <w:sectPr>
          <w:headerReference w:type="default" r:id="rId35"/>
          <w:footerReference w:type="default" r:id="rId36"/>
          <w:pgSz w:w="11910" w:h="16840"/>
          <w:pgMar w:header="878" w:footer="1160" w:top="1300" w:bottom="1360" w:left="480" w:right="220"/>
          <w:pgNumType w:start="26"/>
        </w:sectPr>
      </w:pPr>
    </w:p>
    <w:p>
      <w:pPr>
        <w:pStyle w:val="BodyText"/>
        <w:spacing w:before="2"/>
        <w:rPr>
          <w:sz w:val="19"/>
        </w:rPr>
      </w:pPr>
    </w:p>
    <w:p>
      <w:pPr>
        <w:pStyle w:val="Heading1"/>
        <w:numPr>
          <w:ilvl w:val="0"/>
          <w:numId w:val="2"/>
        </w:numPr>
        <w:tabs>
          <w:tab w:pos="1620" w:val="left" w:leader="none"/>
        </w:tabs>
        <w:spacing w:line="521" w:lineRule="exact" w:before="0" w:after="0"/>
        <w:ind w:left="1620" w:right="0" w:hanging="300"/>
        <w:jc w:val="left"/>
      </w:pPr>
      <w:bookmarkStart w:name="_bookmark124" w:id="162"/>
      <w:bookmarkEnd w:id="162"/>
      <w:r>
        <w:rPr>
          <w:b w:val="0"/>
        </w:rPr>
      </w:r>
      <w:bookmarkStart w:name="_bookmark124" w:id="163"/>
      <w:bookmarkEnd w:id="163"/>
      <w:r>
        <w:rPr/>
        <w:t>基于核心素养观实施生涯规划教育的国际经验</w:t>
      </w:r>
    </w:p>
    <w:p>
      <w:pPr>
        <w:pStyle w:val="BodyText"/>
        <w:spacing w:before="7"/>
        <w:rPr>
          <w:rFonts w:ascii="Microsoft JhengHei"/>
          <w:b/>
          <w:sz w:val="26"/>
        </w:rPr>
      </w:pPr>
    </w:p>
    <w:p>
      <w:pPr>
        <w:pStyle w:val="Heading2"/>
        <w:numPr>
          <w:ilvl w:val="1"/>
          <w:numId w:val="2"/>
        </w:numPr>
        <w:tabs>
          <w:tab w:pos="1810" w:val="left" w:leader="none"/>
        </w:tabs>
        <w:spacing w:line="240" w:lineRule="auto" w:before="0" w:after="0"/>
        <w:ind w:left="1809" w:right="0" w:hanging="490"/>
        <w:jc w:val="left"/>
        <w:rPr>
          <w:rFonts w:ascii="Times New Roman" w:eastAsia="Times New Roman"/>
        </w:rPr>
      </w:pPr>
      <w:r>
        <w:rPr/>
        <w:t>核心素养观的本质特征</w:t>
      </w:r>
    </w:p>
    <w:p>
      <w:pPr>
        <w:pStyle w:val="BodyText"/>
        <w:spacing w:before="5"/>
        <w:rPr>
          <w:rFonts w:ascii="Microsoft JhengHei"/>
          <w:b/>
          <w:sz w:val="22"/>
        </w:rPr>
      </w:pPr>
    </w:p>
    <w:p>
      <w:pPr>
        <w:pStyle w:val="BodyText"/>
        <w:spacing w:line="364" w:lineRule="auto"/>
        <w:ind w:left="1320" w:right="1449" w:firstLine="480"/>
        <w:rPr>
          <w:sz w:val="12"/>
        </w:rPr>
      </w:pPr>
      <w:r>
        <w:rPr>
          <w:spacing w:val="-3"/>
        </w:rPr>
        <w:t>核心素养是一个不断发展的概念，理解“素养”（</w:t>
      </w:r>
      <w:r>
        <w:rPr>
          <w:rFonts w:ascii="Times New Roman" w:hAnsi="Times New Roman" w:eastAsia="Times New Roman"/>
          <w:spacing w:val="-3"/>
        </w:rPr>
        <w:t>Competency/Competence</w:t>
      </w:r>
      <w:r>
        <w:rPr>
          <w:spacing w:val="-3"/>
        </w:rPr>
        <w:t>） </w:t>
      </w:r>
      <w:r>
        <w:rPr>
          <w:spacing w:val="-6"/>
        </w:rPr>
        <w:t>的概念是把握核心素养本质特征的关键。目前关于核心素养的多数研究认为素养</w:t>
      </w:r>
      <w:r>
        <w:rPr>
          <w:spacing w:val="-11"/>
        </w:rPr>
        <w:t>处于一种“功能”的地位，素养是形成适当表现的能力：在社会情境</w:t>
      </w:r>
      <w:r>
        <w:rPr/>
        <w:t>（包括与他人交互和理解期待）中整合资源（工具、知识、技术），实现符合情境的目标。</w:t>
      </w:r>
      <w:r>
        <w:rPr>
          <w:rFonts w:ascii="Times New Roman" w:hAnsi="Times New Roman" w:eastAsia="Times New Roman"/>
          <w:position w:val="8"/>
          <w:sz w:val="15"/>
        </w:rPr>
        <w:t>[</w:t>
      </w:r>
      <w:hyperlink w:history="true" w:anchor="_bookmark125">
        <w:r>
          <w:rPr>
            <w:rFonts w:ascii="Times New Roman" w:hAnsi="Times New Roman" w:eastAsia="Times New Roman"/>
            <w:position w:val="8"/>
            <w:sz w:val="15"/>
          </w:rPr>
          <w:t>1</w:t>
        </w:r>
      </w:hyperlink>
      <w:r>
        <w:rPr>
          <w:rFonts w:ascii="Times New Roman" w:hAnsi="Times New Roman" w:eastAsia="Times New Roman"/>
          <w:position w:val="8"/>
          <w:sz w:val="15"/>
        </w:rPr>
        <w:t>]</w:t>
      </w:r>
      <w:r>
        <w:rPr/>
        <w:t>例如，</w:t>
      </w:r>
      <w:r>
        <w:rPr>
          <w:rFonts w:ascii="Times New Roman" w:hAnsi="Times New Roman" w:eastAsia="Times New Roman"/>
        </w:rPr>
        <w:t>OECD </w:t>
      </w:r>
      <w:r>
        <w:rPr>
          <w:spacing w:val="-5"/>
        </w:rPr>
        <w:t>表明“素养不只是知识和技能”，素养是在特定的情境中，通过</w:t>
      </w:r>
      <w:r>
        <w:rPr>
          <w:spacing w:val="-7"/>
        </w:rPr>
        <w:t>利用和调动社会心理资源</w:t>
      </w:r>
      <w:r>
        <w:rPr/>
        <w:t>（包括能力和态度</w:t>
      </w:r>
      <w:r>
        <w:rPr>
          <w:spacing w:val="-19"/>
        </w:rPr>
        <w:t>）</w:t>
      </w:r>
      <w:r>
        <w:rPr>
          <w:spacing w:val="-8"/>
        </w:rPr>
        <w:t>，满足复杂需要的能力。比如，有</w:t>
      </w:r>
      <w:r>
        <w:rPr>
          <w:spacing w:val="-14"/>
        </w:rPr>
        <w:t>效沟通的能力就是一种素养，它可以调动个人的语言知识、实用性信息通讯技术能力以及对与其交往对象的态度。”</w:t>
      </w:r>
      <w:r>
        <w:rPr>
          <w:rFonts w:ascii="Times New Roman" w:hAnsi="Times New Roman" w:eastAsia="Times New Roman"/>
          <w:position w:val="8"/>
          <w:sz w:val="15"/>
        </w:rPr>
        <w:t>[</w:t>
      </w:r>
      <w:hyperlink w:history="true" w:anchor="_bookmark126">
        <w:r>
          <w:rPr>
            <w:rFonts w:ascii="Times New Roman" w:hAnsi="Times New Roman" w:eastAsia="Times New Roman"/>
            <w:position w:val="8"/>
            <w:sz w:val="15"/>
          </w:rPr>
          <w:t>2</w:t>
        </w:r>
      </w:hyperlink>
      <w:r>
        <w:rPr>
          <w:rFonts w:ascii="Times New Roman" w:hAnsi="Times New Roman" w:eastAsia="Times New Roman"/>
          <w:position w:val="8"/>
          <w:sz w:val="15"/>
        </w:rPr>
        <w:t>]</w:t>
      </w:r>
      <w:r>
        <w:rPr>
          <w:spacing w:val="-4"/>
        </w:rPr>
        <w:t>欧盟在《为了终身学习的核心素养：欧洲</w:t>
      </w:r>
      <w:r>
        <w:rPr>
          <w:spacing w:val="-10"/>
        </w:rPr>
        <w:t>参考框架》中对素养的界定如下：素养即无论在工作情境、学习情境，还是在专业和个人发展中都能够运用知识、技能以及个人、社会或方法论的能力。可见， </w:t>
      </w:r>
      <w:r>
        <w:rPr>
          <w:spacing w:val="-14"/>
        </w:rPr>
        <w:t>素养的内涵十分丰富，不仅要求个体具备一系列知识或技能，更强调在现实情境</w:t>
      </w:r>
      <w:r>
        <w:rPr>
          <w:spacing w:val="-10"/>
        </w:rPr>
        <w:t>中，个体对这些知识或者技能的整合、调动、提取与应用。因此，素养通常包涵知识、技能和态度（信仰、性格、价值观）这三个维度。</w:t>
      </w:r>
      <w:r>
        <w:rPr>
          <w:spacing w:val="-10"/>
          <w:position w:val="12"/>
          <w:sz w:val="12"/>
        </w:rPr>
        <w:t>[</w:t>
      </w:r>
      <w:hyperlink w:history="true" w:anchor="_bookmark127">
        <w:r>
          <w:rPr>
            <w:spacing w:val="-10"/>
            <w:position w:val="12"/>
            <w:sz w:val="12"/>
          </w:rPr>
          <w:t>3</w:t>
        </w:r>
      </w:hyperlink>
      <w:r>
        <w:rPr>
          <w:spacing w:val="-10"/>
          <w:position w:val="12"/>
          <w:sz w:val="12"/>
        </w:rPr>
        <w:t>]</w:t>
      </w:r>
    </w:p>
    <w:p>
      <w:pPr>
        <w:pStyle w:val="BodyText"/>
        <w:spacing w:line="364" w:lineRule="auto" w:before="8"/>
        <w:ind w:left="1320" w:right="1577" w:firstLine="480"/>
        <w:jc w:val="both"/>
      </w:pPr>
      <w:r>
        <w:rPr>
          <w:spacing w:val="-10"/>
        </w:rPr>
        <w:t>基于对素养的内涵理解，结合上文对国际上具有代表性的核心素养模型的分</w:t>
      </w:r>
      <w:r>
        <w:rPr>
          <w:spacing w:val="-9"/>
        </w:rPr>
        <w:t>析，本研究认为核心素养的本质特征包括如下几个方面：共通性、导向性、整合</w:t>
      </w:r>
      <w:r>
        <w:rPr/>
        <w:t>性、情境性、全体性、习得性。</w:t>
      </w:r>
    </w:p>
    <w:p>
      <w:pPr>
        <w:pStyle w:val="ListParagraph"/>
        <w:numPr>
          <w:ilvl w:val="2"/>
          <w:numId w:val="2"/>
        </w:numPr>
        <w:tabs>
          <w:tab w:pos="1920" w:val="left" w:leader="none"/>
        </w:tabs>
        <w:spacing w:line="240" w:lineRule="auto" w:before="158" w:after="0"/>
        <w:ind w:left="1920" w:right="0" w:hanging="600"/>
        <w:jc w:val="left"/>
        <w:rPr>
          <w:sz w:val="24"/>
        </w:rPr>
      </w:pPr>
      <w:r>
        <w:rPr>
          <w:sz w:val="24"/>
        </w:rPr>
        <w:t>共通性</w:t>
      </w:r>
    </w:p>
    <w:p>
      <w:pPr>
        <w:pStyle w:val="BodyText"/>
        <w:spacing w:before="8"/>
      </w:pPr>
    </w:p>
    <w:p>
      <w:pPr>
        <w:pStyle w:val="BodyText"/>
        <w:spacing w:before="1"/>
        <w:ind w:left="745" w:right="525"/>
        <w:jc w:val="center"/>
      </w:pPr>
      <w:r>
        <w:rPr/>
        <w:t>当前国际上关于核心素养的研究不胜枚举，各国际组织、国家和地区对于核</w:t>
      </w:r>
    </w:p>
    <w:p>
      <w:pPr>
        <w:pStyle w:val="BodyText"/>
        <w:spacing w:before="3"/>
        <w:rPr>
          <w:sz w:val="17"/>
        </w:rPr>
      </w:pPr>
      <w:r>
        <w:rPr/>
        <w:pict>
          <v:shape style="position:absolute;margin-left:90pt;margin-top:13.276192pt;width:144pt;height:.1pt;mso-position-horizontal-relative:page;mso-position-vertical-relative:paragraph;z-index:-251612160;mso-wrap-distance-left:0;mso-wrap-distance-right:0" coordorigin="1800,266" coordsize="2880,0" path="m1800,266l4680,266e" filled="false" stroked="true" strokeweight=".402pt" strokecolor="#000000">
            <v:path arrowok="t"/>
            <v:stroke dashstyle="solid"/>
            <w10:wrap type="topAndBottom"/>
          </v:shape>
        </w:pict>
      </w:r>
    </w:p>
    <w:p>
      <w:pPr>
        <w:spacing w:line="374" w:lineRule="auto" w:before="92"/>
        <w:ind w:left="1320" w:right="1577" w:firstLine="0"/>
        <w:jc w:val="left"/>
        <w:rPr>
          <w:rFonts w:ascii="Times New Roman" w:hAnsi="Times New Roman"/>
          <w:sz w:val="18"/>
        </w:rPr>
      </w:pPr>
      <w:bookmarkStart w:name="_bookmark125" w:id="164"/>
      <w:bookmarkEnd w:id="164"/>
      <w:r>
        <w:rPr/>
      </w:r>
      <w:r>
        <w:rPr>
          <w:rFonts w:ascii="Times New Roman" w:hAnsi="Times New Roman"/>
          <w:position w:val="7"/>
          <w:sz w:val="13"/>
        </w:rPr>
        <w:t>[1] </w:t>
      </w:r>
      <w:r>
        <w:rPr>
          <w:rFonts w:ascii="Times New Roman" w:hAnsi="Times New Roman"/>
          <w:sz w:val="18"/>
        </w:rPr>
        <w:t>OECD</w:t>
      </w:r>
      <w:r>
        <w:rPr>
          <w:rFonts w:ascii="Times New Roman" w:hAnsi="Times New Roman"/>
          <w:sz w:val="15"/>
        </w:rPr>
        <w:t>.</w:t>
      </w:r>
      <w:r>
        <w:rPr>
          <w:rFonts w:ascii="Times New Roman" w:hAnsi="Times New Roman"/>
          <w:sz w:val="18"/>
        </w:rPr>
        <w:t>The Survey of Adult Skills (PIAAC) and “Key Competencies”.[EB/OL].http://www.oecd-ilibrary. org/deliver/8716021ec009.pdf?itemId=/content/chapter/9789264258075-9-en&amp;mimeType=application/pdf.2017.2- 9.</w:t>
      </w:r>
    </w:p>
    <w:p>
      <w:pPr>
        <w:spacing w:line="372" w:lineRule="auto" w:before="0"/>
        <w:ind w:left="1320" w:right="1598" w:firstLine="0"/>
        <w:jc w:val="both"/>
        <w:rPr>
          <w:rFonts w:ascii="Times New Roman"/>
          <w:sz w:val="18"/>
        </w:rPr>
      </w:pPr>
      <w:bookmarkStart w:name="_bookmark126" w:id="165"/>
      <w:bookmarkEnd w:id="165"/>
      <w:r>
        <w:rPr/>
      </w:r>
      <w:r>
        <w:rPr>
          <w:rFonts w:ascii="Times New Roman"/>
          <w:position w:val="7"/>
          <w:sz w:val="13"/>
        </w:rPr>
        <w:t>[2] </w:t>
      </w:r>
      <w:r>
        <w:rPr>
          <w:rFonts w:ascii="Times New Roman"/>
          <w:sz w:val="18"/>
        </w:rPr>
        <w:t>OECD (2005) The definition and selection of key competencies [Executive Summary]. [EB/OL].2016-5- 18.http://www.oecd.org/dataoecd/47/61/35070367.pdf.</w:t>
      </w:r>
      <w:hyperlink r:id="rId37">
        <w:r>
          <w:rPr>
            <w:rFonts w:ascii="Times New Roman"/>
            <w:sz w:val="18"/>
          </w:rPr>
          <w:t>http://www.oecd-ilibrary.org/deliver/8716021ec009.pdf?ite</w:t>
        </w:r>
      </w:hyperlink>
      <w:r>
        <w:rPr>
          <w:rFonts w:ascii="Times New Roman"/>
          <w:sz w:val="18"/>
        </w:rPr>
        <w:t> mId=/content/chapter/9789264258075-9-en&amp;mimeType=application/pdf.2017.2-9.</w:t>
      </w:r>
    </w:p>
    <w:p>
      <w:pPr>
        <w:spacing w:line="374" w:lineRule="auto" w:before="0"/>
        <w:ind w:left="1320" w:right="1577" w:firstLine="0"/>
        <w:jc w:val="left"/>
        <w:rPr>
          <w:rFonts w:ascii="Times New Roman" w:hAnsi="Times New Roman"/>
          <w:sz w:val="18"/>
        </w:rPr>
      </w:pPr>
      <w:bookmarkStart w:name="_bookmark127" w:id="166"/>
      <w:bookmarkEnd w:id="166"/>
      <w:r>
        <w:rPr/>
      </w:r>
      <w:r>
        <w:rPr>
          <w:rFonts w:ascii="Times New Roman" w:hAnsi="Times New Roman"/>
          <w:position w:val="7"/>
          <w:sz w:val="13"/>
        </w:rPr>
        <w:t>[3] </w:t>
      </w:r>
      <w:r>
        <w:rPr>
          <w:rFonts w:ascii="Times New Roman" w:hAnsi="Times New Roman"/>
          <w:sz w:val="18"/>
        </w:rPr>
        <w:t>OECD.The Survey of Adult Skills (PIAAC) and “Key Competencies”.[EB/OL].http://www.oecd-ilibrary. org/deliver/8716021ec009.pdf?itemId=/content/chapter/9789264258075-9-en&amp;mimeType=application/pdf.2017.2- 9.</w:t>
      </w:r>
    </w:p>
    <w:p>
      <w:pPr>
        <w:spacing w:after="0" w:line="374" w:lineRule="auto"/>
        <w:jc w:val="left"/>
        <w:rPr>
          <w:rFonts w:ascii="Times New Roman" w:hAnsi="Times New Roman"/>
          <w:sz w:val="18"/>
        </w:rPr>
        <w:sectPr>
          <w:pgSz w:w="11910" w:h="16840"/>
          <w:pgMar w:header="878" w:footer="1160" w:top="1300" w:bottom="1380" w:left="480" w:right="220"/>
        </w:sectPr>
      </w:pPr>
    </w:p>
    <w:p>
      <w:pPr>
        <w:pStyle w:val="BodyText"/>
        <w:spacing w:before="6"/>
        <w:rPr>
          <w:rFonts w:ascii="Times New Roman"/>
          <w:sz w:val="12"/>
        </w:rPr>
      </w:pPr>
    </w:p>
    <w:p>
      <w:pPr>
        <w:pStyle w:val="BodyText"/>
        <w:spacing w:line="364" w:lineRule="auto" w:before="66"/>
        <w:ind w:left="1320" w:right="1575"/>
        <w:jc w:val="both"/>
      </w:pPr>
      <w:bookmarkStart w:name="_bookmark128" w:id="167"/>
      <w:bookmarkEnd w:id="167"/>
      <w:r>
        <w:rPr/>
      </w:r>
      <w:r>
        <w:rPr>
          <w:spacing w:val="-7"/>
        </w:rPr>
        <w:t>心素养的内涵与特征有不同的认识，其构建的核心素养模型在具体表述方式上也</w:t>
      </w:r>
      <w:r>
        <w:rPr>
          <w:spacing w:val="-11"/>
        </w:rPr>
        <w:t>存在差异，但总体来看，“其基本思想是共通的，即都重视公民的关键的、必要</w:t>
      </w:r>
      <w:r>
        <w:rPr>
          <w:spacing w:val="-4"/>
        </w:rPr>
        <w:t>的、重要的素养。”</w:t>
      </w:r>
      <w:hyperlink w:history="true" w:anchor="_bookmark129">
        <w:r>
          <w:rPr>
            <w:rFonts w:ascii="Times New Roman" w:hAnsi="Times New Roman" w:eastAsia="Times New Roman"/>
            <w:spacing w:val="-3"/>
            <w:position w:val="8"/>
            <w:sz w:val="15"/>
          </w:rPr>
          <w:t>[1</w:t>
        </w:r>
      </w:hyperlink>
      <w:r>
        <w:rPr>
          <w:rFonts w:ascii="Times New Roman" w:hAnsi="Times New Roman" w:eastAsia="Times New Roman"/>
          <w:spacing w:val="-3"/>
          <w:position w:val="8"/>
          <w:sz w:val="15"/>
        </w:rPr>
        <w:t>]</w:t>
      </w:r>
      <w:r>
        <w:rPr>
          <w:spacing w:val="-5"/>
        </w:rPr>
        <w:t>因此，核心素养既不是基础素养，也不是全面素养，而是</w:t>
      </w:r>
      <w:r>
        <w:rPr>
          <w:spacing w:val="-11"/>
        </w:rPr>
        <w:t>居于最“核心”的素养，是所有个体发展不可或缺的素养。另一方面，从国际上</w:t>
      </w:r>
      <w:r>
        <w:rPr>
          <w:spacing w:val="-7"/>
        </w:rPr>
        <w:t>对核心素养框架的界定来看，核心素养主要集中于自我发展、社会需求和公民素</w:t>
      </w:r>
      <w:r>
        <w:rPr>
          <w:spacing w:val="-9"/>
        </w:rPr>
        <w:t>养这三个领域。可见，核心素养的界定虽有国家、地区差异，但总体上具有一致</w:t>
      </w:r>
      <w:r>
        <w:rPr/>
        <w:t>性。</w:t>
      </w:r>
    </w:p>
    <w:p>
      <w:pPr>
        <w:pStyle w:val="BodyText"/>
        <w:spacing w:before="7"/>
        <w:rPr>
          <w:sz w:val="23"/>
        </w:rPr>
      </w:pPr>
    </w:p>
    <w:p>
      <w:pPr>
        <w:pStyle w:val="ListParagraph"/>
        <w:numPr>
          <w:ilvl w:val="2"/>
          <w:numId w:val="2"/>
        </w:numPr>
        <w:tabs>
          <w:tab w:pos="1920" w:val="left" w:leader="none"/>
        </w:tabs>
        <w:spacing w:line="240" w:lineRule="auto" w:before="0" w:after="0"/>
        <w:ind w:left="1920" w:right="0" w:hanging="600"/>
        <w:jc w:val="left"/>
        <w:rPr>
          <w:sz w:val="24"/>
        </w:rPr>
      </w:pPr>
      <w:r>
        <w:rPr>
          <w:sz w:val="24"/>
        </w:rPr>
        <w:t>需求性</w:t>
      </w:r>
    </w:p>
    <w:p>
      <w:pPr>
        <w:pStyle w:val="BodyText"/>
        <w:spacing w:before="7"/>
        <w:rPr>
          <w:sz w:val="35"/>
        </w:rPr>
      </w:pPr>
    </w:p>
    <w:p>
      <w:pPr>
        <w:pStyle w:val="BodyText"/>
        <w:spacing w:line="364" w:lineRule="auto"/>
        <w:ind w:left="1319" w:right="1485" w:firstLine="480"/>
      </w:pPr>
      <w:r>
        <w:rPr>
          <w:spacing w:val="-8"/>
        </w:rPr>
        <w:t>核心素养模型以“需求导向”为出发点，既要满足“个体的需求”，更需要</w:t>
      </w:r>
      <w:r>
        <w:rPr>
          <w:spacing w:val="-11"/>
        </w:rPr>
        <w:t>反映“社会的需求”，即实现预期的结果是核心素养形成的先决条件。例如亚太经合组织（</w:t>
      </w:r>
      <w:r>
        <w:rPr>
          <w:rFonts w:ascii="Times New Roman" w:hAnsi="Times New Roman" w:eastAsia="Times New Roman"/>
          <w:spacing w:val="-11"/>
        </w:rPr>
        <w:t>OECD</w:t>
      </w:r>
      <w:r>
        <w:rPr>
          <w:spacing w:val="-11"/>
        </w:rPr>
        <w:t>）把实现社会的良好运行作和个人的完满生活作为基本需求， </w:t>
      </w:r>
      <w:r>
        <w:rPr>
          <w:spacing w:val="-12"/>
        </w:rPr>
        <w:t>以此衡量个体需要具备的基本素质，包括需要具备哪些能力才能保住一份工作， </w:t>
      </w:r>
      <w:r>
        <w:rPr>
          <w:spacing w:val="-2"/>
        </w:rPr>
        <w:t>需要具备哪些素质才能应对社会发展带来的挑战，并诠释了一组核心素养</w:t>
      </w:r>
      <w:r>
        <w:rPr>
          <w:rFonts w:ascii="Times New Roman" w:hAnsi="Times New Roman" w:eastAsia="Times New Roman"/>
          <w:spacing w:val="-6"/>
          <w:position w:val="8"/>
          <w:sz w:val="15"/>
        </w:rPr>
        <w:t>[</w:t>
      </w:r>
      <w:hyperlink w:history="true" w:anchor="_bookmark130">
        <w:r>
          <w:rPr>
            <w:rFonts w:ascii="Times New Roman" w:hAnsi="Times New Roman" w:eastAsia="Times New Roman"/>
            <w:spacing w:val="-6"/>
            <w:position w:val="8"/>
            <w:sz w:val="15"/>
          </w:rPr>
          <w:t>2</w:t>
        </w:r>
      </w:hyperlink>
      <w:r>
        <w:rPr>
          <w:rFonts w:ascii="Times New Roman" w:hAnsi="Times New Roman" w:eastAsia="Times New Roman"/>
          <w:spacing w:val="-6"/>
          <w:position w:val="8"/>
          <w:sz w:val="15"/>
        </w:rPr>
        <w:t>]</w:t>
      </w:r>
      <w:r>
        <w:rPr>
          <w:spacing w:val="-3"/>
        </w:rPr>
        <w:t>；欧</w:t>
      </w:r>
      <w:r>
        <w:rPr>
          <w:spacing w:val="-7"/>
        </w:rPr>
        <w:t>盟委员认为核心素养是在知识社会下实现个人成就，培养活跃的公民，增强公民</w:t>
      </w:r>
      <w:r>
        <w:rPr>
          <w:spacing w:val="-13"/>
        </w:rPr>
        <w:t>社会凝聚力和就业能力。个体的生存与社会发展息息相关，核心素养充分体现了</w:t>
      </w:r>
      <w:r>
        <w:rPr>
          <w:rFonts w:ascii="Times New Roman" w:hAnsi="Times New Roman" w:eastAsia="Times New Roman"/>
          <w:spacing w:val="-13"/>
        </w:rPr>
        <w:t>21 </w:t>
      </w:r>
      <w:r>
        <w:rPr>
          <w:spacing w:val="-13"/>
        </w:rPr>
        <w:t>世纪社会变迁的需求，也是个体适应社会发展的必备素养。</w:t>
      </w:r>
    </w:p>
    <w:p>
      <w:pPr>
        <w:pStyle w:val="BodyText"/>
        <w:spacing w:before="5"/>
        <w:rPr>
          <w:sz w:val="23"/>
        </w:rPr>
      </w:pPr>
    </w:p>
    <w:p>
      <w:pPr>
        <w:pStyle w:val="ListParagraph"/>
        <w:numPr>
          <w:ilvl w:val="2"/>
          <w:numId w:val="2"/>
        </w:numPr>
        <w:tabs>
          <w:tab w:pos="1920" w:val="left" w:leader="none"/>
        </w:tabs>
        <w:spacing w:line="240" w:lineRule="auto" w:before="1" w:after="0"/>
        <w:ind w:left="1920" w:right="0" w:hanging="600"/>
        <w:jc w:val="left"/>
        <w:rPr>
          <w:sz w:val="24"/>
        </w:rPr>
      </w:pPr>
      <w:r>
        <w:rPr>
          <w:sz w:val="24"/>
        </w:rPr>
        <w:t>整合性</w:t>
      </w:r>
    </w:p>
    <w:p>
      <w:pPr>
        <w:pStyle w:val="BodyText"/>
        <w:spacing w:before="9"/>
        <w:rPr>
          <w:sz w:val="35"/>
        </w:rPr>
      </w:pPr>
    </w:p>
    <w:p>
      <w:pPr>
        <w:pStyle w:val="BodyText"/>
        <w:spacing w:line="364" w:lineRule="auto"/>
        <w:ind w:left="1320" w:right="1455" w:firstLine="480"/>
      </w:pPr>
      <w:r>
        <w:rPr>
          <w:spacing w:val="-5"/>
        </w:rPr>
        <w:t>核心素养是一个综合性较强的概念，强调知识、技能和情感、态度、价值观</w:t>
      </w:r>
      <w:r>
        <w:rPr>
          <w:spacing w:val="-17"/>
        </w:rPr>
        <w:t>的整合。“素养”的内涵比“知识”、“技能”更加宽广，它既包括基本的知识、</w:t>
      </w:r>
      <w:r>
        <w:rPr>
          <w:spacing w:val="-10"/>
        </w:rPr>
        <w:t>能力，又涉及学生的情感、态度、价值观。因此，核心素养所涉及的内涵并非单</w:t>
      </w:r>
      <w:r>
        <w:rPr>
          <w:spacing w:val="-12"/>
        </w:rPr>
        <w:t>一维度，而是多元维度的整合；另一方面，核心素养突破了教育实践中长期以来</w:t>
      </w:r>
      <w:r>
        <w:rPr>
          <w:spacing w:val="-16"/>
        </w:rPr>
        <w:t>知识与能力二元对立的思维方式，不再将个体的学习结果人为地进行分割，而是</w:t>
      </w:r>
      <w:r>
        <w:rPr>
          <w:spacing w:val="-13"/>
        </w:rPr>
        <w:t>结合知识、技能及情感、态度、价值观综合而全面地考量个体的学习结果，凸显了情感、态度、价值观的重要性。</w:t>
      </w:r>
    </w:p>
    <w:p>
      <w:pPr>
        <w:pStyle w:val="BodyText"/>
        <w:spacing w:line="20" w:lineRule="exact"/>
        <w:ind w:left="1320"/>
        <w:rPr>
          <w:sz w:val="2"/>
        </w:rPr>
      </w:pPr>
      <w:r>
        <w:rPr>
          <w:sz w:val="2"/>
        </w:rPr>
        <w:pict>
          <v:group style="width:144pt;height:.1pt;mso-position-horizontal-relative:char;mso-position-vertical-relative:line" coordorigin="0,0" coordsize="2880,2">
            <v:line style="position:absolute" from="0,0" to="2880,0" stroked="true" strokeweight="0pt" strokecolor="#000000">
              <v:stroke dashstyle="solid"/>
            </v:line>
          </v:group>
        </w:pict>
      </w:r>
      <w:r>
        <w:rPr>
          <w:sz w:val="2"/>
        </w:rPr>
      </w:r>
    </w:p>
    <w:p>
      <w:pPr>
        <w:spacing w:before="98"/>
        <w:ind w:left="1320" w:right="0" w:firstLine="0"/>
        <w:jc w:val="left"/>
        <w:rPr>
          <w:rFonts w:ascii="Times New Roman" w:eastAsia="Times New Roman"/>
          <w:sz w:val="18"/>
        </w:rPr>
      </w:pPr>
      <w:bookmarkStart w:name="_bookmark129" w:id="168"/>
      <w:bookmarkEnd w:id="168"/>
      <w:r>
        <w:rPr/>
      </w:r>
      <w:r>
        <w:rPr>
          <w:rFonts w:ascii="Times New Roman" w:eastAsia="Times New Roman"/>
          <w:position w:val="7"/>
          <w:sz w:val="13"/>
        </w:rPr>
        <w:t>[1] </w:t>
      </w:r>
      <w:r>
        <w:rPr>
          <w:sz w:val="18"/>
        </w:rPr>
        <w:t>林崇德</w:t>
      </w:r>
      <w:r>
        <w:rPr>
          <w:rFonts w:ascii="Times New Roman" w:eastAsia="Times New Roman"/>
          <w:sz w:val="18"/>
        </w:rPr>
        <w:t>.21 </w:t>
      </w:r>
      <w:r>
        <w:rPr>
          <w:sz w:val="18"/>
        </w:rPr>
        <w:t>世纪学生发展核心素养研究</w:t>
      </w:r>
      <w:r>
        <w:rPr>
          <w:rFonts w:ascii="Times New Roman" w:eastAsia="Times New Roman"/>
          <w:sz w:val="18"/>
        </w:rPr>
        <w:t>[M].</w:t>
      </w:r>
      <w:r>
        <w:rPr>
          <w:sz w:val="18"/>
        </w:rPr>
        <w:t>北京</w:t>
      </w:r>
      <w:r>
        <w:rPr>
          <w:rFonts w:ascii="Times New Roman" w:eastAsia="Times New Roman"/>
          <w:sz w:val="18"/>
        </w:rPr>
        <w:t>: </w:t>
      </w:r>
      <w:r>
        <w:rPr>
          <w:sz w:val="18"/>
        </w:rPr>
        <w:t>北京师范大学出版社，</w:t>
      </w:r>
      <w:r>
        <w:rPr>
          <w:rFonts w:ascii="Times New Roman" w:eastAsia="Times New Roman"/>
          <w:sz w:val="18"/>
        </w:rPr>
        <w:t>2016</w:t>
      </w:r>
      <w:r>
        <w:rPr>
          <w:sz w:val="18"/>
        </w:rPr>
        <w:t>：</w:t>
      </w:r>
      <w:r>
        <w:rPr>
          <w:rFonts w:ascii="Times New Roman" w:eastAsia="Times New Roman"/>
          <w:sz w:val="18"/>
        </w:rPr>
        <w:t>22.</w:t>
      </w:r>
    </w:p>
    <w:p>
      <w:pPr>
        <w:spacing w:line="388" w:lineRule="auto" w:before="125"/>
        <w:ind w:left="1319" w:right="0" w:firstLine="0"/>
        <w:jc w:val="left"/>
        <w:rPr>
          <w:rFonts w:ascii="Times New Roman"/>
          <w:sz w:val="18"/>
        </w:rPr>
      </w:pPr>
      <w:bookmarkStart w:name="_bookmark130" w:id="169"/>
      <w:bookmarkEnd w:id="169"/>
      <w:r>
        <w:rPr/>
      </w:r>
      <w:r>
        <w:rPr>
          <w:rFonts w:ascii="Times New Roman"/>
          <w:position w:val="7"/>
          <w:sz w:val="13"/>
        </w:rPr>
        <w:t>[2] </w:t>
      </w:r>
      <w:r>
        <w:rPr>
          <w:rFonts w:ascii="Times New Roman"/>
          <w:sz w:val="18"/>
        </w:rPr>
        <w:t>OECD. Executive Summary of the DeSeCo Study[EB/OL</w:t>
      </w:r>
      <w:hyperlink r:id="rId24">
        <w:r>
          <w:rPr>
            <w:rFonts w:ascii="Times New Roman"/>
            <w:sz w:val="18"/>
          </w:rPr>
          <w:t>].http://www.oecd.org/education/skills-beyond-sc</w:t>
        </w:r>
      </w:hyperlink>
      <w:r>
        <w:rPr>
          <w:rFonts w:ascii="Times New Roman"/>
          <w:sz w:val="18"/>
        </w:rPr>
        <w:t> </w:t>
      </w:r>
      <w:hyperlink r:id="rId24">
        <w:r>
          <w:rPr>
            <w:rFonts w:ascii="Times New Roman"/>
            <w:sz w:val="18"/>
          </w:rPr>
          <w:t>hool/definitionandselectionofcompetenciesdeseco.htm.</w:t>
        </w:r>
      </w:hyperlink>
      <w:r>
        <w:rPr>
          <w:rFonts w:ascii="Times New Roman"/>
          <w:sz w:val="18"/>
        </w:rPr>
        <w:t> 2016-01-15.</w:t>
      </w:r>
    </w:p>
    <w:p>
      <w:pPr>
        <w:spacing w:after="0" w:line="388" w:lineRule="auto"/>
        <w:jc w:val="left"/>
        <w:rPr>
          <w:rFonts w:ascii="Times New Roman"/>
          <w:sz w:val="18"/>
        </w:rPr>
        <w:sectPr>
          <w:pgSz w:w="11910" w:h="16840"/>
          <w:pgMar w:header="878" w:footer="1160" w:top="1300" w:bottom="1380" w:left="480" w:right="220"/>
        </w:sectPr>
      </w:pPr>
    </w:p>
    <w:p>
      <w:pPr>
        <w:pStyle w:val="BodyText"/>
        <w:spacing w:before="11"/>
        <w:rPr>
          <w:rFonts w:ascii="Times New Roman"/>
          <w:sz w:val="14"/>
        </w:rPr>
      </w:pPr>
    </w:p>
    <w:p>
      <w:pPr>
        <w:pStyle w:val="ListParagraph"/>
        <w:numPr>
          <w:ilvl w:val="2"/>
          <w:numId w:val="2"/>
        </w:numPr>
        <w:tabs>
          <w:tab w:pos="1920" w:val="left" w:leader="none"/>
        </w:tabs>
        <w:spacing w:line="240" w:lineRule="auto" w:before="74" w:after="0"/>
        <w:ind w:left="1920" w:right="0" w:hanging="600"/>
        <w:jc w:val="left"/>
        <w:rPr>
          <w:sz w:val="24"/>
        </w:rPr>
      </w:pPr>
      <w:bookmarkStart w:name="_bookmark131" w:id="170"/>
      <w:bookmarkEnd w:id="170"/>
      <w:r>
        <w:rPr/>
      </w:r>
      <w:bookmarkStart w:name="_bookmark131" w:id="171"/>
      <w:bookmarkEnd w:id="171"/>
      <w:r>
        <w:rPr>
          <w:sz w:val="24"/>
        </w:rPr>
        <w:t>情境性</w:t>
      </w:r>
    </w:p>
    <w:p>
      <w:pPr>
        <w:pStyle w:val="BodyText"/>
        <w:spacing w:before="9"/>
        <w:rPr>
          <w:sz w:val="35"/>
        </w:rPr>
      </w:pPr>
    </w:p>
    <w:p>
      <w:pPr>
        <w:pStyle w:val="BodyText"/>
        <w:spacing w:line="364" w:lineRule="auto" w:before="1"/>
        <w:ind w:left="1319" w:right="1575" w:firstLine="480"/>
        <w:jc w:val="both"/>
      </w:pPr>
      <w:r>
        <w:rPr>
          <w:spacing w:val="-11"/>
        </w:rPr>
        <w:t>无论是 </w:t>
      </w:r>
      <w:r>
        <w:rPr>
          <w:rFonts w:ascii="Times New Roman" w:hAnsi="Times New Roman" w:eastAsia="Times New Roman"/>
        </w:rPr>
        <w:t>OECD </w:t>
      </w:r>
      <w:r>
        <w:rPr/>
        <w:t>对素养的界定，还是欧盟对素养的阐释，均体现了素养内涵</w:t>
      </w:r>
      <w:r>
        <w:rPr>
          <w:spacing w:val="-9"/>
        </w:rPr>
        <w:t>与情境的关系。由此可见，核心素养的形成和发展与情境密不可分。一方面，核</w:t>
      </w:r>
      <w:r>
        <w:rPr>
          <w:spacing w:val="-4"/>
        </w:rPr>
        <w:t>心素养根植于情境中，核心素养的形成依赖于广泛的情境</w:t>
      </w:r>
      <w:r>
        <w:rPr/>
        <w:t>（</w:t>
      </w:r>
      <w:r>
        <w:rPr>
          <w:spacing w:val="-9"/>
        </w:rPr>
        <w:t>包括学校、家庭、社</w:t>
      </w:r>
      <w:r>
        <w:rPr/>
        <w:t>会方方面面的情境</w:t>
      </w:r>
      <w:r>
        <w:rPr>
          <w:spacing w:val="-20"/>
        </w:rPr>
        <w:t>）</w:t>
      </w:r>
      <w:r>
        <w:rPr>
          <w:spacing w:val="-10"/>
        </w:rPr>
        <w:t>，“正是在真实的情境和真实的学习中，知识得以创造，素</w:t>
      </w:r>
      <w:r>
        <w:rPr>
          <w:spacing w:val="-2"/>
        </w:rPr>
        <w:t>养获得发展”；</w:t>
      </w:r>
      <w:hyperlink w:history="true" w:anchor="_bookmark132">
        <w:r>
          <w:rPr>
            <w:rFonts w:ascii="Times New Roman" w:hAnsi="Times New Roman" w:eastAsia="Times New Roman"/>
            <w:spacing w:val="-5"/>
            <w:position w:val="8"/>
            <w:sz w:val="15"/>
          </w:rPr>
          <w:t>[1</w:t>
        </w:r>
      </w:hyperlink>
      <w:r>
        <w:rPr>
          <w:rFonts w:ascii="Times New Roman" w:hAnsi="Times New Roman" w:eastAsia="Times New Roman"/>
          <w:spacing w:val="-5"/>
          <w:position w:val="8"/>
          <w:sz w:val="15"/>
        </w:rPr>
        <w:t>]</w:t>
      </w:r>
      <w:r>
        <w:rPr>
          <w:spacing w:val="-4"/>
        </w:rPr>
        <w:t>另一方面，核心素养一经形成又将超越情境，素养的多元维度</w:t>
      </w:r>
      <w:r>
        <w:rPr>
          <w:spacing w:val="-7"/>
        </w:rPr>
        <w:t>使其能够适应不同情境的变化，随情境的变化而不断迁移和发展，从而突破情境</w:t>
      </w:r>
      <w:r>
        <w:rPr/>
        <w:t>的限制，应用于不同的情境中，适用于生活的多个领域。</w:t>
      </w:r>
    </w:p>
    <w:p>
      <w:pPr>
        <w:pStyle w:val="BodyText"/>
        <w:spacing w:before="4"/>
        <w:rPr>
          <w:sz w:val="23"/>
        </w:rPr>
      </w:pPr>
    </w:p>
    <w:p>
      <w:pPr>
        <w:pStyle w:val="ListParagraph"/>
        <w:numPr>
          <w:ilvl w:val="2"/>
          <w:numId w:val="2"/>
        </w:numPr>
        <w:tabs>
          <w:tab w:pos="1920" w:val="left" w:leader="none"/>
        </w:tabs>
        <w:spacing w:line="240" w:lineRule="auto" w:before="0" w:after="0"/>
        <w:ind w:left="1920" w:right="0" w:hanging="601"/>
        <w:jc w:val="left"/>
        <w:rPr>
          <w:sz w:val="24"/>
        </w:rPr>
      </w:pPr>
      <w:r>
        <w:rPr>
          <w:sz w:val="24"/>
        </w:rPr>
        <w:t>普遍性</w:t>
      </w:r>
    </w:p>
    <w:p>
      <w:pPr>
        <w:pStyle w:val="BodyText"/>
        <w:spacing w:before="10"/>
        <w:rPr>
          <w:sz w:val="35"/>
        </w:rPr>
      </w:pPr>
    </w:p>
    <w:p>
      <w:pPr>
        <w:pStyle w:val="BodyText"/>
        <w:spacing w:line="364" w:lineRule="auto"/>
        <w:ind w:left="1319" w:right="1575" w:firstLine="480"/>
        <w:jc w:val="both"/>
      </w:pPr>
      <w:r>
        <w:rPr>
          <w:spacing w:val="-10"/>
        </w:rPr>
        <w:t>核心素养是通用的，可以转移的素养，这与多元的社会领域和工作环境息息</w:t>
      </w:r>
      <w:r>
        <w:rPr>
          <w:spacing w:val="-5"/>
        </w:rPr>
        <w:t>相关，它并不局限于特定的职业、行业或活动类型。</w:t>
      </w:r>
      <w:hyperlink w:history="true" w:anchor="_bookmark133">
        <w:r>
          <w:rPr>
            <w:rFonts w:ascii="Times New Roman" w:hAnsi="Times New Roman" w:eastAsia="Times New Roman"/>
            <w:position w:val="8"/>
            <w:sz w:val="15"/>
          </w:rPr>
          <w:t>[2</w:t>
        </w:r>
      </w:hyperlink>
      <w:r>
        <w:rPr>
          <w:rFonts w:ascii="Times New Roman" w:hAnsi="Times New Roman" w:eastAsia="Times New Roman"/>
          <w:position w:val="8"/>
          <w:sz w:val="15"/>
        </w:rPr>
        <w:t>]</w:t>
      </w:r>
      <w:r>
        <w:rPr>
          <w:spacing w:val="-2"/>
        </w:rPr>
        <w:t>经济和社会的发展需要人</w:t>
      </w:r>
      <w:r>
        <w:rPr>
          <w:spacing w:val="-8"/>
        </w:rPr>
        <w:t>们具备一定的专业素养，但这些专业素养往往局限于特定的职业领域，并非人人</w:t>
      </w:r>
      <w:r>
        <w:rPr>
          <w:spacing w:val="-10"/>
        </w:rPr>
        <w:t>都能适用。相比之下，核心素养则具有“普遍适用性”，在任何经济和社会活动</w:t>
      </w:r>
      <w:r>
        <w:rPr>
          <w:spacing w:val="-8"/>
        </w:rPr>
        <w:t>领域上都具有适用性，这也使其有别于特定职业中的专业素养。这种普遍性也表</w:t>
      </w:r>
      <w:r>
        <w:rPr>
          <w:spacing w:val="-3"/>
        </w:rPr>
        <w:t>现在核心素养是面向社会全体成员的，如 </w:t>
      </w:r>
      <w:r>
        <w:rPr>
          <w:rFonts w:ascii="Times New Roman" w:hAnsi="Times New Roman" w:eastAsia="Times New Roman"/>
        </w:rPr>
        <w:t>OECD </w:t>
      </w:r>
      <w:r>
        <w:rPr/>
        <w:t>指出“核心素养应该对所有人都显得重要”。</w:t>
      </w:r>
    </w:p>
    <w:p>
      <w:pPr>
        <w:pStyle w:val="BodyText"/>
        <w:spacing w:before="5"/>
        <w:rPr>
          <w:sz w:val="23"/>
        </w:rPr>
      </w:pPr>
    </w:p>
    <w:p>
      <w:pPr>
        <w:pStyle w:val="ListParagraph"/>
        <w:numPr>
          <w:ilvl w:val="2"/>
          <w:numId w:val="2"/>
        </w:numPr>
        <w:tabs>
          <w:tab w:pos="1920" w:val="left" w:leader="none"/>
        </w:tabs>
        <w:spacing w:line="240" w:lineRule="auto" w:before="0" w:after="0"/>
        <w:ind w:left="1920" w:right="0" w:hanging="600"/>
        <w:jc w:val="left"/>
        <w:rPr>
          <w:sz w:val="24"/>
        </w:rPr>
      </w:pPr>
      <w:r>
        <w:rPr>
          <w:sz w:val="24"/>
        </w:rPr>
        <w:t>习得性</w:t>
      </w:r>
    </w:p>
    <w:p>
      <w:pPr>
        <w:pStyle w:val="BodyText"/>
        <w:spacing w:before="9"/>
        <w:rPr>
          <w:sz w:val="35"/>
        </w:rPr>
      </w:pPr>
    </w:p>
    <w:p>
      <w:pPr>
        <w:pStyle w:val="BodyText"/>
        <w:spacing w:line="364" w:lineRule="auto"/>
        <w:ind w:left="1320" w:right="1455" w:firstLine="480"/>
      </w:pPr>
      <w:r>
        <w:rPr/>
        <w:pict>
          <v:shape style="position:absolute;margin-left:90pt;margin-top:123.681015pt;width:144pt;height:.1pt;mso-position-horizontal-relative:page;mso-position-vertical-relative:paragraph;z-index:-251610112;mso-wrap-distance-left:0;mso-wrap-distance-right:0" coordorigin="1800,2474" coordsize="2880,0" path="m1800,2474l4680,2474e" filled="false" stroked="true" strokeweight="0pt" strokecolor="#000000">
            <v:path arrowok="t"/>
            <v:stroke dashstyle="solid"/>
            <w10:wrap type="topAndBottom"/>
          </v:shape>
        </w:pict>
      </w:r>
      <w:r>
        <w:rPr>
          <w:spacing w:val="-5"/>
        </w:rPr>
        <w:t>核心素养能够通过后天的学习获得，即核心素养是“可学”的，它是在先天</w:t>
      </w:r>
      <w:r>
        <w:rPr>
          <w:spacing w:val="-11"/>
        </w:rPr>
        <w:t>遗传的基础上，通过有意识的人为教育加以规划、设计与培养，经由课程教学引</w:t>
      </w:r>
      <w:r>
        <w:rPr>
          <w:spacing w:val="-15"/>
        </w:rPr>
        <w:t>导学习者长期学习而习得的。与此相关的是素养内涵的潜在特质，即素养是通过</w:t>
      </w:r>
      <w:r>
        <w:rPr>
          <w:spacing w:val="-22"/>
        </w:rPr>
        <w:t>特定情境的外显行为才得以展现的，具体表现为行为的意向、行为的技能水平等， </w:t>
      </w:r>
      <w:r>
        <w:rPr>
          <w:spacing w:val="-12"/>
        </w:rPr>
        <w:t>形成所谓的“素养展现模式”。</w:t>
      </w:r>
      <w:hyperlink w:history="true" w:anchor="_bookmark134">
        <w:r>
          <w:rPr>
            <w:rFonts w:ascii="Times New Roman" w:hAnsi="Times New Roman" w:eastAsia="Times New Roman"/>
            <w:position w:val="8"/>
            <w:sz w:val="15"/>
          </w:rPr>
          <w:t>[3</w:t>
        </w:r>
      </w:hyperlink>
      <w:r>
        <w:rPr>
          <w:rFonts w:ascii="Times New Roman" w:hAnsi="Times New Roman" w:eastAsia="Times New Roman"/>
          <w:position w:val="8"/>
          <w:sz w:val="15"/>
        </w:rPr>
        <w:t>]</w:t>
      </w:r>
      <w:r>
        <w:rPr>
          <w:spacing w:val="-7"/>
        </w:rPr>
        <w:t>换言之，个体所掌握的核心素养如同一座冰山，</w:t>
      </w:r>
    </w:p>
    <w:p>
      <w:pPr>
        <w:spacing w:before="99"/>
        <w:ind w:left="1320" w:right="0" w:firstLine="0"/>
        <w:jc w:val="left"/>
        <w:rPr>
          <w:rFonts w:ascii="Times New Roman" w:eastAsia="Times New Roman"/>
          <w:sz w:val="18"/>
        </w:rPr>
      </w:pPr>
      <w:bookmarkStart w:name="_bookmark132" w:id="172"/>
      <w:bookmarkEnd w:id="172"/>
      <w:r>
        <w:rPr/>
      </w:r>
      <w:r>
        <w:rPr>
          <w:rFonts w:ascii="Times New Roman" w:eastAsia="Times New Roman"/>
          <w:position w:val="7"/>
          <w:sz w:val="13"/>
        </w:rPr>
        <w:t>[1] </w:t>
      </w:r>
      <w:r>
        <w:rPr>
          <w:sz w:val="18"/>
        </w:rPr>
        <w:t>张华</w:t>
      </w:r>
      <w:r>
        <w:rPr>
          <w:rFonts w:ascii="Times New Roman" w:eastAsia="Times New Roman"/>
          <w:sz w:val="18"/>
        </w:rPr>
        <w:t>.</w:t>
      </w:r>
      <w:r>
        <w:rPr>
          <w:sz w:val="18"/>
        </w:rPr>
        <w:t>论核心素养的内涵</w:t>
      </w:r>
      <w:r>
        <w:rPr>
          <w:rFonts w:ascii="Times New Roman" w:eastAsia="Times New Roman"/>
          <w:sz w:val="18"/>
        </w:rPr>
        <w:t>.[J].</w:t>
      </w:r>
      <w:r>
        <w:rPr>
          <w:sz w:val="18"/>
        </w:rPr>
        <w:t>全球教育展望，</w:t>
      </w:r>
      <w:r>
        <w:rPr>
          <w:rFonts w:ascii="Times New Roman" w:eastAsia="Times New Roman"/>
          <w:sz w:val="18"/>
        </w:rPr>
        <w:t>2016</w:t>
      </w:r>
      <w:r>
        <w:rPr>
          <w:sz w:val="18"/>
        </w:rPr>
        <w:t>（</w:t>
      </w:r>
      <w:r>
        <w:rPr>
          <w:rFonts w:ascii="Times New Roman" w:eastAsia="Times New Roman"/>
          <w:sz w:val="18"/>
        </w:rPr>
        <w:t>4</w:t>
      </w:r>
      <w:r>
        <w:rPr>
          <w:sz w:val="18"/>
        </w:rPr>
        <w:t>）：</w:t>
      </w:r>
      <w:r>
        <w:rPr>
          <w:rFonts w:ascii="Times New Roman" w:eastAsia="Times New Roman"/>
          <w:sz w:val="18"/>
        </w:rPr>
        <w:t>20.</w:t>
      </w:r>
    </w:p>
    <w:p>
      <w:pPr>
        <w:spacing w:line="372" w:lineRule="auto" w:before="126"/>
        <w:ind w:left="1320" w:right="1577" w:firstLine="0"/>
        <w:jc w:val="left"/>
        <w:rPr>
          <w:rFonts w:ascii="Times New Roman" w:hAnsi="Times New Roman"/>
          <w:sz w:val="18"/>
        </w:rPr>
      </w:pPr>
      <w:bookmarkStart w:name="_bookmark133" w:id="173"/>
      <w:bookmarkEnd w:id="173"/>
      <w:r>
        <w:rPr/>
      </w:r>
      <w:r>
        <w:rPr>
          <w:rFonts w:ascii="Times New Roman" w:hAnsi="Times New Roman"/>
          <w:position w:val="7"/>
          <w:sz w:val="13"/>
        </w:rPr>
        <w:t>[2] </w:t>
      </w:r>
      <w:r>
        <w:rPr>
          <w:rFonts w:ascii="Times New Roman" w:hAnsi="Times New Roman"/>
          <w:sz w:val="18"/>
        </w:rPr>
        <w:t>OECD.The Survey of Adult Skills (PIAAC) and “Key Competencies”.[EB/OL].http://www.oecd-ilibrary. org/deliver/8716021ec009.pdf?itemId=/content/chapter/9789264258075-9-en&amp;mimeType=application/pdf.2017.2- 9.</w:t>
      </w:r>
    </w:p>
    <w:p>
      <w:pPr>
        <w:spacing w:line="240" w:lineRule="exact" w:before="0"/>
        <w:ind w:left="1320" w:right="0" w:firstLine="0"/>
        <w:jc w:val="left"/>
        <w:rPr>
          <w:sz w:val="18"/>
        </w:rPr>
      </w:pPr>
      <w:bookmarkStart w:name="_bookmark134" w:id="174"/>
      <w:bookmarkEnd w:id="174"/>
      <w:r>
        <w:rPr/>
      </w:r>
      <w:r>
        <w:rPr>
          <w:rFonts w:ascii="Times New Roman" w:hAnsi="Times New Roman" w:eastAsia="Times New Roman"/>
          <w:position w:val="7"/>
          <w:sz w:val="13"/>
        </w:rPr>
        <w:t>[3] </w:t>
      </w:r>
      <w:r>
        <w:rPr>
          <w:sz w:val="18"/>
        </w:rPr>
        <w:t>柳夕浪</w:t>
      </w:r>
      <w:r>
        <w:rPr>
          <w:rFonts w:ascii="Times New Roman" w:hAnsi="Times New Roman" w:eastAsia="Times New Roman"/>
          <w:sz w:val="18"/>
        </w:rPr>
        <w:t>.</w:t>
      </w:r>
      <w:r>
        <w:rPr>
          <w:sz w:val="18"/>
        </w:rPr>
        <w:t>从</w:t>
      </w:r>
      <w:r>
        <w:rPr>
          <w:rFonts w:ascii="Times New Roman" w:hAnsi="Times New Roman" w:eastAsia="Times New Roman"/>
          <w:sz w:val="18"/>
        </w:rPr>
        <w:t>“</w:t>
      </w:r>
      <w:r>
        <w:rPr>
          <w:sz w:val="18"/>
        </w:rPr>
        <w:t>素质</w:t>
      </w:r>
      <w:r>
        <w:rPr>
          <w:rFonts w:ascii="Times New Roman" w:hAnsi="Times New Roman" w:eastAsia="Times New Roman"/>
          <w:sz w:val="18"/>
        </w:rPr>
        <w:t>”</w:t>
      </w:r>
      <w:r>
        <w:rPr>
          <w:sz w:val="18"/>
        </w:rPr>
        <w:t>到</w:t>
      </w:r>
      <w:r>
        <w:rPr>
          <w:rFonts w:ascii="Times New Roman" w:hAnsi="Times New Roman" w:eastAsia="Times New Roman"/>
          <w:sz w:val="18"/>
        </w:rPr>
        <w:t>“</w:t>
      </w:r>
      <w:r>
        <w:rPr>
          <w:sz w:val="18"/>
        </w:rPr>
        <w:t>核心素养</w:t>
      </w:r>
      <w:r>
        <w:rPr>
          <w:rFonts w:ascii="Times New Roman" w:hAnsi="Times New Roman" w:eastAsia="Times New Roman"/>
          <w:sz w:val="18"/>
        </w:rPr>
        <w:t>”——</w:t>
      </w:r>
      <w:r>
        <w:rPr>
          <w:sz w:val="18"/>
        </w:rPr>
        <w:t>关于</w:t>
      </w:r>
      <w:r>
        <w:rPr>
          <w:rFonts w:ascii="Times New Roman" w:hAnsi="Times New Roman" w:eastAsia="Times New Roman"/>
          <w:sz w:val="18"/>
        </w:rPr>
        <w:t>“</w:t>
      </w:r>
      <w:r>
        <w:rPr>
          <w:sz w:val="18"/>
        </w:rPr>
        <w:t>培养什么样的人</w:t>
      </w:r>
      <w:r>
        <w:rPr>
          <w:rFonts w:ascii="Times New Roman" w:hAnsi="Times New Roman" w:eastAsia="Times New Roman"/>
          <w:sz w:val="18"/>
        </w:rPr>
        <w:t>”</w:t>
      </w:r>
      <w:r>
        <w:rPr>
          <w:sz w:val="18"/>
        </w:rPr>
        <w:t>的进一步追问</w:t>
      </w:r>
      <w:r>
        <w:rPr>
          <w:rFonts w:ascii="Times New Roman" w:hAnsi="Times New Roman" w:eastAsia="Times New Roman"/>
          <w:sz w:val="18"/>
        </w:rPr>
        <w:t>[J].</w:t>
      </w:r>
      <w:r>
        <w:rPr>
          <w:sz w:val="18"/>
        </w:rPr>
        <w:t>教育科学研究，</w:t>
      </w:r>
      <w:r>
        <w:rPr>
          <w:rFonts w:ascii="Times New Roman" w:hAnsi="Times New Roman" w:eastAsia="Times New Roman"/>
          <w:sz w:val="18"/>
        </w:rPr>
        <w:t>2014</w:t>
      </w:r>
      <w:r>
        <w:rPr>
          <w:sz w:val="18"/>
        </w:rPr>
        <w:t>（</w:t>
      </w:r>
      <w:r>
        <w:rPr>
          <w:rFonts w:ascii="Times New Roman" w:hAnsi="Times New Roman" w:eastAsia="Times New Roman"/>
          <w:sz w:val="18"/>
        </w:rPr>
        <w:t>3</w:t>
      </w:r>
      <w:r>
        <w:rPr>
          <w:sz w:val="18"/>
        </w:rPr>
        <w:t>）：</w:t>
      </w:r>
    </w:p>
    <w:p>
      <w:pPr>
        <w:spacing w:before="0"/>
        <w:ind w:left="1319" w:right="0" w:firstLine="0"/>
        <w:jc w:val="left"/>
        <w:rPr>
          <w:rFonts w:ascii="Times New Roman"/>
          <w:sz w:val="18"/>
        </w:rPr>
      </w:pPr>
      <w:r>
        <w:rPr>
          <w:rFonts w:ascii="Times New Roman"/>
          <w:sz w:val="18"/>
        </w:rPr>
        <w:t>5-11.</w:t>
      </w:r>
    </w:p>
    <w:p>
      <w:pPr>
        <w:spacing w:after="0"/>
        <w:jc w:val="left"/>
        <w:rPr>
          <w:rFonts w:ascii="Times New Roman"/>
          <w:sz w:val="18"/>
        </w:rPr>
        <w:sectPr>
          <w:pgSz w:w="11910" w:h="16840"/>
          <w:pgMar w:header="878" w:footer="1160" w:top="1300" w:bottom="1360" w:left="480" w:right="220"/>
        </w:sectPr>
      </w:pPr>
    </w:p>
    <w:p>
      <w:pPr>
        <w:pStyle w:val="BodyText"/>
        <w:spacing w:before="6"/>
        <w:rPr>
          <w:rFonts w:ascii="Times New Roman"/>
          <w:sz w:val="12"/>
        </w:rPr>
      </w:pPr>
    </w:p>
    <w:p>
      <w:pPr>
        <w:pStyle w:val="BodyText"/>
        <w:spacing w:line="364" w:lineRule="auto" w:before="66"/>
        <w:ind w:left="1320" w:right="1577"/>
        <w:jc w:val="both"/>
        <w:rPr>
          <w:rFonts w:ascii="Times New Roman" w:eastAsia="Times New Roman"/>
          <w:sz w:val="15"/>
        </w:rPr>
      </w:pPr>
      <w:bookmarkStart w:name="_bookmark135" w:id="175"/>
      <w:bookmarkEnd w:id="175"/>
      <w:r>
        <w:rPr/>
      </w:r>
      <w:r>
        <w:rPr>
          <w:spacing w:val="-7"/>
        </w:rPr>
        <w:t>需要通过有意识的教育过程进行指导、培养，使得冰山之下核心素养的潜在特质</w:t>
      </w:r>
      <w:r>
        <w:rPr>
          <w:spacing w:val="-11"/>
        </w:rPr>
        <w:t>逐渐露出水面。因此，核心素养具有习得性，能够通过各教育阶段的课程设计与</w:t>
      </w:r>
      <w:r>
        <w:rPr/>
        <w:t>教学实施加以培养。</w:t>
      </w:r>
      <w:r>
        <w:rPr>
          <w:rFonts w:ascii="Times New Roman" w:eastAsia="Times New Roman"/>
          <w:position w:val="8"/>
          <w:sz w:val="15"/>
        </w:rPr>
        <w:t>[</w:t>
      </w:r>
      <w:hyperlink w:history="true" w:anchor="_bookmark136">
        <w:r>
          <w:rPr>
            <w:rFonts w:ascii="Times New Roman" w:eastAsia="Times New Roman"/>
            <w:position w:val="8"/>
            <w:sz w:val="15"/>
          </w:rPr>
          <w:t>1</w:t>
        </w:r>
      </w:hyperlink>
      <w:r>
        <w:rPr>
          <w:rFonts w:ascii="Times New Roman" w:eastAsia="Times New Roman"/>
          <w:position w:val="8"/>
          <w:sz w:val="15"/>
        </w:rPr>
        <w:t>]</w:t>
      </w:r>
    </w:p>
    <w:p>
      <w:pPr>
        <w:pStyle w:val="BodyText"/>
        <w:spacing w:before="3"/>
        <w:rPr>
          <w:rFonts w:ascii="Times New Roman"/>
          <w:sz w:val="19"/>
        </w:rPr>
      </w:pPr>
    </w:p>
    <w:p>
      <w:pPr>
        <w:pStyle w:val="Heading2"/>
        <w:numPr>
          <w:ilvl w:val="1"/>
          <w:numId w:val="2"/>
        </w:numPr>
        <w:tabs>
          <w:tab w:pos="1810" w:val="left" w:leader="none"/>
        </w:tabs>
        <w:spacing w:line="240" w:lineRule="auto" w:before="1" w:after="0"/>
        <w:ind w:left="1809" w:right="0" w:hanging="490"/>
        <w:jc w:val="both"/>
        <w:rPr>
          <w:rFonts w:ascii="Times New Roman" w:eastAsia="Times New Roman"/>
        </w:rPr>
      </w:pPr>
      <w:r>
        <w:rPr/>
        <w:t>核心素养观对生涯规划教育的影响</w:t>
      </w:r>
    </w:p>
    <w:p>
      <w:pPr>
        <w:pStyle w:val="BodyText"/>
        <w:spacing w:before="4"/>
        <w:rPr>
          <w:rFonts w:ascii="Microsoft JhengHei"/>
          <w:b/>
          <w:sz w:val="22"/>
        </w:rPr>
      </w:pPr>
    </w:p>
    <w:p>
      <w:pPr>
        <w:pStyle w:val="BodyText"/>
        <w:spacing w:line="364" w:lineRule="auto" w:before="1"/>
        <w:ind w:left="1320" w:right="1577" w:firstLine="480"/>
        <w:jc w:val="both"/>
      </w:pPr>
      <w:r>
        <w:rPr>
          <w:spacing w:val="-5"/>
        </w:rPr>
        <w:t>核心素养观对全球范围内的教育教学变革已经产生了重要的影响，这一背景</w:t>
      </w:r>
      <w:r>
        <w:rPr>
          <w:spacing w:val="-10"/>
        </w:rPr>
        <w:t>下，生涯规划教育该如何调整并适应这种变化，俨然成为该领域共同关注和思考</w:t>
      </w:r>
      <w:r>
        <w:rPr>
          <w:spacing w:val="-11"/>
        </w:rPr>
        <w:t>的问题。为探究这一问题，本研究选取了生涯规划教育发展较为成熟的美国、新</w:t>
      </w:r>
      <w:r>
        <w:rPr>
          <w:spacing w:val="-12"/>
        </w:rPr>
        <w:t>西兰、加拿大、澳大利亚等发达国家，试阐释核心素养观对生涯规划教育实施目</w:t>
      </w:r>
      <w:r>
        <w:rPr/>
        <w:t>标、实施内容以及实施方式产生的影响。</w:t>
      </w:r>
    </w:p>
    <w:p>
      <w:pPr>
        <w:pStyle w:val="BodyText"/>
        <w:spacing w:before="3"/>
        <w:rPr>
          <w:sz w:val="23"/>
        </w:rPr>
      </w:pPr>
    </w:p>
    <w:p>
      <w:pPr>
        <w:pStyle w:val="ListParagraph"/>
        <w:numPr>
          <w:ilvl w:val="2"/>
          <w:numId w:val="2"/>
        </w:numPr>
        <w:tabs>
          <w:tab w:pos="1920" w:val="left" w:leader="none"/>
        </w:tabs>
        <w:spacing w:line="240" w:lineRule="auto" w:before="0" w:after="0"/>
        <w:ind w:left="1920" w:right="0" w:hanging="600"/>
        <w:jc w:val="both"/>
        <w:rPr>
          <w:sz w:val="24"/>
        </w:rPr>
      </w:pPr>
      <w:r>
        <w:rPr>
          <w:sz w:val="24"/>
        </w:rPr>
        <w:t>实施目标：侧重培养学生的“生涯规划素养”</w:t>
      </w:r>
    </w:p>
    <w:p>
      <w:pPr>
        <w:pStyle w:val="BodyText"/>
        <w:spacing w:before="10"/>
        <w:rPr>
          <w:sz w:val="35"/>
        </w:rPr>
      </w:pPr>
    </w:p>
    <w:p>
      <w:pPr>
        <w:pStyle w:val="BodyText"/>
        <w:spacing w:line="364" w:lineRule="auto"/>
        <w:ind w:left="1319" w:right="1569" w:firstLine="480"/>
        <w:jc w:val="both"/>
      </w:pPr>
      <w:r>
        <w:rPr>
          <w:spacing w:val="-11"/>
        </w:rPr>
        <w:t>近年来，美国、新西兰、澳大利亚等发达国家在一些教育政策和文件中将生</w:t>
      </w:r>
      <w:r>
        <w:rPr>
          <w:spacing w:val="-13"/>
        </w:rPr>
        <w:t>涯规划教育的实施置于一个更为广泛的社会背景中，即为 </w:t>
      </w:r>
      <w:r>
        <w:rPr>
          <w:rFonts w:ascii="Times New Roman" w:hAnsi="Times New Roman" w:eastAsia="Times New Roman"/>
        </w:rPr>
        <w:t>21 </w:t>
      </w:r>
      <w:r>
        <w:rPr/>
        <w:t>世纪青年未来的成人生活做准备，借此思考生涯规划教育的实施目标及其在学校教育中扮演的角</w:t>
      </w:r>
      <w:r>
        <w:rPr>
          <w:spacing w:val="-11"/>
        </w:rPr>
        <w:t>色。因而，在这些国家看来，生涯规划教育的目标不仅仅是发展个人能力以帮助</w:t>
      </w:r>
      <w:r>
        <w:rPr>
          <w:spacing w:val="-16"/>
        </w:rPr>
        <w:t>个体从学校到成人生活的平稳过渡，这也意味着生涯规划教育应实现更为广泛的</w:t>
      </w:r>
      <w:r>
        <w:rPr>
          <w:spacing w:val="-14"/>
        </w:rPr>
        <w:t>实施目标，其重点应在于培养学生终身发展所需要具备的做出决策和采取行动的</w:t>
      </w:r>
      <w:r>
        <w:rPr>
          <w:spacing w:val="-4"/>
        </w:rPr>
        <w:t>素养，即“生涯规划素养</w:t>
      </w:r>
      <w:r>
        <w:rPr/>
        <w:t>”（</w:t>
      </w:r>
      <w:r>
        <w:rPr>
          <w:rFonts w:ascii="Times New Roman" w:hAnsi="Times New Roman" w:eastAsia="Times New Roman"/>
        </w:rPr>
        <w:t>Career Management Competence</w:t>
      </w:r>
      <w:r>
        <w:rPr/>
        <w:t>），也就是生涯规划教育领域个体应具备的核心素养。</w:t>
      </w:r>
    </w:p>
    <w:p>
      <w:pPr>
        <w:pStyle w:val="ListParagraph"/>
        <w:numPr>
          <w:ilvl w:val="3"/>
          <w:numId w:val="2"/>
        </w:numPr>
        <w:tabs>
          <w:tab w:pos="2100" w:val="left" w:leader="none"/>
        </w:tabs>
        <w:spacing w:line="240" w:lineRule="auto" w:before="5" w:after="0"/>
        <w:ind w:left="2100" w:right="0" w:hanging="781"/>
        <w:jc w:val="both"/>
        <w:rPr>
          <w:sz w:val="24"/>
        </w:rPr>
      </w:pPr>
      <w:r>
        <w:rPr>
          <w:sz w:val="24"/>
        </w:rPr>
        <w:t>发达国家生涯规划教育实施目标</w:t>
      </w:r>
    </w:p>
    <w:p>
      <w:pPr>
        <w:pStyle w:val="BodyText"/>
        <w:spacing w:line="364" w:lineRule="auto" w:before="160"/>
        <w:ind w:left="1319" w:right="1485" w:firstLine="480"/>
      </w:pPr>
      <w:r>
        <w:rPr/>
        <w:t>在生涯规划教育实施框架中，西方各国多以“生涯规划素养”为实施目标， 推动生涯规划教育的展开。</w:t>
      </w:r>
    </w:p>
    <w:p>
      <w:pPr>
        <w:pStyle w:val="BodyText"/>
        <w:spacing w:line="364" w:lineRule="auto" w:before="1"/>
        <w:ind w:left="1319" w:right="1563" w:firstLine="480"/>
        <w:jc w:val="both"/>
      </w:pPr>
      <w:r>
        <w:rPr>
          <w:spacing w:val="-1"/>
        </w:rPr>
        <w:t>美国作为生涯规划教育的先驱，</w:t>
      </w:r>
      <w:r>
        <w:rPr>
          <w:rFonts w:ascii="Times New Roman" w:hAnsi="Times New Roman" w:eastAsia="Times New Roman"/>
          <w:spacing w:val="-4"/>
        </w:rPr>
        <w:t>20 </w:t>
      </w:r>
      <w:r>
        <w:rPr>
          <w:spacing w:val="-20"/>
        </w:rPr>
        <w:t>世纪 </w:t>
      </w:r>
      <w:r>
        <w:rPr>
          <w:rFonts w:ascii="Times New Roman" w:hAnsi="Times New Roman" w:eastAsia="Times New Roman"/>
        </w:rPr>
        <w:t>80 </w:t>
      </w:r>
      <w:r>
        <w:rPr>
          <w:spacing w:val="-5"/>
        </w:rPr>
        <w:t>年代，当时的“美国职业指导协</w:t>
      </w:r>
      <w:r>
        <w:rPr>
          <w:spacing w:val="3"/>
        </w:rPr>
        <w:t>会”发布了“国家生涯发展指南框架”</w:t>
      </w:r>
      <w:r>
        <w:rPr/>
        <w:t>（</w:t>
      </w:r>
      <w:r>
        <w:rPr>
          <w:rFonts w:ascii="Times New Roman" w:hAnsi="Times New Roman" w:eastAsia="Times New Roman"/>
        </w:rPr>
        <w:t>National Career Development Guideline Framwok</w:t>
      </w:r>
      <w:r>
        <w:rPr/>
        <w:t>），</w:t>
      </w:r>
      <w:r>
        <w:rPr>
          <w:spacing w:val="-8"/>
        </w:rPr>
        <w:t>之后，在 </w:t>
      </w:r>
      <w:r>
        <w:rPr>
          <w:rFonts w:ascii="Times New Roman" w:hAnsi="Times New Roman" w:eastAsia="Times New Roman"/>
        </w:rPr>
        <w:t>2007 </w:t>
      </w:r>
      <w:r>
        <w:rPr/>
        <w:t>年的修订版本中，从领域、目标、指标拟定了生涯</w:t>
      </w:r>
    </w:p>
    <w:p>
      <w:pPr>
        <w:pStyle w:val="BodyText"/>
        <w:rPr>
          <w:sz w:val="20"/>
        </w:rPr>
      </w:pPr>
    </w:p>
    <w:p>
      <w:pPr>
        <w:pStyle w:val="BodyText"/>
        <w:spacing w:before="6"/>
        <w:rPr>
          <w:sz w:val="18"/>
        </w:rPr>
      </w:pPr>
      <w:r>
        <w:rPr/>
        <w:pict>
          <v:shape style="position:absolute;margin-left:90pt;margin-top:14.069444pt;width:144pt;height:.1pt;mso-position-horizontal-relative:page;mso-position-vertical-relative:paragraph;z-index:-251609088;mso-wrap-distance-left:0;mso-wrap-distance-right:0" coordorigin="1800,281" coordsize="2880,0" path="m1800,281l4680,281e" filled="false" stroked="true" strokeweight=".402pt" strokecolor="#000000">
            <v:path arrowok="t"/>
            <v:stroke dashstyle="solid"/>
            <w10:wrap type="topAndBottom"/>
          </v:shape>
        </w:pict>
      </w:r>
    </w:p>
    <w:p>
      <w:pPr>
        <w:spacing w:before="94"/>
        <w:ind w:left="1320" w:right="0" w:firstLine="0"/>
        <w:jc w:val="left"/>
        <w:rPr>
          <w:sz w:val="18"/>
        </w:rPr>
      </w:pPr>
      <w:bookmarkStart w:name="_bookmark136" w:id="176"/>
      <w:bookmarkEnd w:id="176"/>
      <w:r>
        <w:rPr/>
      </w:r>
      <w:r>
        <w:rPr>
          <w:rFonts w:ascii="Times New Roman" w:eastAsia="Times New Roman"/>
          <w:position w:val="7"/>
          <w:sz w:val="13"/>
        </w:rPr>
        <w:t>[1] </w:t>
      </w:r>
      <w:r>
        <w:rPr>
          <w:sz w:val="18"/>
        </w:rPr>
        <w:t>辛涛，姜宇，刘霞</w:t>
      </w:r>
      <w:r>
        <w:rPr>
          <w:rFonts w:ascii="Times New Roman" w:eastAsia="Times New Roman"/>
          <w:sz w:val="18"/>
        </w:rPr>
        <w:t>.</w:t>
      </w:r>
      <w:r>
        <w:rPr>
          <w:sz w:val="18"/>
        </w:rPr>
        <w:t>我国义务教育阶段学生核心素养模型的构建</w:t>
      </w:r>
      <w:r>
        <w:rPr>
          <w:rFonts w:ascii="Times New Roman" w:eastAsia="Times New Roman"/>
          <w:sz w:val="18"/>
        </w:rPr>
        <w:t>[J].</w:t>
      </w:r>
      <w:r>
        <w:rPr>
          <w:sz w:val="18"/>
        </w:rPr>
        <w:t>北京师范大学学报</w:t>
      </w:r>
      <w:r>
        <w:rPr>
          <w:rFonts w:ascii="Times New Roman" w:eastAsia="Times New Roman"/>
          <w:sz w:val="18"/>
        </w:rPr>
        <w:t>:</w:t>
      </w:r>
      <w:r>
        <w:rPr>
          <w:sz w:val="18"/>
        </w:rPr>
        <w:t>：社会科学版，</w:t>
      </w:r>
    </w:p>
    <w:p>
      <w:pPr>
        <w:spacing w:before="122"/>
        <w:ind w:left="1319" w:right="0" w:firstLine="0"/>
        <w:jc w:val="left"/>
        <w:rPr>
          <w:rFonts w:ascii="Times New Roman" w:eastAsia="Times New Roman"/>
          <w:sz w:val="18"/>
        </w:rPr>
      </w:pPr>
      <w:r>
        <w:rPr>
          <w:sz w:val="18"/>
        </w:rPr>
        <w:t>（</w:t>
      </w:r>
      <w:r>
        <w:rPr>
          <w:rFonts w:ascii="Times New Roman" w:eastAsia="Times New Roman"/>
          <w:sz w:val="18"/>
        </w:rPr>
        <w:t>1</w:t>
      </w:r>
      <w:r>
        <w:rPr>
          <w:sz w:val="18"/>
        </w:rPr>
        <w:t>）：</w:t>
      </w:r>
      <w:r>
        <w:rPr>
          <w:rFonts w:ascii="Times New Roman" w:eastAsia="Times New Roman"/>
          <w:sz w:val="18"/>
        </w:rPr>
        <w:t>5-11.</w:t>
      </w:r>
    </w:p>
    <w:p>
      <w:pPr>
        <w:spacing w:after="0"/>
        <w:jc w:val="left"/>
        <w:rPr>
          <w:rFonts w:ascii="Times New Roman" w:eastAsia="Times New Roman"/>
          <w:sz w:val="18"/>
        </w:rPr>
        <w:sectPr>
          <w:pgSz w:w="11910" w:h="16840"/>
          <w:pgMar w:header="878" w:footer="1160" w:top="1300" w:bottom="1380" w:left="480" w:right="220"/>
        </w:sectPr>
      </w:pPr>
    </w:p>
    <w:p>
      <w:pPr>
        <w:pStyle w:val="BodyText"/>
        <w:spacing w:before="3"/>
        <w:rPr>
          <w:rFonts w:ascii="Times New Roman"/>
          <w:sz w:val="11"/>
        </w:rPr>
      </w:pPr>
    </w:p>
    <w:p>
      <w:pPr>
        <w:pStyle w:val="BodyText"/>
        <w:spacing w:line="364" w:lineRule="auto" w:before="80"/>
        <w:ind w:left="1319" w:right="1575"/>
        <w:jc w:val="both"/>
      </w:pPr>
      <w:r>
        <w:rPr>
          <w:spacing w:val="-4"/>
        </w:rPr>
        <w:t>规划教育的目标框架，逐渐明晰了“生涯规划素养”的广泛领域。</w:t>
      </w:r>
      <w:r>
        <w:rPr>
          <w:rFonts w:ascii="Times New Roman" w:hAnsi="Times New Roman" w:eastAsia="Times New Roman"/>
          <w:position w:val="8"/>
          <w:sz w:val="15"/>
        </w:rPr>
        <w:t>[</w:t>
      </w:r>
      <w:hyperlink w:history="true" w:anchor="_bookmark137">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3"/>
        </w:rPr>
        <w:t>其中，它的</w:t>
      </w:r>
      <w:r>
        <w:rPr>
          <w:spacing w:val="-11"/>
        </w:rPr>
        <w:t>领域包括“个人社会发展领域”、“教育成就与终身学习领域”、“生涯规划领</w:t>
      </w:r>
      <w:r>
        <w:rPr>
          <w:spacing w:val="-10"/>
        </w:rPr>
        <w:t>域”，每一领域下设置了具体的目标，每一个目标下又有相应的指标要求。这三</w:t>
      </w:r>
      <w:r>
        <w:rPr>
          <w:spacing w:val="-6"/>
        </w:rPr>
        <w:t>个领域的具体目标如表 </w:t>
      </w:r>
      <w:r>
        <w:rPr>
          <w:rFonts w:ascii="Times New Roman" w:hAnsi="Times New Roman" w:eastAsia="Times New Roman"/>
        </w:rPr>
        <w:t>2.1 </w:t>
      </w:r>
      <w:r>
        <w:rPr/>
        <w:t>所示：</w:t>
      </w:r>
    </w:p>
    <w:p>
      <w:pPr>
        <w:pStyle w:val="BodyText"/>
        <w:spacing w:before="1"/>
        <w:rPr>
          <w:sz w:val="9"/>
        </w:rPr>
      </w:pPr>
    </w:p>
    <w:p>
      <w:pPr>
        <w:pStyle w:val="BodyText"/>
        <w:spacing w:before="76"/>
        <w:ind w:right="154"/>
        <w:jc w:val="center"/>
      </w:pPr>
      <w:r>
        <w:rPr/>
        <w:t>表 </w:t>
      </w:r>
      <w:r>
        <w:rPr>
          <w:rFonts w:ascii="Times New Roman" w:eastAsia="Times New Roman"/>
        </w:rPr>
        <w:t>2.1  </w:t>
      </w:r>
      <w:r>
        <w:rPr/>
        <w:t>美国国家生涯发展指南框架</w:t>
      </w:r>
    </w:p>
    <w:p>
      <w:pPr>
        <w:pStyle w:val="BodyText"/>
        <w:spacing w:before="11"/>
        <w:rPr>
          <w:sz w:val="19"/>
        </w:rPr>
      </w:pPr>
      <w:r>
        <w:rPr/>
        <w:drawing>
          <wp:anchor distT="0" distB="0" distL="0" distR="0" allowOverlap="1" layoutInCell="1" locked="0" behindDoc="0" simplePos="0" relativeHeight="49">
            <wp:simplePos x="0" y="0"/>
            <wp:positionH relativeFrom="page">
              <wp:posOffset>1277111</wp:posOffset>
            </wp:positionH>
            <wp:positionV relativeFrom="paragraph">
              <wp:posOffset>186937</wp:posOffset>
            </wp:positionV>
            <wp:extent cx="5101291" cy="4480560"/>
            <wp:effectExtent l="0" t="0" r="0" b="0"/>
            <wp:wrapTopAndBottom/>
            <wp:docPr id="23" name="image7.jpeg"/>
            <wp:cNvGraphicFramePr>
              <a:graphicFrameLocks noChangeAspect="1"/>
            </wp:cNvGraphicFramePr>
            <a:graphic>
              <a:graphicData uri="http://schemas.openxmlformats.org/drawingml/2006/picture">
                <pic:pic>
                  <pic:nvPicPr>
                    <pic:cNvPr id="24" name="image7.jpeg"/>
                    <pic:cNvPicPr/>
                  </pic:nvPicPr>
                  <pic:blipFill>
                    <a:blip r:embed="rId38" cstate="print"/>
                    <a:stretch>
                      <a:fillRect/>
                    </a:stretch>
                  </pic:blipFill>
                  <pic:spPr>
                    <a:xfrm>
                      <a:off x="0" y="0"/>
                      <a:ext cx="5101291" cy="4480560"/>
                    </a:xfrm>
                    <a:prstGeom prst="rect">
                      <a:avLst/>
                    </a:prstGeom>
                  </pic:spPr>
                </pic:pic>
              </a:graphicData>
            </a:graphic>
          </wp:anchor>
        </w:drawing>
      </w:r>
    </w:p>
    <w:p>
      <w:pPr>
        <w:pStyle w:val="BodyText"/>
        <w:spacing w:before="5"/>
        <w:rPr>
          <w:sz w:val="18"/>
        </w:rPr>
      </w:pPr>
    </w:p>
    <w:p>
      <w:pPr>
        <w:pStyle w:val="BodyText"/>
        <w:spacing w:line="364" w:lineRule="auto"/>
        <w:ind w:left="1320" w:right="1576" w:firstLine="480"/>
      </w:pPr>
      <w:r>
        <w:rPr/>
        <w:pict>
          <v:shape style="position:absolute;margin-left:90pt;margin-top:166.190994pt;width:144pt;height:.1pt;mso-position-horizontal-relative:page;mso-position-vertical-relative:paragraph;z-index:-251607040;mso-wrap-distance-left:0;mso-wrap-distance-right:0" coordorigin="1800,3324" coordsize="2880,0" path="m1800,3324l4680,3324e" filled="false" stroked="true" strokeweight="0pt" strokecolor="#000000">
            <v:path arrowok="t"/>
            <v:stroke dashstyle="solid"/>
            <w10:wrap type="topAndBottom"/>
          </v:shape>
        </w:pict>
      </w:r>
      <w:r>
        <w:rPr>
          <w:spacing w:val="-5"/>
        </w:rPr>
        <w:t>另外，在美国公布的《面向 </w:t>
      </w:r>
      <w:r>
        <w:rPr>
          <w:rFonts w:ascii="Times New Roman" w:hAnsi="Times New Roman" w:eastAsia="Times New Roman"/>
        </w:rPr>
        <w:t>21 </w:t>
      </w:r>
      <w:r>
        <w:rPr/>
        <w:t>世纪的学习框架》文件中，明确指出了“生</w:t>
      </w:r>
      <w:r>
        <w:rPr>
          <w:spacing w:val="-2"/>
        </w:rPr>
        <w:t>涯规划素养”</w:t>
      </w:r>
      <w:r>
        <w:rPr>
          <w:spacing w:val="-9"/>
        </w:rPr>
        <w:t>（“</w:t>
      </w:r>
      <w:r>
        <w:rPr>
          <w:rFonts w:ascii="Times New Roman" w:hAnsi="Times New Roman" w:eastAsia="Times New Roman"/>
          <w:spacing w:val="-9"/>
        </w:rPr>
        <w:t>life </w:t>
      </w:r>
      <w:r>
        <w:rPr>
          <w:rFonts w:ascii="Times New Roman" w:hAnsi="Times New Roman" w:eastAsia="Times New Roman"/>
        </w:rPr>
        <w:t>and career </w:t>
      </w:r>
      <w:r>
        <w:rPr>
          <w:rFonts w:ascii="Times New Roman" w:hAnsi="Times New Roman" w:eastAsia="Times New Roman"/>
          <w:spacing w:val="-6"/>
        </w:rPr>
        <w:t>skills</w:t>
      </w:r>
      <w:r>
        <w:rPr>
          <w:spacing w:val="-3"/>
        </w:rPr>
        <w:t>”，生活与生涯规划素养</w:t>
      </w:r>
      <w:r>
        <w:rPr>
          <w:spacing w:val="-17"/>
        </w:rPr>
        <w:t>）</w:t>
      </w:r>
      <w:r>
        <w:rPr/>
        <w:t>所包含的核心素</w:t>
      </w:r>
      <w:r>
        <w:rPr>
          <w:spacing w:val="-6"/>
        </w:rPr>
        <w:t>养，分别是“灵活性和适应性”</w:t>
      </w:r>
      <w:r>
        <w:rPr>
          <w:spacing w:val="-3"/>
        </w:rPr>
        <w:t>（</w:t>
      </w:r>
      <w:r>
        <w:rPr>
          <w:rFonts w:ascii="Times New Roman" w:hAnsi="Times New Roman" w:eastAsia="Times New Roman"/>
          <w:spacing w:val="-3"/>
        </w:rPr>
        <w:t>Flexibility </w:t>
      </w:r>
      <w:r>
        <w:rPr>
          <w:rFonts w:ascii="Times New Roman" w:hAnsi="Times New Roman" w:eastAsia="Times New Roman"/>
        </w:rPr>
        <w:t>and Adaptability</w:t>
      </w:r>
      <w:r>
        <w:rPr/>
        <w:t>）</w:t>
      </w:r>
      <w:r>
        <w:rPr>
          <w:spacing w:val="-6"/>
        </w:rPr>
        <w:t>、“主动性和自主</w:t>
      </w:r>
      <w:r>
        <w:rPr>
          <w:spacing w:val="-105"/>
        </w:rPr>
        <w:t>性”</w:t>
      </w:r>
      <w:r>
        <w:rPr>
          <w:spacing w:val="-3"/>
        </w:rPr>
        <w:t>（</w:t>
      </w:r>
      <w:r>
        <w:rPr>
          <w:rFonts w:ascii="Times New Roman" w:hAnsi="Times New Roman" w:eastAsia="Times New Roman"/>
          <w:spacing w:val="-4"/>
        </w:rPr>
        <w:t>I</w:t>
      </w:r>
      <w:r>
        <w:rPr>
          <w:rFonts w:ascii="Times New Roman" w:hAnsi="Times New Roman" w:eastAsia="Times New Roman"/>
          <w:spacing w:val="2"/>
        </w:rPr>
        <w:t>n</w:t>
      </w:r>
      <w:r>
        <w:rPr>
          <w:rFonts w:ascii="Times New Roman" w:hAnsi="Times New Roman" w:eastAsia="Times New Roman"/>
        </w:rPr>
        <w:t>iti</w:t>
      </w:r>
      <w:r>
        <w:rPr>
          <w:rFonts w:ascii="Times New Roman" w:hAnsi="Times New Roman" w:eastAsia="Times New Roman"/>
          <w:spacing w:val="-1"/>
        </w:rPr>
        <w:t>a</w:t>
      </w:r>
      <w:r>
        <w:rPr>
          <w:rFonts w:ascii="Times New Roman" w:hAnsi="Times New Roman" w:eastAsia="Times New Roman"/>
        </w:rPr>
        <w:t>tive</w:t>
      </w:r>
      <w:r>
        <w:rPr>
          <w:rFonts w:ascii="Times New Roman" w:hAnsi="Times New Roman" w:eastAsia="Times New Roman"/>
          <w:spacing w:val="-1"/>
        </w:rPr>
        <w:t> a</w:t>
      </w:r>
      <w:r>
        <w:rPr>
          <w:rFonts w:ascii="Times New Roman" w:hAnsi="Times New Roman" w:eastAsia="Times New Roman"/>
        </w:rPr>
        <w:t>nd S</w:t>
      </w:r>
      <w:r>
        <w:rPr>
          <w:rFonts w:ascii="Times New Roman" w:hAnsi="Times New Roman" w:eastAsia="Times New Roman"/>
          <w:spacing w:val="-1"/>
        </w:rPr>
        <w:t>e</w:t>
      </w:r>
      <w:r>
        <w:rPr>
          <w:rFonts w:ascii="Times New Roman" w:hAnsi="Times New Roman" w:eastAsia="Times New Roman"/>
        </w:rPr>
        <w:t>l</w:t>
      </w:r>
      <w:r>
        <w:rPr>
          <w:rFonts w:ascii="Times New Roman" w:hAnsi="Times New Roman" w:eastAsia="Times New Roman"/>
          <w:spacing w:val="-1"/>
        </w:rPr>
        <w:t>f-D</w:t>
      </w:r>
      <w:r>
        <w:rPr>
          <w:rFonts w:ascii="Times New Roman" w:hAnsi="Times New Roman" w:eastAsia="Times New Roman"/>
        </w:rPr>
        <w:t>i</w:t>
      </w:r>
      <w:r>
        <w:rPr>
          <w:rFonts w:ascii="Times New Roman" w:hAnsi="Times New Roman" w:eastAsia="Times New Roman"/>
          <w:spacing w:val="-1"/>
        </w:rPr>
        <w:t>re</w:t>
      </w:r>
      <w:r>
        <w:rPr>
          <w:rFonts w:ascii="Times New Roman" w:hAnsi="Times New Roman" w:eastAsia="Times New Roman"/>
          <w:spacing w:val="1"/>
        </w:rPr>
        <w:t>c</w:t>
      </w:r>
      <w:r>
        <w:rPr>
          <w:rFonts w:ascii="Times New Roman" w:hAnsi="Times New Roman" w:eastAsia="Times New Roman"/>
        </w:rPr>
        <w:t>tion</w:t>
      </w:r>
      <w:r>
        <w:rPr>
          <w:spacing w:val="-104"/>
        </w:rPr>
        <w:t>）</w:t>
      </w:r>
      <w:r>
        <w:rPr>
          <w:spacing w:val="-23"/>
        </w:rPr>
        <w:t>、“社会和跨文化技能</w:t>
      </w:r>
      <w:r>
        <w:rPr>
          <w:spacing w:val="-202"/>
        </w:rPr>
        <w:t>”</w:t>
      </w:r>
      <w:r>
        <w:rPr>
          <w:spacing w:val="-5"/>
        </w:rPr>
        <w:t>（</w:t>
      </w:r>
      <w:r>
        <w:rPr>
          <w:rFonts w:ascii="Times New Roman" w:hAnsi="Times New Roman" w:eastAsia="Times New Roman"/>
        </w:rPr>
        <w:t>So</w:t>
      </w:r>
      <w:r>
        <w:rPr>
          <w:rFonts w:ascii="Times New Roman" w:hAnsi="Times New Roman" w:eastAsia="Times New Roman"/>
          <w:spacing w:val="-1"/>
        </w:rPr>
        <w:t>c</w:t>
      </w:r>
      <w:r>
        <w:rPr>
          <w:rFonts w:ascii="Times New Roman" w:hAnsi="Times New Roman" w:eastAsia="Times New Roman"/>
        </w:rPr>
        <w:t>i</w:t>
      </w:r>
      <w:r>
        <w:rPr>
          <w:rFonts w:ascii="Times New Roman" w:hAnsi="Times New Roman" w:eastAsia="Times New Roman"/>
          <w:spacing w:val="-1"/>
        </w:rPr>
        <w:t>a</w:t>
      </w:r>
      <w:r>
        <w:rPr>
          <w:rFonts w:ascii="Times New Roman" w:hAnsi="Times New Roman" w:eastAsia="Times New Roman"/>
        </w:rPr>
        <w:t>l </w:t>
      </w:r>
      <w:r>
        <w:rPr>
          <w:rFonts w:ascii="Times New Roman" w:hAnsi="Times New Roman" w:eastAsia="Times New Roman"/>
          <w:spacing w:val="-1"/>
        </w:rPr>
        <w:t>a</w:t>
      </w:r>
      <w:r>
        <w:rPr>
          <w:rFonts w:ascii="Times New Roman" w:hAnsi="Times New Roman" w:eastAsia="Times New Roman"/>
        </w:rPr>
        <w:t>nd C</w:t>
      </w:r>
      <w:r>
        <w:rPr>
          <w:rFonts w:ascii="Times New Roman" w:hAnsi="Times New Roman" w:eastAsia="Times New Roman"/>
          <w:spacing w:val="-1"/>
        </w:rPr>
        <w:t>r</w:t>
      </w:r>
      <w:r>
        <w:rPr>
          <w:rFonts w:ascii="Times New Roman" w:hAnsi="Times New Roman" w:eastAsia="Times New Roman"/>
        </w:rPr>
        <w:t>oss</w:t>
      </w:r>
      <w:r>
        <w:rPr>
          <w:rFonts w:ascii="Times New Roman" w:hAnsi="Times New Roman" w:eastAsia="Times New Roman"/>
          <w:spacing w:val="-1"/>
        </w:rPr>
        <w:t>-</w:t>
      </w:r>
      <w:r>
        <w:rPr>
          <w:rFonts w:ascii="Times New Roman" w:hAnsi="Times New Roman" w:eastAsia="Times New Roman"/>
        </w:rPr>
        <w:t>Cultu</w:t>
      </w:r>
      <w:r>
        <w:rPr>
          <w:rFonts w:ascii="Times New Roman" w:hAnsi="Times New Roman" w:eastAsia="Times New Roman"/>
          <w:spacing w:val="-1"/>
        </w:rPr>
        <w:t>ra</w:t>
      </w:r>
      <w:r>
        <w:rPr>
          <w:rFonts w:ascii="Times New Roman" w:hAnsi="Times New Roman" w:eastAsia="Times New Roman"/>
        </w:rPr>
        <w:t>l </w:t>
      </w:r>
      <w:r>
        <w:rPr>
          <w:rFonts w:ascii="Times New Roman" w:hAnsi="Times New Roman" w:eastAsia="Times New Roman"/>
          <w:spacing w:val="-3"/>
        </w:rPr>
        <w:t>Skills</w:t>
      </w:r>
      <w:r>
        <w:rPr>
          <w:spacing w:val="-3"/>
        </w:rPr>
        <w:t>）</w:t>
      </w:r>
      <w:r>
        <w:rPr>
          <w:spacing w:val="-6"/>
        </w:rPr>
        <w:t>、“生产力和责任”</w:t>
      </w:r>
      <w:r>
        <w:rPr>
          <w:spacing w:val="-3"/>
        </w:rPr>
        <w:t>（</w:t>
      </w:r>
      <w:r>
        <w:rPr>
          <w:rFonts w:ascii="Times New Roman" w:hAnsi="Times New Roman" w:eastAsia="Times New Roman"/>
          <w:spacing w:val="-3"/>
        </w:rPr>
        <w:t>Productivity </w:t>
      </w:r>
      <w:r>
        <w:rPr>
          <w:rFonts w:ascii="Times New Roman" w:hAnsi="Times New Roman" w:eastAsia="Times New Roman"/>
        </w:rPr>
        <w:t>and Accountability</w:t>
      </w:r>
      <w:r>
        <w:rPr/>
        <w:t>）</w:t>
      </w:r>
      <w:r>
        <w:rPr>
          <w:spacing w:val="-6"/>
        </w:rPr>
        <w:t>、“领导力和责任感”（</w:t>
      </w:r>
      <w:r>
        <w:rPr>
          <w:rFonts w:ascii="Times New Roman" w:hAnsi="Times New Roman" w:eastAsia="Times New Roman"/>
          <w:spacing w:val="-6"/>
        </w:rPr>
        <w:t>Leadership </w:t>
      </w:r>
      <w:r>
        <w:rPr>
          <w:rFonts w:ascii="Times New Roman" w:hAnsi="Times New Roman" w:eastAsia="Times New Roman"/>
        </w:rPr>
        <w:t>and Responsibility</w:t>
      </w:r>
      <w:r>
        <w:rPr/>
        <w:t>），每一核心素养又由若干方面构成，见表</w:t>
      </w:r>
      <w:r>
        <w:rPr>
          <w:rFonts w:ascii="Times New Roman" w:hAnsi="Times New Roman" w:eastAsia="Times New Roman"/>
        </w:rPr>
        <w:t>2.2</w:t>
      </w:r>
      <w:r>
        <w:rPr/>
        <w:t>：</w:t>
      </w:r>
    </w:p>
    <w:p>
      <w:pPr>
        <w:spacing w:line="247" w:lineRule="auto" w:before="96"/>
        <w:ind w:left="1320" w:right="1626" w:firstLine="0"/>
        <w:jc w:val="left"/>
        <w:rPr>
          <w:rFonts w:ascii="Times New Roman"/>
          <w:sz w:val="18"/>
        </w:rPr>
      </w:pPr>
      <w:bookmarkStart w:name="_bookmark137" w:id="177"/>
      <w:bookmarkEnd w:id="177"/>
      <w:r>
        <w:rPr/>
      </w:r>
      <w:r>
        <w:rPr>
          <w:rFonts w:ascii="Times New Roman"/>
          <w:position w:val="7"/>
          <w:sz w:val="13"/>
        </w:rPr>
        <w:t>[1] </w:t>
      </w:r>
      <w:r>
        <w:rPr>
          <w:rFonts w:ascii="Times New Roman"/>
          <w:sz w:val="18"/>
        </w:rPr>
        <w:t>NOICC.National Career Development Guideline.[EB/OL].https</w:t>
      </w:r>
      <w:hyperlink r:id="rId39">
        <w:r>
          <w:rPr>
            <w:rFonts w:ascii="Times New Roman"/>
            <w:sz w:val="18"/>
          </w:rPr>
          <w:t>://www.careeronestop.org/competencymodel/</w:t>
        </w:r>
      </w:hyperlink>
      <w:r>
        <w:rPr>
          <w:rFonts w:ascii="Times New Roman"/>
          <w:sz w:val="18"/>
        </w:rPr>
        <w:t> modelFiles/Natl.CareerDev.Guidelines.pdf.2017-2-9.</w:t>
      </w:r>
    </w:p>
    <w:p>
      <w:pPr>
        <w:spacing w:after="0" w:line="247" w:lineRule="auto"/>
        <w:jc w:val="left"/>
        <w:rPr>
          <w:rFonts w:ascii="Times New Roman"/>
          <w:sz w:val="18"/>
        </w:rPr>
        <w:sectPr>
          <w:pgSz w:w="11910" w:h="16840"/>
          <w:pgMar w:header="878" w:footer="1160" w:top="1300" w:bottom="1360" w:left="480" w:right="220"/>
        </w:sectPr>
      </w:pPr>
    </w:p>
    <w:p>
      <w:pPr>
        <w:pStyle w:val="BodyText"/>
        <w:spacing w:before="9"/>
        <w:rPr>
          <w:rFonts w:ascii="Times New Roman"/>
          <w:sz w:val="11"/>
        </w:rPr>
      </w:pPr>
    </w:p>
    <w:p>
      <w:pPr>
        <w:pStyle w:val="BodyText"/>
        <w:spacing w:before="74"/>
        <w:ind w:left="685" w:right="525"/>
        <w:jc w:val="center"/>
      </w:pPr>
      <w:r>
        <w:rPr/>
        <w:t>表 </w:t>
      </w:r>
      <w:r>
        <w:rPr>
          <w:rFonts w:ascii="Times New Roman" w:hAnsi="Times New Roman" w:eastAsia="Times New Roman"/>
        </w:rPr>
        <w:t>2.2 </w:t>
      </w:r>
      <w:r>
        <w:rPr/>
        <w:t>美国核心素养框架中提及的“生涯规划素养”</w:t>
      </w:r>
    </w:p>
    <w:p>
      <w:pPr>
        <w:pStyle w:val="BodyText"/>
        <w:spacing w:before="9"/>
        <w:rPr>
          <w:sz w:val="14"/>
        </w:rPr>
      </w:pPr>
      <w:r>
        <w:rPr/>
        <w:drawing>
          <wp:anchor distT="0" distB="0" distL="0" distR="0" allowOverlap="1" layoutInCell="1" locked="0" behindDoc="0" simplePos="0" relativeHeight="51">
            <wp:simplePos x="0" y="0"/>
            <wp:positionH relativeFrom="page">
              <wp:posOffset>1950720</wp:posOffset>
            </wp:positionH>
            <wp:positionV relativeFrom="paragraph">
              <wp:posOffset>144435</wp:posOffset>
            </wp:positionV>
            <wp:extent cx="3924991" cy="4171950"/>
            <wp:effectExtent l="0" t="0" r="0" b="0"/>
            <wp:wrapTopAndBottom/>
            <wp:docPr id="25" name="image8.jpeg"/>
            <wp:cNvGraphicFramePr>
              <a:graphicFrameLocks noChangeAspect="1"/>
            </wp:cNvGraphicFramePr>
            <a:graphic>
              <a:graphicData uri="http://schemas.openxmlformats.org/drawingml/2006/picture">
                <pic:pic>
                  <pic:nvPicPr>
                    <pic:cNvPr id="26" name="image8.jpeg"/>
                    <pic:cNvPicPr/>
                  </pic:nvPicPr>
                  <pic:blipFill>
                    <a:blip r:embed="rId40" cstate="print"/>
                    <a:stretch>
                      <a:fillRect/>
                    </a:stretch>
                  </pic:blipFill>
                  <pic:spPr>
                    <a:xfrm>
                      <a:off x="0" y="0"/>
                      <a:ext cx="3924991" cy="4171950"/>
                    </a:xfrm>
                    <a:prstGeom prst="rect">
                      <a:avLst/>
                    </a:prstGeom>
                  </pic:spPr>
                </pic:pic>
              </a:graphicData>
            </a:graphic>
          </wp:anchor>
        </w:drawing>
      </w:r>
    </w:p>
    <w:p>
      <w:pPr>
        <w:pStyle w:val="BodyText"/>
        <w:spacing w:line="364" w:lineRule="auto" w:before="199"/>
        <w:ind w:left="1320" w:right="1563" w:firstLine="480"/>
        <w:jc w:val="both"/>
      </w:pPr>
      <w:r>
        <w:rPr>
          <w:spacing w:val="-6"/>
        </w:rPr>
        <w:t>新西兰政府高度重视生涯规划教育，认为“生涯规划教育有潜质成为学校工</w:t>
      </w:r>
      <w:r>
        <w:rPr>
          <w:spacing w:val="-5"/>
        </w:rPr>
        <w:t>作的中心”。</w:t>
      </w:r>
      <w:r>
        <w:rPr>
          <w:rFonts w:ascii="Times New Roman" w:hAnsi="Times New Roman" w:eastAsia="Times New Roman"/>
        </w:rPr>
        <w:t>2009 </w:t>
      </w:r>
      <w:r>
        <w:rPr/>
        <w:t>年，新西兰政府重新修订了《新西兰学校生涯规划教育与指</w:t>
      </w:r>
      <w:r>
        <w:rPr>
          <w:spacing w:val="2"/>
        </w:rPr>
        <w:t>导》</w:t>
      </w:r>
      <w:r>
        <w:rPr/>
        <w:t>（</w:t>
      </w:r>
      <w:r>
        <w:rPr>
          <w:rFonts w:ascii="Times New Roman" w:hAnsi="Times New Roman" w:eastAsia="Times New Roman"/>
        </w:rPr>
        <w:t>Career Educaiton and Guidance in New Zealand School</w:t>
      </w:r>
      <w:r>
        <w:rPr/>
        <w:t>）。该文件依据国际</w:t>
      </w:r>
      <w:r>
        <w:rPr>
          <w:spacing w:val="-7"/>
        </w:rPr>
        <w:t>上的相关研究和实践，确立了一系列“生涯规划素养”，每一个素养都包含了成</w:t>
      </w:r>
      <w:r>
        <w:rPr>
          <w:spacing w:val="-9"/>
        </w:rPr>
        <w:t>功地规划生活、工作和学习所需要的理解、技能和态度。</w:t>
      </w:r>
      <w:hyperlink w:history="true" w:anchor="_bookmark138">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2"/>
        </w:rPr>
        <w:t>该文件指出，生涯规</w:t>
      </w:r>
      <w:r>
        <w:rPr>
          <w:spacing w:val="-7"/>
        </w:rPr>
        <w:t>划素养的获得将有助于人们认识自己，做出关于学习和工作选择的决定，通过在工作与社会中积极参与实践他们在学习和工作方面的决定。</w:t>
      </w:r>
    </w:p>
    <w:p>
      <w:pPr>
        <w:pStyle w:val="BodyText"/>
        <w:spacing w:line="364" w:lineRule="auto" w:before="4"/>
        <w:ind w:left="1320" w:right="1577" w:firstLine="480"/>
        <w:jc w:val="both"/>
      </w:pPr>
      <w:r>
        <w:rPr/>
        <w:pict>
          <v:shape style="position:absolute;margin-left:90pt;margin-top:123.940994pt;width:144pt;height:.1pt;mso-position-horizontal-relative:page;mso-position-vertical-relative:paragraph;z-index:-251604992;mso-wrap-distance-left:0;mso-wrap-distance-right:0" coordorigin="1800,2479" coordsize="2880,0" path="m1800,2479l4680,2479e" filled="false" stroked="true" strokeweight="0pt" strokecolor="#000000">
            <v:path arrowok="t"/>
            <v:stroke dashstyle="solid"/>
            <w10:wrap type="topAndBottom"/>
          </v:shape>
        </w:pict>
      </w:r>
      <w:r>
        <w:rPr>
          <w:spacing w:val="-7"/>
        </w:rPr>
        <w:t>新西兰将生涯规划素养分为三个方面：第一，自我发展，即要求青年人要了</w:t>
      </w:r>
      <w:r>
        <w:rPr>
          <w:spacing w:val="-9"/>
        </w:rPr>
        <w:t>解自己及其周围的环境；第二，机会探索，即要求青年人在工作和学习中探索机</w:t>
      </w:r>
      <w:r>
        <w:rPr>
          <w:spacing w:val="-10"/>
        </w:rPr>
        <w:t>会，并将这些机会与自己联系；第三，决策与行动，即要求青年人学会制定并调整他们的计划，规划变化和过渡，并采取恰当的行动。每一个生涯规划素养下又</w:t>
      </w:r>
      <w:r>
        <w:rPr>
          <w:spacing w:val="-3"/>
        </w:rPr>
        <w:t>细分为三个指标，并对每个指标做了具体的阐释，如表 </w:t>
      </w:r>
      <w:r>
        <w:rPr>
          <w:rFonts w:ascii="Times New Roman" w:eastAsia="Times New Roman"/>
        </w:rPr>
        <w:t>2.3 </w:t>
      </w:r>
      <w:r>
        <w:rPr/>
        <w:t>所示：</w:t>
      </w:r>
    </w:p>
    <w:p>
      <w:pPr>
        <w:spacing w:line="386" w:lineRule="auto" w:before="98"/>
        <w:ind w:left="1320" w:right="1618" w:firstLine="0"/>
        <w:jc w:val="left"/>
        <w:rPr>
          <w:rFonts w:ascii="Times New Roman"/>
          <w:sz w:val="18"/>
        </w:rPr>
      </w:pPr>
      <w:bookmarkStart w:name="_bookmark138" w:id="178"/>
      <w:bookmarkEnd w:id="178"/>
      <w:r>
        <w:rPr/>
      </w:r>
      <w:r>
        <w:rPr>
          <w:rFonts w:ascii="Times New Roman"/>
          <w:position w:val="7"/>
          <w:sz w:val="13"/>
        </w:rPr>
        <w:t>[1] </w:t>
      </w:r>
      <w:r>
        <w:rPr>
          <w:rFonts w:ascii="Times New Roman"/>
          <w:sz w:val="18"/>
        </w:rPr>
        <w:t>the Ministry of Education. Career Education and Guidance in New Zealand School.[EB/OL]</w:t>
      </w:r>
      <w:hyperlink r:id="rId41">
        <w:r>
          <w:rPr>
            <w:rFonts w:ascii="Times New Roman"/>
            <w:sz w:val="18"/>
          </w:rPr>
          <w:t>..http://nzcu</w:t>
        </w:r>
      </w:hyperlink>
      <w:r>
        <w:rPr>
          <w:rFonts w:ascii="Times New Roman"/>
          <w:sz w:val="18"/>
        </w:rPr>
        <w:t> rriculum.tki.org.nz/Curriculum-resources/Career-education.2016-6-10.</w:t>
      </w:r>
    </w:p>
    <w:p>
      <w:pPr>
        <w:spacing w:after="0" w:line="386" w:lineRule="auto"/>
        <w:jc w:val="left"/>
        <w:rPr>
          <w:rFonts w:ascii="Times New Roman"/>
          <w:sz w:val="18"/>
        </w:rPr>
        <w:sectPr>
          <w:pgSz w:w="11910" w:h="16840"/>
          <w:pgMar w:header="878" w:footer="1160" w:top="1300" w:bottom="1380" w:left="480" w:right="220"/>
        </w:sectPr>
      </w:pPr>
    </w:p>
    <w:p>
      <w:pPr>
        <w:pStyle w:val="BodyText"/>
        <w:tabs>
          <w:tab w:pos="839" w:val="left" w:leader="none"/>
        </w:tabs>
        <w:spacing w:before="133"/>
        <w:ind w:right="261"/>
        <w:jc w:val="center"/>
      </w:pPr>
      <w:r>
        <w:rPr/>
        <w:t>表</w:t>
      </w:r>
      <w:r>
        <w:rPr>
          <w:spacing w:val="-60"/>
        </w:rPr>
        <w:t> </w:t>
      </w:r>
      <w:r>
        <w:rPr>
          <w:rFonts w:ascii="Times New Roman" w:eastAsia="Times New Roman"/>
        </w:rPr>
        <w:t>2.3</w:t>
        <w:tab/>
      </w:r>
      <w:r>
        <w:rPr/>
        <w:t>新西兰的生涯规划素养</w:t>
      </w:r>
    </w:p>
    <w:p>
      <w:pPr>
        <w:pStyle w:val="BodyText"/>
        <w:spacing w:before="3" w:after="1"/>
        <w:rPr>
          <w:sz w:val="12"/>
        </w:rPr>
      </w:pPr>
    </w:p>
    <w:tbl>
      <w:tblPr>
        <w:tblW w:w="0" w:type="auto"/>
        <w:jc w:val="left"/>
        <w:tblInd w:w="1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153"/>
        <w:gridCol w:w="1215"/>
        <w:gridCol w:w="5880"/>
      </w:tblGrid>
      <w:tr>
        <w:trPr>
          <w:trHeight w:val="467" w:hRule="atLeast"/>
        </w:trPr>
        <w:tc>
          <w:tcPr>
            <w:tcW w:w="1153" w:type="dxa"/>
          </w:tcPr>
          <w:p>
            <w:pPr>
              <w:pStyle w:val="TableParagraph"/>
              <w:spacing w:before="80"/>
              <w:ind w:left="334"/>
              <w:rPr>
                <w:sz w:val="24"/>
              </w:rPr>
            </w:pPr>
            <w:r>
              <w:rPr>
                <w:sz w:val="24"/>
              </w:rPr>
              <w:t>分类</w:t>
            </w:r>
          </w:p>
        </w:tc>
        <w:tc>
          <w:tcPr>
            <w:tcW w:w="1215" w:type="dxa"/>
          </w:tcPr>
          <w:p>
            <w:pPr>
              <w:pStyle w:val="TableParagraph"/>
              <w:spacing w:before="80"/>
              <w:ind w:left="367"/>
              <w:rPr>
                <w:sz w:val="24"/>
              </w:rPr>
            </w:pPr>
            <w:r>
              <w:rPr>
                <w:sz w:val="24"/>
              </w:rPr>
              <w:t>指标</w:t>
            </w:r>
          </w:p>
        </w:tc>
        <w:tc>
          <w:tcPr>
            <w:tcW w:w="5880" w:type="dxa"/>
          </w:tcPr>
          <w:p>
            <w:pPr>
              <w:pStyle w:val="TableParagraph"/>
              <w:spacing w:before="80"/>
              <w:ind w:left="2650" w:right="2219"/>
              <w:jc w:val="center"/>
              <w:rPr>
                <w:sz w:val="24"/>
              </w:rPr>
            </w:pPr>
            <w:r>
              <w:rPr>
                <w:sz w:val="24"/>
              </w:rPr>
              <w:t>具体阐释</w:t>
            </w:r>
          </w:p>
        </w:tc>
      </w:tr>
      <w:tr>
        <w:trPr>
          <w:trHeight w:val="2807" w:hRule="atLeast"/>
        </w:trPr>
        <w:tc>
          <w:tcPr>
            <w:tcW w:w="1153" w:type="dxa"/>
            <w:vMerge w:val="restart"/>
          </w:tcPr>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spacing w:before="7"/>
              <w:rPr>
                <w:sz w:val="34"/>
              </w:rPr>
            </w:pPr>
          </w:p>
          <w:p>
            <w:pPr>
              <w:pStyle w:val="TableParagraph"/>
              <w:spacing w:line="364" w:lineRule="auto" w:before="1"/>
              <w:ind w:left="106" w:right="47"/>
              <w:rPr>
                <w:sz w:val="24"/>
              </w:rPr>
            </w:pPr>
            <w:r>
              <w:rPr>
                <w:sz w:val="24"/>
              </w:rPr>
              <w:t>一、自我发展</w:t>
            </w:r>
          </w:p>
        </w:tc>
        <w:tc>
          <w:tcPr>
            <w:tcW w:w="1215" w:type="dxa"/>
          </w:tcPr>
          <w:p>
            <w:pPr>
              <w:pStyle w:val="TableParagraph"/>
              <w:rPr>
                <w:sz w:val="24"/>
              </w:rPr>
            </w:pPr>
          </w:p>
          <w:p>
            <w:pPr>
              <w:pStyle w:val="TableParagraph"/>
              <w:spacing w:before="11"/>
              <w:rPr>
                <w:sz w:val="18"/>
              </w:rPr>
            </w:pPr>
          </w:p>
          <w:p>
            <w:pPr>
              <w:pStyle w:val="TableParagraph"/>
              <w:spacing w:line="364" w:lineRule="auto" w:before="1"/>
              <w:ind w:left="107" w:right="135"/>
              <w:jc w:val="both"/>
              <w:rPr>
                <w:sz w:val="24"/>
              </w:rPr>
            </w:pPr>
            <w:r>
              <w:rPr>
                <w:rFonts w:ascii="Times New Roman" w:eastAsia="Times New Roman"/>
                <w:sz w:val="24"/>
              </w:rPr>
              <w:t>1.</w:t>
            </w:r>
            <w:r>
              <w:rPr>
                <w:sz w:val="24"/>
              </w:rPr>
              <w:t>建立和维持一个积极的自我概念</w:t>
            </w:r>
          </w:p>
        </w:tc>
        <w:tc>
          <w:tcPr>
            <w:tcW w:w="5880" w:type="dxa"/>
          </w:tcPr>
          <w:p>
            <w:pPr>
              <w:pStyle w:val="TableParagraph"/>
              <w:numPr>
                <w:ilvl w:val="0"/>
                <w:numId w:val="13"/>
              </w:numPr>
              <w:tabs>
                <w:tab w:pos="709" w:val="left" w:leader="none"/>
              </w:tabs>
              <w:spacing w:line="364" w:lineRule="auto" w:before="82" w:after="0"/>
              <w:ind w:left="107" w:right="120" w:firstLine="0"/>
              <w:jc w:val="left"/>
              <w:rPr>
                <w:sz w:val="24"/>
              </w:rPr>
            </w:pPr>
            <w:r>
              <w:rPr>
                <w:spacing w:val="-1"/>
                <w:sz w:val="24"/>
              </w:rPr>
              <w:t>知道我是谁——我们的兴趣、能力、品质以及文</w:t>
            </w:r>
            <w:r>
              <w:rPr>
                <w:sz w:val="24"/>
              </w:rPr>
              <w:t>化与个人价值</w:t>
            </w:r>
          </w:p>
          <w:p>
            <w:pPr>
              <w:pStyle w:val="TableParagraph"/>
              <w:numPr>
                <w:ilvl w:val="0"/>
                <w:numId w:val="13"/>
              </w:numPr>
              <w:tabs>
                <w:tab w:pos="709" w:val="left" w:leader="none"/>
              </w:tabs>
              <w:spacing w:line="240" w:lineRule="auto" w:before="1" w:after="0"/>
              <w:ind w:left="708" w:right="0" w:hanging="602"/>
              <w:jc w:val="left"/>
              <w:rPr>
                <w:sz w:val="24"/>
              </w:rPr>
            </w:pPr>
            <w:r>
              <w:rPr>
                <w:sz w:val="24"/>
              </w:rPr>
              <w:t>了解如何发展我们的能力和兴趣</w:t>
            </w:r>
          </w:p>
          <w:p>
            <w:pPr>
              <w:pStyle w:val="TableParagraph"/>
              <w:numPr>
                <w:ilvl w:val="0"/>
                <w:numId w:val="13"/>
              </w:numPr>
              <w:tabs>
                <w:tab w:pos="709" w:val="left" w:leader="none"/>
              </w:tabs>
              <w:spacing w:line="240" w:lineRule="auto" w:before="160" w:after="0"/>
              <w:ind w:left="708" w:right="0" w:hanging="602"/>
              <w:jc w:val="left"/>
              <w:rPr>
                <w:sz w:val="24"/>
              </w:rPr>
            </w:pPr>
            <w:r>
              <w:rPr>
                <w:sz w:val="24"/>
              </w:rPr>
              <w:t>证明我们的行为反应了我们的积极态度</w:t>
            </w:r>
          </w:p>
          <w:p>
            <w:pPr>
              <w:pStyle w:val="TableParagraph"/>
              <w:numPr>
                <w:ilvl w:val="0"/>
                <w:numId w:val="13"/>
              </w:numPr>
              <w:tabs>
                <w:tab w:pos="709" w:val="left" w:leader="none"/>
              </w:tabs>
              <w:spacing w:line="240" w:lineRule="auto" w:before="161" w:after="0"/>
              <w:ind w:left="708" w:right="0" w:hanging="602"/>
              <w:jc w:val="left"/>
              <w:rPr>
                <w:sz w:val="24"/>
              </w:rPr>
            </w:pPr>
            <w:r>
              <w:rPr>
                <w:sz w:val="24"/>
              </w:rPr>
              <w:t>理解影响行为和态度的因素</w:t>
            </w:r>
          </w:p>
          <w:p>
            <w:pPr>
              <w:pStyle w:val="TableParagraph"/>
              <w:numPr>
                <w:ilvl w:val="0"/>
                <w:numId w:val="13"/>
              </w:numPr>
              <w:tabs>
                <w:tab w:pos="709" w:val="left" w:leader="none"/>
              </w:tabs>
              <w:spacing w:line="240" w:lineRule="auto" w:before="160" w:after="0"/>
              <w:ind w:left="708" w:right="0" w:hanging="602"/>
              <w:jc w:val="left"/>
              <w:rPr>
                <w:sz w:val="24"/>
              </w:rPr>
            </w:pPr>
            <w:r>
              <w:rPr>
                <w:sz w:val="24"/>
              </w:rPr>
              <w:t>建立接受反馈的能力和理解</w:t>
            </w:r>
          </w:p>
        </w:tc>
      </w:tr>
      <w:tr>
        <w:trPr>
          <w:trHeight w:val="2808" w:hRule="atLeast"/>
        </w:trPr>
        <w:tc>
          <w:tcPr>
            <w:tcW w:w="1153" w:type="dxa"/>
            <w:vMerge/>
            <w:tcBorders>
              <w:top w:val="nil"/>
            </w:tcBorders>
          </w:tcPr>
          <w:p>
            <w:pPr>
              <w:rPr>
                <w:sz w:val="2"/>
                <w:szCs w:val="2"/>
              </w:rPr>
            </w:pPr>
          </w:p>
        </w:tc>
        <w:tc>
          <w:tcPr>
            <w:tcW w:w="1215" w:type="dxa"/>
          </w:tcPr>
          <w:p>
            <w:pPr>
              <w:pStyle w:val="TableParagraph"/>
              <w:rPr>
                <w:sz w:val="24"/>
              </w:rPr>
            </w:pPr>
          </w:p>
          <w:p>
            <w:pPr>
              <w:pStyle w:val="TableParagraph"/>
              <w:spacing w:before="11"/>
              <w:rPr>
                <w:sz w:val="18"/>
              </w:rPr>
            </w:pPr>
          </w:p>
          <w:p>
            <w:pPr>
              <w:pStyle w:val="TableParagraph"/>
              <w:spacing w:line="364" w:lineRule="auto"/>
              <w:ind w:left="107" w:right="135"/>
              <w:jc w:val="both"/>
              <w:rPr>
                <w:sz w:val="24"/>
              </w:rPr>
            </w:pPr>
            <w:r>
              <w:rPr>
                <w:rFonts w:ascii="Times New Roman" w:eastAsia="Times New Roman"/>
                <w:sz w:val="24"/>
              </w:rPr>
              <w:t>2.</w:t>
            </w:r>
            <w:r>
              <w:rPr>
                <w:sz w:val="24"/>
              </w:rPr>
              <w:t>积极、有效与他人互动</w:t>
            </w:r>
          </w:p>
        </w:tc>
        <w:tc>
          <w:tcPr>
            <w:tcW w:w="5880" w:type="dxa"/>
          </w:tcPr>
          <w:p>
            <w:pPr>
              <w:pStyle w:val="TableParagraph"/>
              <w:numPr>
                <w:ilvl w:val="0"/>
                <w:numId w:val="14"/>
              </w:numPr>
              <w:tabs>
                <w:tab w:pos="709" w:val="left" w:leader="none"/>
              </w:tabs>
              <w:spacing w:line="240" w:lineRule="auto" w:before="81" w:after="0"/>
              <w:ind w:left="708" w:right="0" w:hanging="602"/>
              <w:jc w:val="left"/>
              <w:rPr>
                <w:sz w:val="24"/>
              </w:rPr>
            </w:pPr>
            <w:r>
              <w:rPr>
                <w:sz w:val="24"/>
              </w:rPr>
              <w:t>个人和团体交流</w:t>
            </w:r>
          </w:p>
          <w:p>
            <w:pPr>
              <w:pStyle w:val="TableParagraph"/>
              <w:numPr>
                <w:ilvl w:val="0"/>
                <w:numId w:val="14"/>
              </w:numPr>
              <w:tabs>
                <w:tab w:pos="709" w:val="left" w:leader="none"/>
              </w:tabs>
              <w:spacing w:line="240" w:lineRule="auto" w:before="161" w:after="0"/>
              <w:ind w:left="708" w:right="0" w:hanging="602"/>
              <w:jc w:val="left"/>
              <w:rPr>
                <w:sz w:val="24"/>
              </w:rPr>
            </w:pPr>
            <w:r>
              <w:rPr>
                <w:sz w:val="24"/>
              </w:rPr>
              <w:t>寻求帮助，工作或合作</w:t>
            </w:r>
          </w:p>
          <w:p>
            <w:pPr>
              <w:pStyle w:val="TableParagraph"/>
              <w:numPr>
                <w:ilvl w:val="0"/>
                <w:numId w:val="14"/>
              </w:numPr>
              <w:tabs>
                <w:tab w:pos="709" w:val="left" w:leader="none"/>
              </w:tabs>
              <w:spacing w:line="240" w:lineRule="auto" w:before="160" w:after="0"/>
              <w:ind w:left="708" w:right="0" w:hanging="602"/>
              <w:jc w:val="left"/>
              <w:rPr>
                <w:sz w:val="24"/>
              </w:rPr>
            </w:pPr>
            <w:r>
              <w:rPr>
                <w:sz w:val="24"/>
              </w:rPr>
              <w:t>与来自不同文化背景的人恰当地交流</w:t>
            </w:r>
          </w:p>
          <w:p>
            <w:pPr>
              <w:pStyle w:val="TableParagraph"/>
              <w:numPr>
                <w:ilvl w:val="0"/>
                <w:numId w:val="14"/>
              </w:numPr>
              <w:tabs>
                <w:tab w:pos="709" w:val="left" w:leader="none"/>
              </w:tabs>
              <w:spacing w:line="240" w:lineRule="auto" w:before="161" w:after="0"/>
              <w:ind w:left="708" w:right="0" w:hanging="602"/>
              <w:jc w:val="left"/>
              <w:rPr>
                <w:sz w:val="24"/>
              </w:rPr>
            </w:pPr>
            <w:r>
              <w:rPr>
                <w:sz w:val="24"/>
              </w:rPr>
              <w:t>理解积极人际关系在生活中的重要性</w:t>
            </w:r>
          </w:p>
          <w:p>
            <w:pPr>
              <w:pStyle w:val="TableParagraph"/>
              <w:numPr>
                <w:ilvl w:val="0"/>
                <w:numId w:val="14"/>
              </w:numPr>
              <w:tabs>
                <w:tab w:pos="709" w:val="left" w:leader="none"/>
              </w:tabs>
              <w:spacing w:line="240" w:lineRule="auto" w:before="160" w:after="0"/>
              <w:ind w:left="708" w:right="0" w:hanging="602"/>
              <w:jc w:val="left"/>
              <w:rPr>
                <w:sz w:val="24"/>
              </w:rPr>
            </w:pPr>
            <w:r>
              <w:rPr>
                <w:sz w:val="24"/>
              </w:rPr>
              <w:t>能够用适当的方式表达想法和个人感受</w:t>
            </w:r>
          </w:p>
          <w:p>
            <w:pPr>
              <w:pStyle w:val="TableParagraph"/>
              <w:numPr>
                <w:ilvl w:val="0"/>
                <w:numId w:val="14"/>
              </w:numPr>
              <w:tabs>
                <w:tab w:pos="709" w:val="left" w:leader="none"/>
              </w:tabs>
              <w:spacing w:line="240" w:lineRule="auto" w:before="161" w:after="0"/>
              <w:ind w:left="708" w:right="0" w:hanging="602"/>
              <w:jc w:val="left"/>
              <w:rPr>
                <w:sz w:val="24"/>
              </w:rPr>
            </w:pPr>
            <w:r>
              <w:rPr>
                <w:sz w:val="24"/>
              </w:rPr>
              <w:t>知道如何处理同伴压力和解决人际关系</w:t>
            </w:r>
          </w:p>
        </w:tc>
      </w:tr>
      <w:tr>
        <w:trPr>
          <w:trHeight w:val="2340" w:hRule="atLeast"/>
        </w:trPr>
        <w:tc>
          <w:tcPr>
            <w:tcW w:w="1153" w:type="dxa"/>
            <w:vMerge/>
            <w:tcBorders>
              <w:top w:val="nil"/>
            </w:tcBorders>
          </w:tcPr>
          <w:p>
            <w:pPr>
              <w:rPr>
                <w:sz w:val="2"/>
                <w:szCs w:val="2"/>
              </w:rPr>
            </w:pPr>
          </w:p>
        </w:tc>
        <w:tc>
          <w:tcPr>
            <w:tcW w:w="1215" w:type="dxa"/>
          </w:tcPr>
          <w:p>
            <w:pPr>
              <w:pStyle w:val="TableParagraph"/>
              <w:rPr>
                <w:sz w:val="24"/>
              </w:rPr>
            </w:pPr>
          </w:p>
          <w:p>
            <w:pPr>
              <w:pStyle w:val="TableParagraph"/>
              <w:spacing w:before="11"/>
              <w:rPr>
                <w:sz w:val="18"/>
              </w:rPr>
            </w:pPr>
          </w:p>
          <w:p>
            <w:pPr>
              <w:pStyle w:val="TableParagraph"/>
              <w:spacing w:line="364" w:lineRule="auto"/>
              <w:ind w:left="107" w:right="135"/>
              <w:jc w:val="both"/>
              <w:rPr>
                <w:sz w:val="24"/>
              </w:rPr>
            </w:pPr>
            <w:r>
              <w:rPr>
                <w:rFonts w:ascii="Times New Roman" w:eastAsia="Times New Roman"/>
                <w:sz w:val="24"/>
              </w:rPr>
              <w:t>3.</w:t>
            </w:r>
            <w:r>
              <w:rPr>
                <w:sz w:val="24"/>
              </w:rPr>
              <w:t>随着生活变化和成长</w:t>
            </w:r>
          </w:p>
        </w:tc>
        <w:tc>
          <w:tcPr>
            <w:tcW w:w="5880" w:type="dxa"/>
          </w:tcPr>
          <w:p>
            <w:pPr>
              <w:pStyle w:val="TableParagraph"/>
              <w:numPr>
                <w:ilvl w:val="0"/>
                <w:numId w:val="15"/>
              </w:numPr>
              <w:tabs>
                <w:tab w:pos="709" w:val="left" w:leader="none"/>
              </w:tabs>
              <w:spacing w:line="364" w:lineRule="auto" w:before="81" w:after="0"/>
              <w:ind w:left="107" w:right="120" w:firstLine="0"/>
              <w:jc w:val="left"/>
              <w:rPr>
                <w:sz w:val="24"/>
              </w:rPr>
            </w:pPr>
            <w:r>
              <w:rPr>
                <w:spacing w:val="-1"/>
                <w:sz w:val="24"/>
              </w:rPr>
              <w:t>理解我们的动机和志向将随着生理和心理的变化</w:t>
            </w:r>
            <w:r>
              <w:rPr>
                <w:sz w:val="24"/>
              </w:rPr>
              <w:t>而改变</w:t>
            </w:r>
          </w:p>
          <w:p>
            <w:pPr>
              <w:pStyle w:val="TableParagraph"/>
              <w:numPr>
                <w:ilvl w:val="0"/>
                <w:numId w:val="15"/>
              </w:numPr>
              <w:tabs>
                <w:tab w:pos="709" w:val="left" w:leader="none"/>
              </w:tabs>
              <w:spacing w:line="240" w:lineRule="auto" w:before="1" w:after="0"/>
              <w:ind w:left="708" w:right="0" w:hanging="602"/>
              <w:jc w:val="left"/>
              <w:rPr>
                <w:sz w:val="24"/>
              </w:rPr>
            </w:pPr>
            <w:r>
              <w:rPr>
                <w:sz w:val="24"/>
              </w:rPr>
              <w:t>意识到生理和心理健康会影响我们的决定</w:t>
            </w:r>
          </w:p>
          <w:p>
            <w:pPr>
              <w:pStyle w:val="TableParagraph"/>
              <w:numPr>
                <w:ilvl w:val="0"/>
                <w:numId w:val="15"/>
              </w:numPr>
              <w:tabs>
                <w:tab w:pos="709" w:val="left" w:leader="none"/>
              </w:tabs>
              <w:spacing w:line="240" w:lineRule="auto" w:before="161" w:after="0"/>
              <w:ind w:left="708" w:right="0" w:hanging="602"/>
              <w:jc w:val="left"/>
              <w:rPr>
                <w:sz w:val="24"/>
              </w:rPr>
            </w:pPr>
            <w:r>
              <w:rPr>
                <w:sz w:val="24"/>
              </w:rPr>
              <w:t>知道如何适应我们生活中各个领域的变化</w:t>
            </w:r>
          </w:p>
          <w:p>
            <w:pPr>
              <w:pStyle w:val="TableParagraph"/>
              <w:numPr>
                <w:ilvl w:val="0"/>
                <w:numId w:val="15"/>
              </w:numPr>
              <w:tabs>
                <w:tab w:pos="709" w:val="left" w:leader="none"/>
              </w:tabs>
              <w:spacing w:line="240" w:lineRule="auto" w:before="160" w:after="0"/>
              <w:ind w:left="708" w:right="0" w:hanging="602"/>
              <w:jc w:val="left"/>
              <w:rPr>
                <w:sz w:val="24"/>
              </w:rPr>
            </w:pPr>
            <w:r>
              <w:rPr>
                <w:sz w:val="24"/>
              </w:rPr>
              <w:t>知道可以寻求帮助的适当时机以及如何寻求帮助</w:t>
            </w:r>
          </w:p>
        </w:tc>
      </w:tr>
      <w:tr>
        <w:trPr>
          <w:trHeight w:val="2807" w:hRule="atLeast"/>
        </w:trPr>
        <w:tc>
          <w:tcPr>
            <w:tcW w:w="1153" w:type="dxa"/>
            <w:vMerge w:val="restart"/>
          </w:tcPr>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spacing w:before="5"/>
              <w:rPr>
                <w:sz w:val="33"/>
              </w:rPr>
            </w:pPr>
          </w:p>
          <w:p>
            <w:pPr>
              <w:pStyle w:val="TableParagraph"/>
              <w:spacing w:line="364" w:lineRule="auto" w:before="1"/>
              <w:ind w:left="106" w:right="47"/>
              <w:rPr>
                <w:sz w:val="24"/>
              </w:rPr>
            </w:pPr>
            <w:r>
              <w:rPr>
                <w:sz w:val="24"/>
              </w:rPr>
              <w:t>二、机会探索</w:t>
            </w:r>
          </w:p>
        </w:tc>
        <w:tc>
          <w:tcPr>
            <w:tcW w:w="1215" w:type="dxa"/>
          </w:tcPr>
          <w:p>
            <w:pPr>
              <w:pStyle w:val="TableParagraph"/>
              <w:spacing w:before="11"/>
              <w:rPr>
                <w:sz w:val="30"/>
              </w:rPr>
            </w:pPr>
          </w:p>
          <w:p>
            <w:pPr>
              <w:pStyle w:val="TableParagraph"/>
              <w:spacing w:line="460" w:lineRule="atLeast" w:before="1"/>
              <w:ind w:left="107" w:right="135"/>
              <w:jc w:val="both"/>
              <w:rPr>
                <w:sz w:val="24"/>
              </w:rPr>
            </w:pPr>
            <w:r>
              <w:rPr>
                <w:rFonts w:ascii="Times New Roman" w:eastAsia="Times New Roman"/>
                <w:sz w:val="24"/>
              </w:rPr>
              <w:t>1.</w:t>
            </w:r>
            <w:r>
              <w:rPr>
                <w:sz w:val="24"/>
              </w:rPr>
              <w:t>参与终身学习以支持生活和工作目标</w:t>
            </w:r>
          </w:p>
        </w:tc>
        <w:tc>
          <w:tcPr>
            <w:tcW w:w="5880" w:type="dxa"/>
          </w:tcPr>
          <w:p>
            <w:pPr>
              <w:pStyle w:val="TableParagraph"/>
              <w:numPr>
                <w:ilvl w:val="0"/>
                <w:numId w:val="16"/>
              </w:numPr>
              <w:tabs>
                <w:tab w:pos="709" w:val="left" w:leader="none"/>
              </w:tabs>
              <w:spacing w:line="240" w:lineRule="auto" w:before="81" w:after="0"/>
              <w:ind w:left="708" w:right="0" w:hanging="602"/>
              <w:jc w:val="left"/>
              <w:rPr>
                <w:sz w:val="24"/>
              </w:rPr>
            </w:pPr>
            <w:r>
              <w:rPr>
                <w:sz w:val="24"/>
              </w:rPr>
              <w:t>理解生涯和生活中学习的角色</w:t>
            </w:r>
          </w:p>
          <w:p>
            <w:pPr>
              <w:pStyle w:val="TableParagraph"/>
              <w:numPr>
                <w:ilvl w:val="0"/>
                <w:numId w:val="16"/>
              </w:numPr>
              <w:tabs>
                <w:tab w:pos="709" w:val="left" w:leader="none"/>
              </w:tabs>
              <w:spacing w:line="364" w:lineRule="auto" w:before="160" w:after="0"/>
              <w:ind w:left="107" w:right="120" w:firstLine="0"/>
              <w:jc w:val="left"/>
              <w:rPr>
                <w:sz w:val="24"/>
              </w:rPr>
            </w:pPr>
            <w:r>
              <w:rPr>
                <w:spacing w:val="-1"/>
                <w:sz w:val="24"/>
              </w:rPr>
              <w:t>理解我们的兴趣、知识、技能、态度和价值观是</w:t>
            </w:r>
            <w:r>
              <w:rPr>
                <w:sz w:val="24"/>
              </w:rPr>
              <w:t>如何随着多样的工作角色而发生变化的</w:t>
            </w:r>
          </w:p>
          <w:p>
            <w:pPr>
              <w:pStyle w:val="TableParagraph"/>
              <w:numPr>
                <w:ilvl w:val="0"/>
                <w:numId w:val="16"/>
              </w:numPr>
              <w:tabs>
                <w:tab w:pos="709" w:val="left" w:leader="none"/>
              </w:tabs>
              <w:spacing w:line="240" w:lineRule="auto" w:before="1" w:after="0"/>
              <w:ind w:left="708" w:right="0" w:hanging="602"/>
              <w:jc w:val="left"/>
              <w:rPr>
                <w:sz w:val="24"/>
              </w:rPr>
            </w:pPr>
            <w:r>
              <w:rPr>
                <w:sz w:val="24"/>
              </w:rPr>
              <w:t>理解各种教育、训练和工作的现实和需求</w:t>
            </w:r>
          </w:p>
          <w:p>
            <w:pPr>
              <w:pStyle w:val="TableParagraph"/>
              <w:numPr>
                <w:ilvl w:val="0"/>
                <w:numId w:val="16"/>
              </w:numPr>
              <w:tabs>
                <w:tab w:pos="709" w:val="left" w:leader="none"/>
              </w:tabs>
              <w:spacing w:line="460" w:lineRule="atLeast" w:before="8" w:after="0"/>
              <w:ind w:left="107" w:right="120" w:firstLine="0"/>
              <w:jc w:val="left"/>
              <w:rPr>
                <w:sz w:val="24"/>
              </w:rPr>
            </w:pPr>
            <w:r>
              <w:rPr>
                <w:spacing w:val="-1"/>
                <w:sz w:val="24"/>
              </w:rPr>
              <w:t>了解学习机会，以及学习机会是如何随着时间发</w:t>
            </w:r>
            <w:r>
              <w:rPr>
                <w:sz w:val="24"/>
              </w:rPr>
              <w:t>生改变的</w:t>
            </w:r>
          </w:p>
        </w:tc>
      </w:tr>
      <w:tr>
        <w:trPr>
          <w:trHeight w:val="1872" w:hRule="atLeast"/>
        </w:trPr>
        <w:tc>
          <w:tcPr>
            <w:tcW w:w="1153" w:type="dxa"/>
            <w:vMerge/>
            <w:tcBorders>
              <w:top w:val="nil"/>
            </w:tcBorders>
          </w:tcPr>
          <w:p>
            <w:pPr>
              <w:rPr>
                <w:sz w:val="2"/>
                <w:szCs w:val="2"/>
              </w:rPr>
            </w:pPr>
          </w:p>
        </w:tc>
        <w:tc>
          <w:tcPr>
            <w:tcW w:w="1215" w:type="dxa"/>
          </w:tcPr>
          <w:p>
            <w:pPr>
              <w:pStyle w:val="TableParagraph"/>
              <w:spacing w:before="11"/>
              <w:rPr>
                <w:sz w:val="30"/>
              </w:rPr>
            </w:pPr>
          </w:p>
          <w:p>
            <w:pPr>
              <w:pStyle w:val="TableParagraph"/>
              <w:spacing w:line="460" w:lineRule="atLeast"/>
              <w:ind w:left="107" w:right="135"/>
              <w:jc w:val="both"/>
              <w:rPr>
                <w:sz w:val="24"/>
              </w:rPr>
            </w:pPr>
            <w:r>
              <w:rPr>
                <w:rFonts w:ascii="Times New Roman" w:eastAsia="Times New Roman"/>
                <w:sz w:val="24"/>
              </w:rPr>
              <w:t>2.</w:t>
            </w:r>
            <w:r>
              <w:rPr>
                <w:sz w:val="24"/>
              </w:rPr>
              <w:t>有效定位和使用信息</w:t>
            </w:r>
          </w:p>
        </w:tc>
        <w:tc>
          <w:tcPr>
            <w:tcW w:w="5880" w:type="dxa"/>
          </w:tcPr>
          <w:p>
            <w:pPr>
              <w:pStyle w:val="TableParagraph"/>
              <w:numPr>
                <w:ilvl w:val="0"/>
                <w:numId w:val="17"/>
              </w:numPr>
              <w:tabs>
                <w:tab w:pos="709" w:val="left" w:leader="none"/>
              </w:tabs>
              <w:spacing w:line="240" w:lineRule="auto" w:before="80" w:after="0"/>
              <w:ind w:left="708" w:right="0" w:hanging="602"/>
              <w:jc w:val="left"/>
              <w:rPr>
                <w:sz w:val="24"/>
              </w:rPr>
            </w:pPr>
            <w:r>
              <w:rPr>
                <w:sz w:val="24"/>
              </w:rPr>
              <w:t>了解获得和使用有效的生涯信息的途径与方法</w:t>
            </w:r>
          </w:p>
          <w:p>
            <w:pPr>
              <w:pStyle w:val="TableParagraph"/>
              <w:numPr>
                <w:ilvl w:val="0"/>
                <w:numId w:val="17"/>
              </w:numPr>
              <w:tabs>
                <w:tab w:pos="709" w:val="left" w:leader="none"/>
              </w:tabs>
              <w:spacing w:line="364" w:lineRule="auto" w:before="161" w:after="0"/>
              <w:ind w:left="107" w:right="120" w:firstLine="0"/>
              <w:jc w:val="left"/>
              <w:rPr>
                <w:sz w:val="24"/>
              </w:rPr>
            </w:pPr>
            <w:r>
              <w:rPr>
                <w:spacing w:val="-1"/>
                <w:sz w:val="24"/>
              </w:rPr>
              <w:t>了解如何使用学校和社区的资源来学习工作中的</w:t>
            </w:r>
            <w:r>
              <w:rPr>
                <w:sz w:val="24"/>
              </w:rPr>
              <w:t>角色</w:t>
            </w:r>
          </w:p>
          <w:p>
            <w:pPr>
              <w:pStyle w:val="TableParagraph"/>
              <w:numPr>
                <w:ilvl w:val="0"/>
                <w:numId w:val="17"/>
              </w:numPr>
              <w:tabs>
                <w:tab w:pos="709" w:val="left" w:leader="none"/>
              </w:tabs>
              <w:spacing w:line="240" w:lineRule="auto" w:before="1" w:after="0"/>
              <w:ind w:left="708" w:right="0" w:hanging="602"/>
              <w:jc w:val="left"/>
              <w:rPr>
                <w:sz w:val="24"/>
              </w:rPr>
            </w:pPr>
            <w:r>
              <w:rPr>
                <w:sz w:val="24"/>
              </w:rPr>
              <w:t>了解如何解释和使用劳工市场的信息</w:t>
            </w:r>
          </w:p>
        </w:tc>
      </w:tr>
    </w:tbl>
    <w:p>
      <w:pPr>
        <w:spacing w:after="0" w:line="240" w:lineRule="auto"/>
        <w:jc w:val="left"/>
        <w:rPr>
          <w:sz w:val="24"/>
        </w:rPr>
        <w:sectPr>
          <w:pgSz w:w="11910" w:h="16840"/>
          <w:pgMar w:header="878" w:footer="1160" w:top="1300" w:bottom="1380" w:left="480" w:right="220"/>
        </w:sectPr>
      </w:pPr>
    </w:p>
    <w:p>
      <w:pPr>
        <w:pStyle w:val="BodyText"/>
        <w:spacing w:before="133"/>
        <w:ind w:right="261"/>
        <w:jc w:val="center"/>
      </w:pPr>
      <w:r>
        <w:rPr/>
        <w:t>表 </w:t>
      </w:r>
      <w:r>
        <w:rPr>
          <w:rFonts w:ascii="Times New Roman" w:eastAsia="Times New Roman"/>
        </w:rPr>
        <w:t>2.3  </w:t>
      </w:r>
      <w:r>
        <w:rPr/>
        <w:t>（续）</w:t>
      </w:r>
    </w:p>
    <w:p>
      <w:pPr>
        <w:pStyle w:val="BodyText"/>
        <w:spacing w:before="3" w:after="1"/>
        <w:rPr>
          <w:sz w:val="12"/>
        </w:rPr>
      </w:pPr>
    </w:p>
    <w:tbl>
      <w:tblPr>
        <w:tblW w:w="0" w:type="auto"/>
        <w:jc w:val="left"/>
        <w:tblInd w:w="1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153"/>
        <w:gridCol w:w="1215"/>
        <w:gridCol w:w="5880"/>
      </w:tblGrid>
      <w:tr>
        <w:trPr>
          <w:trHeight w:val="3275" w:hRule="atLeast"/>
        </w:trPr>
        <w:tc>
          <w:tcPr>
            <w:tcW w:w="1153" w:type="dxa"/>
          </w:tcPr>
          <w:p>
            <w:pPr>
              <w:pStyle w:val="TableParagraph"/>
              <w:rPr>
                <w:rFonts w:ascii="Times New Roman"/>
                <w:sz w:val="22"/>
              </w:rPr>
            </w:pPr>
          </w:p>
        </w:tc>
        <w:tc>
          <w:tcPr>
            <w:tcW w:w="1215" w:type="dxa"/>
          </w:tcPr>
          <w:p>
            <w:pPr>
              <w:pStyle w:val="TableParagraph"/>
              <w:rPr>
                <w:sz w:val="24"/>
              </w:rPr>
            </w:pPr>
          </w:p>
          <w:p>
            <w:pPr>
              <w:pStyle w:val="TableParagraph"/>
              <w:spacing w:before="9"/>
              <w:rPr>
                <w:sz w:val="18"/>
              </w:rPr>
            </w:pPr>
          </w:p>
          <w:p>
            <w:pPr>
              <w:pStyle w:val="TableParagraph"/>
              <w:spacing w:line="364" w:lineRule="auto" w:before="1"/>
              <w:ind w:left="107" w:right="135"/>
              <w:jc w:val="both"/>
              <w:rPr>
                <w:sz w:val="24"/>
              </w:rPr>
            </w:pPr>
            <w:r>
              <w:rPr>
                <w:rFonts w:ascii="Times New Roman" w:eastAsia="Times New Roman"/>
                <w:sz w:val="24"/>
              </w:rPr>
              <w:t>3.</w:t>
            </w:r>
            <w:r>
              <w:rPr>
                <w:sz w:val="24"/>
              </w:rPr>
              <w:t>理解工作、社会和经济之间的关系</w:t>
            </w:r>
          </w:p>
        </w:tc>
        <w:tc>
          <w:tcPr>
            <w:tcW w:w="5880" w:type="dxa"/>
          </w:tcPr>
          <w:p>
            <w:pPr>
              <w:pStyle w:val="TableParagraph"/>
              <w:numPr>
                <w:ilvl w:val="0"/>
                <w:numId w:val="18"/>
              </w:numPr>
              <w:tabs>
                <w:tab w:pos="709" w:val="left" w:leader="none"/>
              </w:tabs>
              <w:spacing w:line="240" w:lineRule="auto" w:before="80" w:after="0"/>
              <w:ind w:left="708" w:right="0" w:hanging="602"/>
              <w:jc w:val="left"/>
              <w:rPr>
                <w:sz w:val="24"/>
              </w:rPr>
            </w:pPr>
            <w:r>
              <w:rPr>
                <w:sz w:val="24"/>
              </w:rPr>
              <w:t>理解工作是如何对社区和社会做贡献的</w:t>
            </w:r>
          </w:p>
          <w:p>
            <w:pPr>
              <w:pStyle w:val="TableParagraph"/>
              <w:numPr>
                <w:ilvl w:val="0"/>
                <w:numId w:val="18"/>
              </w:numPr>
              <w:tabs>
                <w:tab w:pos="709" w:val="left" w:leader="none"/>
              </w:tabs>
              <w:spacing w:line="240" w:lineRule="auto" w:before="160" w:after="0"/>
              <w:ind w:left="708" w:right="0" w:hanging="602"/>
              <w:jc w:val="left"/>
              <w:rPr>
                <w:sz w:val="24"/>
              </w:rPr>
            </w:pPr>
            <w:r>
              <w:rPr>
                <w:sz w:val="24"/>
              </w:rPr>
              <w:t>理解工作对个人生活方式的影响</w:t>
            </w:r>
          </w:p>
          <w:p>
            <w:pPr>
              <w:pStyle w:val="TableParagraph"/>
              <w:numPr>
                <w:ilvl w:val="0"/>
                <w:numId w:val="18"/>
              </w:numPr>
              <w:tabs>
                <w:tab w:pos="709" w:val="left" w:leader="none"/>
              </w:tabs>
              <w:spacing w:line="240" w:lineRule="auto" w:before="161" w:after="0"/>
              <w:ind w:left="708" w:right="0" w:hanging="602"/>
              <w:jc w:val="left"/>
              <w:rPr>
                <w:sz w:val="24"/>
              </w:rPr>
            </w:pPr>
            <w:r>
              <w:rPr>
                <w:sz w:val="24"/>
              </w:rPr>
              <w:t>为自己决定工作的价值和重要性</w:t>
            </w:r>
          </w:p>
          <w:p>
            <w:pPr>
              <w:pStyle w:val="TableParagraph"/>
              <w:numPr>
                <w:ilvl w:val="0"/>
                <w:numId w:val="18"/>
              </w:numPr>
              <w:tabs>
                <w:tab w:pos="709" w:val="left" w:leader="none"/>
              </w:tabs>
              <w:spacing w:line="364" w:lineRule="auto" w:before="160" w:after="0"/>
              <w:ind w:left="107" w:right="120" w:firstLine="0"/>
              <w:jc w:val="left"/>
              <w:rPr>
                <w:sz w:val="24"/>
              </w:rPr>
            </w:pPr>
            <w:r>
              <w:rPr>
                <w:spacing w:val="-1"/>
                <w:sz w:val="24"/>
              </w:rPr>
              <w:t>理解社会需要和社会功能是如何影响商品和服务</w:t>
            </w:r>
            <w:r>
              <w:rPr>
                <w:sz w:val="24"/>
              </w:rPr>
              <w:t>的供应</w:t>
            </w:r>
          </w:p>
          <w:p>
            <w:pPr>
              <w:pStyle w:val="TableParagraph"/>
              <w:numPr>
                <w:ilvl w:val="0"/>
                <w:numId w:val="18"/>
              </w:numPr>
              <w:tabs>
                <w:tab w:pos="709" w:val="left" w:leader="none"/>
              </w:tabs>
              <w:spacing w:line="240" w:lineRule="auto" w:before="1" w:after="0"/>
              <w:ind w:left="708" w:right="0" w:hanging="602"/>
              <w:jc w:val="left"/>
              <w:rPr>
                <w:sz w:val="24"/>
              </w:rPr>
            </w:pPr>
            <w:r>
              <w:rPr>
                <w:sz w:val="24"/>
              </w:rPr>
              <w:t>理解经济全球化的概念，及其对个人和社会的影</w:t>
            </w:r>
          </w:p>
          <w:p>
            <w:pPr>
              <w:pStyle w:val="TableParagraph"/>
              <w:spacing w:before="161"/>
              <w:ind w:left="107"/>
              <w:rPr>
                <w:sz w:val="24"/>
              </w:rPr>
            </w:pPr>
            <w:r>
              <w:rPr>
                <w:sz w:val="24"/>
              </w:rPr>
              <w:t>响</w:t>
            </w:r>
          </w:p>
        </w:tc>
      </w:tr>
      <w:tr>
        <w:trPr>
          <w:trHeight w:val="3276" w:hRule="atLeast"/>
        </w:trPr>
        <w:tc>
          <w:tcPr>
            <w:tcW w:w="1153" w:type="dxa"/>
            <w:vMerge w:val="restart"/>
          </w:tcPr>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rPr>
                <w:sz w:val="24"/>
              </w:rPr>
            </w:pPr>
          </w:p>
          <w:p>
            <w:pPr>
              <w:pStyle w:val="TableParagraph"/>
              <w:spacing w:before="7"/>
              <w:rPr>
                <w:sz w:val="34"/>
              </w:rPr>
            </w:pPr>
          </w:p>
          <w:p>
            <w:pPr>
              <w:pStyle w:val="TableParagraph"/>
              <w:spacing w:line="364" w:lineRule="auto" w:before="1"/>
              <w:ind w:left="106" w:right="47"/>
              <w:rPr>
                <w:sz w:val="24"/>
              </w:rPr>
            </w:pPr>
            <w:r>
              <w:rPr>
                <w:sz w:val="24"/>
              </w:rPr>
              <w:t>三、决策与行动</w:t>
            </w:r>
          </w:p>
        </w:tc>
        <w:tc>
          <w:tcPr>
            <w:tcW w:w="1215" w:type="dxa"/>
          </w:tcPr>
          <w:p>
            <w:pPr>
              <w:pStyle w:val="TableParagraph"/>
              <w:rPr>
                <w:sz w:val="24"/>
              </w:rPr>
            </w:pPr>
          </w:p>
          <w:p>
            <w:pPr>
              <w:pStyle w:val="TableParagraph"/>
              <w:spacing w:before="11"/>
              <w:rPr>
                <w:sz w:val="18"/>
              </w:rPr>
            </w:pPr>
          </w:p>
          <w:p>
            <w:pPr>
              <w:pStyle w:val="TableParagraph"/>
              <w:spacing w:line="364" w:lineRule="auto" w:before="1"/>
              <w:ind w:left="107" w:right="135"/>
              <w:jc w:val="both"/>
              <w:rPr>
                <w:sz w:val="24"/>
              </w:rPr>
            </w:pPr>
            <w:r>
              <w:rPr>
                <w:rFonts w:ascii="Times New Roman" w:eastAsia="Times New Roman"/>
                <w:sz w:val="24"/>
              </w:rPr>
              <w:t>1.</w:t>
            </w:r>
            <w:r>
              <w:rPr>
                <w:sz w:val="24"/>
              </w:rPr>
              <w:t>作出利于生活和生涯的决定</w:t>
            </w:r>
          </w:p>
        </w:tc>
        <w:tc>
          <w:tcPr>
            <w:tcW w:w="5880" w:type="dxa"/>
          </w:tcPr>
          <w:p>
            <w:pPr>
              <w:pStyle w:val="TableParagraph"/>
              <w:numPr>
                <w:ilvl w:val="0"/>
                <w:numId w:val="19"/>
              </w:numPr>
              <w:tabs>
                <w:tab w:pos="709" w:val="left" w:leader="none"/>
              </w:tabs>
              <w:spacing w:line="240" w:lineRule="auto" w:before="82" w:after="0"/>
              <w:ind w:left="708" w:right="0" w:hanging="602"/>
              <w:jc w:val="left"/>
              <w:rPr>
                <w:sz w:val="24"/>
              </w:rPr>
            </w:pPr>
            <w:r>
              <w:rPr>
                <w:sz w:val="24"/>
              </w:rPr>
              <w:t>理解生涯道路反映了一系列选择</w:t>
            </w:r>
          </w:p>
          <w:p>
            <w:pPr>
              <w:pStyle w:val="TableParagraph"/>
              <w:numPr>
                <w:ilvl w:val="0"/>
                <w:numId w:val="19"/>
              </w:numPr>
              <w:tabs>
                <w:tab w:pos="709" w:val="left" w:leader="none"/>
              </w:tabs>
              <w:spacing w:line="240" w:lineRule="auto" w:before="160" w:after="0"/>
              <w:ind w:left="708" w:right="0" w:hanging="602"/>
              <w:jc w:val="left"/>
              <w:rPr>
                <w:sz w:val="24"/>
              </w:rPr>
            </w:pPr>
            <w:r>
              <w:rPr>
                <w:sz w:val="24"/>
              </w:rPr>
              <w:t>能够在制定决策情境中研究可选项</w:t>
            </w:r>
          </w:p>
          <w:p>
            <w:pPr>
              <w:pStyle w:val="TableParagraph"/>
              <w:numPr>
                <w:ilvl w:val="0"/>
                <w:numId w:val="19"/>
              </w:numPr>
              <w:tabs>
                <w:tab w:pos="711" w:val="left" w:leader="none"/>
              </w:tabs>
              <w:spacing w:line="364" w:lineRule="auto" w:before="161" w:after="0"/>
              <w:ind w:left="107" w:right="96" w:firstLine="0"/>
              <w:jc w:val="left"/>
              <w:rPr>
                <w:sz w:val="24"/>
              </w:rPr>
            </w:pPr>
            <w:r>
              <w:rPr>
                <w:spacing w:val="-1"/>
                <w:sz w:val="24"/>
              </w:rPr>
              <w:t>证明获得生活、学习和工作机会所需要的技能、</w:t>
            </w:r>
            <w:r>
              <w:rPr>
                <w:sz w:val="24"/>
              </w:rPr>
              <w:t>知识和态度</w:t>
            </w:r>
          </w:p>
          <w:p>
            <w:pPr>
              <w:pStyle w:val="TableParagraph"/>
              <w:numPr>
                <w:ilvl w:val="0"/>
                <w:numId w:val="19"/>
              </w:numPr>
              <w:tabs>
                <w:tab w:pos="711" w:val="left" w:leader="none"/>
              </w:tabs>
              <w:spacing w:line="364" w:lineRule="auto" w:before="1" w:after="0"/>
              <w:ind w:left="107" w:right="96" w:firstLine="0"/>
              <w:jc w:val="left"/>
              <w:rPr>
                <w:sz w:val="24"/>
              </w:rPr>
            </w:pPr>
            <w:r>
              <w:rPr>
                <w:spacing w:val="-1"/>
                <w:sz w:val="24"/>
              </w:rPr>
              <w:t>意识到实现目标过程中的阻碍，并制定策略去克</w:t>
            </w:r>
            <w:r>
              <w:rPr>
                <w:sz w:val="24"/>
              </w:rPr>
              <w:t>服阻碍</w:t>
            </w:r>
          </w:p>
          <w:p>
            <w:pPr>
              <w:pStyle w:val="TableParagraph"/>
              <w:numPr>
                <w:ilvl w:val="0"/>
                <w:numId w:val="19"/>
              </w:numPr>
              <w:tabs>
                <w:tab w:pos="709" w:val="left" w:leader="none"/>
              </w:tabs>
              <w:spacing w:line="240" w:lineRule="auto" w:before="1" w:after="0"/>
              <w:ind w:left="708" w:right="0" w:hanging="602"/>
              <w:jc w:val="left"/>
              <w:rPr>
                <w:sz w:val="24"/>
              </w:rPr>
            </w:pPr>
            <w:r>
              <w:rPr>
                <w:sz w:val="24"/>
              </w:rPr>
              <w:t>能够评价我们的决定对自身及其他人的影响</w:t>
            </w:r>
          </w:p>
        </w:tc>
      </w:tr>
      <w:tr>
        <w:trPr>
          <w:trHeight w:val="1872" w:hRule="atLeast"/>
        </w:trPr>
        <w:tc>
          <w:tcPr>
            <w:tcW w:w="1153" w:type="dxa"/>
            <w:vMerge/>
            <w:tcBorders>
              <w:top w:val="nil"/>
            </w:tcBorders>
          </w:tcPr>
          <w:p>
            <w:pPr>
              <w:rPr>
                <w:sz w:val="2"/>
                <w:szCs w:val="2"/>
              </w:rPr>
            </w:pPr>
          </w:p>
        </w:tc>
        <w:tc>
          <w:tcPr>
            <w:tcW w:w="1215" w:type="dxa"/>
          </w:tcPr>
          <w:p>
            <w:pPr>
              <w:pStyle w:val="TableParagraph"/>
              <w:spacing w:line="364" w:lineRule="auto" w:before="81"/>
              <w:ind w:left="107" w:right="135"/>
              <w:jc w:val="both"/>
              <w:rPr>
                <w:sz w:val="24"/>
              </w:rPr>
            </w:pPr>
            <w:r>
              <w:rPr>
                <w:rFonts w:ascii="Times New Roman" w:eastAsia="Times New Roman"/>
                <w:sz w:val="24"/>
              </w:rPr>
              <w:t>2.</w:t>
            </w:r>
            <w:r>
              <w:rPr>
                <w:sz w:val="24"/>
              </w:rPr>
              <w:t>制定并回顾学习和生涯计</w:t>
            </w:r>
          </w:p>
          <w:p>
            <w:pPr>
              <w:pStyle w:val="TableParagraph"/>
              <w:spacing w:before="2"/>
              <w:ind w:left="107"/>
              <w:rPr>
                <w:sz w:val="24"/>
              </w:rPr>
            </w:pPr>
            <w:r>
              <w:rPr>
                <w:sz w:val="24"/>
              </w:rPr>
              <w:t>划</w:t>
            </w:r>
          </w:p>
        </w:tc>
        <w:tc>
          <w:tcPr>
            <w:tcW w:w="5880" w:type="dxa"/>
          </w:tcPr>
          <w:p>
            <w:pPr>
              <w:pStyle w:val="TableParagraph"/>
              <w:numPr>
                <w:ilvl w:val="0"/>
                <w:numId w:val="20"/>
              </w:numPr>
              <w:tabs>
                <w:tab w:pos="709" w:val="left" w:leader="none"/>
              </w:tabs>
              <w:spacing w:line="240" w:lineRule="auto" w:before="81" w:after="0"/>
              <w:ind w:left="708" w:right="0" w:hanging="602"/>
              <w:jc w:val="left"/>
              <w:rPr>
                <w:sz w:val="24"/>
              </w:rPr>
            </w:pPr>
            <w:r>
              <w:rPr>
                <w:sz w:val="24"/>
              </w:rPr>
              <w:t>理解设置目标的重要性</w:t>
            </w:r>
          </w:p>
          <w:p>
            <w:pPr>
              <w:pStyle w:val="TableParagraph"/>
              <w:numPr>
                <w:ilvl w:val="0"/>
                <w:numId w:val="20"/>
              </w:numPr>
              <w:tabs>
                <w:tab w:pos="709" w:val="left" w:leader="none"/>
              </w:tabs>
              <w:spacing w:line="240" w:lineRule="auto" w:before="161" w:after="0"/>
              <w:ind w:left="708" w:right="0" w:hanging="602"/>
              <w:jc w:val="left"/>
              <w:rPr>
                <w:sz w:val="24"/>
              </w:rPr>
            </w:pPr>
            <w:r>
              <w:rPr>
                <w:sz w:val="24"/>
              </w:rPr>
              <w:t>能够制定宏大但现实的生涯目标</w:t>
            </w:r>
          </w:p>
          <w:p>
            <w:pPr>
              <w:pStyle w:val="TableParagraph"/>
              <w:numPr>
                <w:ilvl w:val="0"/>
                <w:numId w:val="20"/>
              </w:numPr>
              <w:tabs>
                <w:tab w:pos="709" w:val="left" w:leader="none"/>
              </w:tabs>
              <w:spacing w:line="240" w:lineRule="auto" w:before="160" w:after="0"/>
              <w:ind w:left="708" w:right="0" w:hanging="602"/>
              <w:jc w:val="left"/>
              <w:rPr>
                <w:sz w:val="24"/>
              </w:rPr>
            </w:pPr>
            <w:r>
              <w:rPr>
                <w:sz w:val="24"/>
              </w:rPr>
              <w:t>能够发展和执行短期计划</w:t>
            </w:r>
          </w:p>
          <w:p>
            <w:pPr>
              <w:pStyle w:val="TableParagraph"/>
              <w:numPr>
                <w:ilvl w:val="0"/>
                <w:numId w:val="20"/>
              </w:numPr>
              <w:tabs>
                <w:tab w:pos="709" w:val="left" w:leader="none"/>
              </w:tabs>
              <w:spacing w:line="240" w:lineRule="auto" w:before="161" w:after="0"/>
              <w:ind w:left="708" w:right="0" w:hanging="602"/>
              <w:jc w:val="left"/>
              <w:rPr>
                <w:sz w:val="24"/>
              </w:rPr>
            </w:pPr>
            <w:r>
              <w:rPr>
                <w:sz w:val="24"/>
              </w:rPr>
              <w:t>能够定期回顾生涯计划</w:t>
            </w:r>
          </w:p>
        </w:tc>
      </w:tr>
      <w:tr>
        <w:trPr>
          <w:trHeight w:val="2807" w:hRule="atLeast"/>
        </w:trPr>
        <w:tc>
          <w:tcPr>
            <w:tcW w:w="1153" w:type="dxa"/>
            <w:vMerge/>
            <w:tcBorders>
              <w:top w:val="nil"/>
            </w:tcBorders>
          </w:tcPr>
          <w:p>
            <w:pPr>
              <w:rPr>
                <w:sz w:val="2"/>
                <w:szCs w:val="2"/>
              </w:rPr>
            </w:pPr>
          </w:p>
        </w:tc>
        <w:tc>
          <w:tcPr>
            <w:tcW w:w="1215" w:type="dxa"/>
          </w:tcPr>
          <w:p>
            <w:pPr>
              <w:pStyle w:val="TableParagraph"/>
              <w:rPr>
                <w:sz w:val="24"/>
              </w:rPr>
            </w:pPr>
          </w:p>
          <w:p>
            <w:pPr>
              <w:pStyle w:val="TableParagraph"/>
              <w:spacing w:before="11"/>
              <w:rPr>
                <w:sz w:val="18"/>
              </w:rPr>
            </w:pPr>
          </w:p>
          <w:p>
            <w:pPr>
              <w:pStyle w:val="TableParagraph"/>
              <w:spacing w:line="364" w:lineRule="auto"/>
              <w:ind w:left="107" w:right="135"/>
              <w:jc w:val="both"/>
              <w:rPr>
                <w:sz w:val="24"/>
              </w:rPr>
            </w:pPr>
            <w:r>
              <w:rPr>
                <w:rFonts w:ascii="Times New Roman" w:eastAsia="Times New Roman"/>
                <w:sz w:val="24"/>
              </w:rPr>
              <w:t>3.</w:t>
            </w:r>
            <w:r>
              <w:rPr>
                <w:sz w:val="24"/>
              </w:rPr>
              <w:t>适当行动以规划自己的生涯</w:t>
            </w:r>
          </w:p>
        </w:tc>
        <w:tc>
          <w:tcPr>
            <w:tcW w:w="5880" w:type="dxa"/>
          </w:tcPr>
          <w:p>
            <w:pPr>
              <w:pStyle w:val="TableParagraph"/>
              <w:numPr>
                <w:ilvl w:val="0"/>
                <w:numId w:val="21"/>
              </w:numPr>
              <w:tabs>
                <w:tab w:pos="709" w:val="left" w:leader="none"/>
              </w:tabs>
              <w:spacing w:line="240" w:lineRule="auto" w:before="81" w:after="0"/>
              <w:ind w:left="708" w:right="0" w:hanging="602"/>
              <w:jc w:val="left"/>
              <w:rPr>
                <w:sz w:val="24"/>
              </w:rPr>
            </w:pPr>
            <w:r>
              <w:rPr>
                <w:sz w:val="24"/>
              </w:rPr>
              <w:t>理解积极的态度对我们的生涯建树过程的重要性</w:t>
            </w:r>
          </w:p>
          <w:p>
            <w:pPr>
              <w:pStyle w:val="TableParagraph"/>
              <w:numPr>
                <w:ilvl w:val="0"/>
                <w:numId w:val="21"/>
              </w:numPr>
              <w:tabs>
                <w:tab w:pos="709" w:val="left" w:leader="none"/>
              </w:tabs>
              <w:spacing w:line="240" w:lineRule="auto" w:before="160" w:after="0"/>
              <w:ind w:left="708" w:right="0" w:hanging="602"/>
              <w:jc w:val="left"/>
              <w:rPr>
                <w:sz w:val="24"/>
              </w:rPr>
            </w:pPr>
            <w:r>
              <w:rPr>
                <w:sz w:val="24"/>
              </w:rPr>
              <w:t>了解在过渡阶段如何使用模仿性策略</w:t>
            </w:r>
          </w:p>
          <w:p>
            <w:pPr>
              <w:pStyle w:val="TableParagraph"/>
              <w:numPr>
                <w:ilvl w:val="0"/>
                <w:numId w:val="21"/>
              </w:numPr>
              <w:tabs>
                <w:tab w:pos="709" w:val="left" w:leader="none"/>
              </w:tabs>
              <w:spacing w:line="240" w:lineRule="auto" w:before="161" w:after="0"/>
              <w:ind w:left="708" w:right="0" w:hanging="602"/>
              <w:jc w:val="left"/>
              <w:rPr>
                <w:sz w:val="24"/>
              </w:rPr>
            </w:pPr>
            <w:r>
              <w:rPr>
                <w:sz w:val="24"/>
              </w:rPr>
              <w:t>在选择学习或工作环境中申请或确保职位</w:t>
            </w:r>
          </w:p>
          <w:p>
            <w:pPr>
              <w:pStyle w:val="TableParagraph"/>
              <w:numPr>
                <w:ilvl w:val="0"/>
                <w:numId w:val="21"/>
              </w:numPr>
              <w:tabs>
                <w:tab w:pos="711" w:val="left" w:leader="none"/>
              </w:tabs>
              <w:spacing w:line="364" w:lineRule="auto" w:before="160" w:after="0"/>
              <w:ind w:left="107" w:right="96" w:firstLine="0"/>
              <w:jc w:val="left"/>
              <w:rPr>
                <w:sz w:val="24"/>
              </w:rPr>
            </w:pPr>
            <w:r>
              <w:rPr>
                <w:spacing w:val="-1"/>
                <w:sz w:val="24"/>
              </w:rPr>
              <w:t>在投资组合、申请书、简历、和面对面合作时积</w:t>
            </w:r>
            <w:r>
              <w:rPr>
                <w:sz w:val="24"/>
              </w:rPr>
              <w:t>极交流</w:t>
            </w:r>
          </w:p>
          <w:p>
            <w:pPr>
              <w:pStyle w:val="TableParagraph"/>
              <w:numPr>
                <w:ilvl w:val="0"/>
                <w:numId w:val="21"/>
              </w:numPr>
              <w:tabs>
                <w:tab w:pos="709" w:val="left" w:leader="none"/>
              </w:tabs>
              <w:spacing w:line="240" w:lineRule="auto" w:before="2" w:after="0"/>
              <w:ind w:left="708" w:right="0" w:hanging="602"/>
              <w:jc w:val="left"/>
              <w:rPr>
                <w:sz w:val="24"/>
              </w:rPr>
            </w:pPr>
            <w:r>
              <w:rPr>
                <w:sz w:val="24"/>
              </w:rPr>
              <w:t>从家庭、家族、同伴和社区组织中获得支持</w:t>
            </w:r>
          </w:p>
        </w:tc>
      </w:tr>
    </w:tbl>
    <w:p>
      <w:pPr>
        <w:pStyle w:val="BodyText"/>
        <w:rPr>
          <w:sz w:val="26"/>
        </w:rPr>
      </w:pPr>
    </w:p>
    <w:p>
      <w:pPr>
        <w:pStyle w:val="BodyText"/>
        <w:spacing w:line="364" w:lineRule="auto" w:before="216"/>
        <w:ind w:left="1320" w:right="1570" w:firstLine="480"/>
      </w:pPr>
      <w:r>
        <w:rPr>
          <w:rFonts w:ascii="Times New Roman" w:eastAsia="Times New Roman"/>
        </w:rPr>
        <w:t>2009</w:t>
      </w:r>
      <w:r>
        <w:rPr>
          <w:rFonts w:ascii="Times New Roman" w:eastAsia="Times New Roman"/>
          <w:spacing w:val="55"/>
        </w:rPr>
        <w:t> </w:t>
      </w:r>
      <w:r>
        <w:rPr>
          <w:spacing w:val="43"/>
        </w:rPr>
        <w:t>年新西兰修订文件的最大特色是： 用一种素养的方法</w:t>
      </w:r>
      <w:r>
        <w:rPr/>
        <w:t>（</w:t>
      </w:r>
      <w:r>
        <w:rPr>
          <w:spacing w:val="-63"/>
        </w:rPr>
        <w:t> </w:t>
      </w:r>
      <w:r>
        <w:rPr>
          <w:rFonts w:ascii="Times New Roman" w:eastAsia="Times New Roman"/>
        </w:rPr>
        <w:t>a competency-based approach</w:t>
      </w:r>
      <w:r>
        <w:rPr/>
        <w:t>）重新审视生涯规划教育的实施目标，用核心素养取</w:t>
      </w:r>
    </w:p>
    <w:p>
      <w:pPr>
        <w:spacing w:after="0" w:line="364" w:lineRule="auto"/>
        <w:sectPr>
          <w:pgSz w:w="11910" w:h="16840"/>
          <w:pgMar w:header="878" w:footer="1160" w:top="1300" w:bottom="1380" w:left="480" w:right="220"/>
        </w:sectPr>
      </w:pPr>
    </w:p>
    <w:p>
      <w:pPr>
        <w:pStyle w:val="BodyText"/>
        <w:spacing w:before="1"/>
        <w:rPr>
          <w:sz w:val="10"/>
        </w:rPr>
      </w:pPr>
    </w:p>
    <w:p>
      <w:pPr>
        <w:pStyle w:val="BodyText"/>
        <w:spacing w:line="364" w:lineRule="auto" w:before="81"/>
        <w:ind w:left="1319" w:right="1435"/>
      </w:pPr>
      <w:r>
        <w:rPr>
          <w:spacing w:val="-2"/>
        </w:rPr>
        <w:t>代了必要的技能。</w:t>
      </w:r>
      <w:hyperlink w:history="true" w:anchor="_bookmark139">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3"/>
        </w:rPr>
        <w:t>新西兰政府从上述的“生涯规划素养”的三个层面中提炼出</w:t>
      </w:r>
      <w:r>
        <w:rPr>
          <w:spacing w:val="-8"/>
        </w:rPr>
        <w:t>了五类“核心素养”：</w:t>
      </w:r>
      <w:r>
        <w:rPr>
          <w:rFonts w:ascii="Times New Roman" w:hAnsi="Times New Roman" w:eastAsia="Times New Roman"/>
          <w:spacing w:val="-11"/>
          <w:position w:val="8"/>
          <w:sz w:val="15"/>
        </w:rPr>
        <w:t>[</w:t>
      </w:r>
      <w:hyperlink w:history="true" w:anchor="_bookmark140">
        <w:r>
          <w:rPr>
            <w:rFonts w:ascii="Times New Roman" w:hAnsi="Times New Roman" w:eastAsia="Times New Roman"/>
            <w:spacing w:val="-11"/>
            <w:position w:val="8"/>
            <w:sz w:val="15"/>
          </w:rPr>
          <w:t>2</w:t>
        </w:r>
      </w:hyperlink>
      <w:r>
        <w:rPr>
          <w:rFonts w:ascii="Times New Roman" w:hAnsi="Times New Roman" w:eastAsia="Times New Roman"/>
          <w:spacing w:val="-11"/>
          <w:position w:val="8"/>
          <w:sz w:val="15"/>
        </w:rPr>
        <w:t>]</w:t>
      </w:r>
      <w:r>
        <w:rPr>
          <w:spacing w:val="-7"/>
        </w:rPr>
        <w:t>“自我管理</w:t>
      </w:r>
      <w:r>
        <w:rPr/>
        <w:t>（</w:t>
      </w:r>
      <w:r>
        <w:rPr>
          <w:rFonts w:ascii="Times New Roman" w:hAnsi="Times New Roman" w:eastAsia="Times New Roman"/>
        </w:rPr>
        <w:t>managing</w:t>
      </w:r>
      <w:r>
        <w:rPr>
          <w:rFonts w:ascii="Times New Roman" w:hAnsi="Times New Roman" w:eastAsia="Times New Roman"/>
          <w:spacing w:val="4"/>
        </w:rPr>
        <w:t> </w:t>
      </w:r>
      <w:r>
        <w:rPr>
          <w:rFonts w:ascii="Times New Roman" w:hAnsi="Times New Roman" w:eastAsia="Times New Roman"/>
          <w:spacing w:val="-7"/>
        </w:rPr>
        <w:t>self</w:t>
      </w:r>
      <w:r>
        <w:rPr>
          <w:spacing w:val="-7"/>
        </w:rPr>
        <w:t>）”</w:t>
      </w:r>
      <w:r>
        <w:rPr>
          <w:spacing w:val="-10"/>
        </w:rPr>
        <w:t>、“与他人交往</w:t>
      </w:r>
      <w:r>
        <w:rPr/>
        <w:t>（</w:t>
      </w:r>
      <w:r>
        <w:rPr>
          <w:rFonts w:ascii="Times New Roman" w:hAnsi="Times New Roman" w:eastAsia="Times New Roman"/>
        </w:rPr>
        <w:t>relating to oth</w:t>
      </w:r>
      <w:r>
        <w:rPr>
          <w:rFonts w:ascii="Times New Roman" w:hAnsi="Times New Roman" w:eastAsia="Times New Roman"/>
          <w:spacing w:val="-1"/>
        </w:rPr>
        <w:t>er</w:t>
      </w:r>
      <w:r>
        <w:rPr>
          <w:rFonts w:ascii="Times New Roman" w:hAnsi="Times New Roman" w:eastAsia="Times New Roman"/>
          <w:spacing w:val="2"/>
        </w:rPr>
        <w:t>s</w:t>
      </w:r>
      <w:r>
        <w:rPr>
          <w:spacing w:val="-39"/>
        </w:rPr>
        <w:t>）</w:t>
      </w:r>
      <w:r>
        <w:rPr>
          <w:spacing w:val="-14"/>
        </w:rPr>
        <w:t>”、“参与和贡献</w:t>
      </w:r>
      <w:r>
        <w:rPr>
          <w:rFonts w:ascii="Times New Roman" w:hAnsi="Times New Roman" w:eastAsia="Times New Roman"/>
          <w:spacing w:val="-1"/>
        </w:rPr>
        <w:t>(</w:t>
      </w:r>
      <w:r>
        <w:rPr>
          <w:rFonts w:ascii="Times New Roman" w:hAnsi="Times New Roman" w:eastAsia="Times New Roman"/>
        </w:rPr>
        <w:t>p</w:t>
      </w:r>
      <w:r>
        <w:rPr>
          <w:rFonts w:ascii="Times New Roman" w:hAnsi="Times New Roman" w:eastAsia="Times New Roman"/>
          <w:spacing w:val="-1"/>
        </w:rPr>
        <w:t>ar</w:t>
      </w:r>
      <w:r>
        <w:rPr>
          <w:rFonts w:ascii="Times New Roman" w:hAnsi="Times New Roman" w:eastAsia="Times New Roman"/>
        </w:rPr>
        <w:t>ti</w:t>
      </w:r>
      <w:r>
        <w:rPr>
          <w:rFonts w:ascii="Times New Roman" w:hAnsi="Times New Roman" w:eastAsia="Times New Roman"/>
          <w:spacing w:val="-1"/>
        </w:rPr>
        <w:t>c</w:t>
      </w:r>
      <w:r>
        <w:rPr>
          <w:rFonts w:ascii="Times New Roman" w:hAnsi="Times New Roman" w:eastAsia="Times New Roman"/>
        </w:rPr>
        <w:t>ip</w:t>
      </w:r>
      <w:r>
        <w:rPr>
          <w:rFonts w:ascii="Times New Roman" w:hAnsi="Times New Roman" w:eastAsia="Times New Roman"/>
          <w:spacing w:val="-1"/>
        </w:rPr>
        <w:t>a</w:t>
      </w:r>
      <w:r>
        <w:rPr>
          <w:rFonts w:ascii="Times New Roman" w:hAnsi="Times New Roman" w:eastAsia="Times New Roman"/>
        </w:rPr>
        <w:t>ting</w:t>
      </w:r>
      <w:r>
        <w:rPr>
          <w:rFonts w:ascii="Times New Roman" w:hAnsi="Times New Roman" w:eastAsia="Times New Roman"/>
          <w:spacing w:val="2"/>
        </w:rPr>
        <w:t> </w:t>
      </w:r>
      <w:r>
        <w:rPr>
          <w:rFonts w:ascii="Times New Roman" w:hAnsi="Times New Roman" w:eastAsia="Times New Roman"/>
          <w:spacing w:val="-1"/>
        </w:rPr>
        <w:t>a</w:t>
      </w:r>
      <w:r>
        <w:rPr>
          <w:rFonts w:ascii="Times New Roman" w:hAnsi="Times New Roman" w:eastAsia="Times New Roman"/>
        </w:rPr>
        <w:t>nd</w:t>
      </w:r>
      <w:r>
        <w:rPr>
          <w:rFonts w:ascii="Times New Roman" w:hAnsi="Times New Roman" w:eastAsia="Times New Roman"/>
          <w:spacing w:val="2"/>
        </w:rPr>
        <w:t> </w:t>
      </w:r>
      <w:r>
        <w:rPr>
          <w:rFonts w:ascii="Times New Roman" w:hAnsi="Times New Roman" w:eastAsia="Times New Roman"/>
          <w:spacing w:val="-1"/>
        </w:rPr>
        <w:t>c</w:t>
      </w:r>
      <w:r>
        <w:rPr>
          <w:rFonts w:ascii="Times New Roman" w:hAnsi="Times New Roman" w:eastAsia="Times New Roman"/>
        </w:rPr>
        <w:t>ont</w:t>
      </w:r>
      <w:r>
        <w:rPr>
          <w:rFonts w:ascii="Times New Roman" w:hAnsi="Times New Roman" w:eastAsia="Times New Roman"/>
          <w:spacing w:val="-1"/>
        </w:rPr>
        <w:t>r</w:t>
      </w:r>
      <w:r>
        <w:rPr>
          <w:rFonts w:ascii="Times New Roman" w:hAnsi="Times New Roman" w:eastAsia="Times New Roman"/>
        </w:rPr>
        <w:t>ibutin</w:t>
      </w:r>
      <w:r>
        <w:rPr>
          <w:rFonts w:ascii="Times New Roman" w:hAnsi="Times New Roman" w:eastAsia="Times New Roman"/>
          <w:spacing w:val="-3"/>
        </w:rPr>
        <w:t>g</w:t>
      </w:r>
      <w:r>
        <w:rPr>
          <w:rFonts w:ascii="Times New Roman" w:hAnsi="Times New Roman" w:eastAsia="Times New Roman"/>
        </w:rPr>
        <w:t>)</w:t>
      </w:r>
      <w:r>
        <w:rPr>
          <w:spacing w:val="-29"/>
        </w:rPr>
        <w:t>”、“思考</w:t>
      </w:r>
      <w:r>
        <w:rPr/>
        <w:t>（</w:t>
      </w:r>
      <w:r>
        <w:rPr>
          <w:rFonts w:ascii="Times New Roman" w:hAnsi="Times New Roman" w:eastAsia="Times New Roman"/>
        </w:rPr>
        <w:t>thinking</w:t>
      </w:r>
      <w:r>
        <w:rPr>
          <w:spacing w:val="-118"/>
        </w:rPr>
        <w:t>）</w:t>
      </w:r>
      <w:r>
        <w:rPr>
          <w:spacing w:val="-60"/>
        </w:rPr>
        <w:t>”、 “使用语言、符号和文本（</w:t>
      </w:r>
      <w:r>
        <w:rPr>
          <w:rFonts w:ascii="Times New Roman" w:hAnsi="Times New Roman" w:eastAsia="Times New Roman"/>
          <w:spacing w:val="-60"/>
        </w:rPr>
        <w:t>using</w:t>
      </w:r>
      <w:r>
        <w:rPr>
          <w:rFonts w:ascii="Times New Roman" w:hAnsi="Times New Roman" w:eastAsia="Times New Roman"/>
          <w:spacing w:val="2"/>
        </w:rPr>
        <w:t> </w:t>
      </w:r>
      <w:r>
        <w:rPr>
          <w:rFonts w:ascii="Times New Roman" w:hAnsi="Times New Roman" w:eastAsia="Times New Roman"/>
        </w:rPr>
        <w:t>language</w:t>
      </w:r>
      <w:r>
        <w:rPr/>
        <w:t>，</w:t>
      </w:r>
      <w:r>
        <w:rPr>
          <w:rFonts w:ascii="Times New Roman" w:hAnsi="Times New Roman" w:eastAsia="Times New Roman"/>
        </w:rPr>
        <w:t>symbols</w:t>
      </w:r>
      <w:r>
        <w:rPr/>
        <w:t>，</w:t>
      </w:r>
      <w:r>
        <w:rPr>
          <w:rFonts w:ascii="Times New Roman" w:hAnsi="Times New Roman" w:eastAsia="Times New Roman"/>
        </w:rPr>
        <w:t>and</w:t>
      </w:r>
      <w:r>
        <w:rPr>
          <w:rFonts w:ascii="Times New Roman" w:hAnsi="Times New Roman" w:eastAsia="Times New Roman"/>
          <w:spacing w:val="3"/>
        </w:rPr>
        <w:t> </w:t>
      </w:r>
      <w:r>
        <w:rPr>
          <w:rFonts w:ascii="Times New Roman" w:hAnsi="Times New Roman" w:eastAsia="Times New Roman"/>
        </w:rPr>
        <w:t>text</w:t>
      </w:r>
      <w:r>
        <w:rPr/>
        <w:t>）”。具体内容如下：</w:t>
      </w:r>
    </w:p>
    <w:p>
      <w:pPr>
        <w:pStyle w:val="ListParagraph"/>
        <w:numPr>
          <w:ilvl w:val="4"/>
          <w:numId w:val="2"/>
        </w:numPr>
        <w:tabs>
          <w:tab w:pos="2160" w:val="left" w:leader="none"/>
        </w:tabs>
        <w:spacing w:line="364" w:lineRule="auto" w:before="3" w:after="0"/>
        <w:ind w:left="1320" w:right="1577" w:firstLine="420"/>
        <w:jc w:val="both"/>
        <w:rPr>
          <w:sz w:val="24"/>
        </w:rPr>
      </w:pPr>
      <w:r>
        <w:rPr>
          <w:spacing w:val="-1"/>
          <w:sz w:val="24"/>
        </w:rPr>
        <w:t>自我管理：培养对个人兴趣、品质、技能和文化的认识，以及对文化和</w:t>
      </w:r>
      <w:r>
        <w:rPr>
          <w:spacing w:val="-8"/>
          <w:sz w:val="24"/>
        </w:rPr>
        <w:t>个人价值的认识；培养与学校、未来教育选择相关的决策技能；发展时间管理技</w:t>
      </w:r>
      <w:r>
        <w:rPr>
          <w:sz w:val="24"/>
        </w:rPr>
        <w:t>能；制定实际的个人路径计划并监督其实施过程。</w:t>
      </w:r>
    </w:p>
    <w:p>
      <w:pPr>
        <w:pStyle w:val="ListParagraph"/>
        <w:numPr>
          <w:ilvl w:val="4"/>
          <w:numId w:val="2"/>
        </w:numPr>
        <w:tabs>
          <w:tab w:pos="2160" w:val="left" w:leader="none"/>
        </w:tabs>
        <w:spacing w:line="364" w:lineRule="auto" w:before="2" w:after="0"/>
        <w:ind w:left="1320" w:right="1577" w:firstLine="420"/>
        <w:jc w:val="both"/>
        <w:rPr>
          <w:sz w:val="24"/>
        </w:rPr>
      </w:pPr>
      <w:r>
        <w:rPr>
          <w:spacing w:val="-1"/>
          <w:sz w:val="24"/>
        </w:rPr>
        <w:t>参与和贡献：与社区的人交流，探索职场和组织的运作；参与并在社区</w:t>
      </w:r>
      <w:r>
        <w:rPr>
          <w:spacing w:val="-10"/>
          <w:sz w:val="24"/>
        </w:rPr>
        <w:t>组织工作；开展对工作场的社交、文化、物理和经济环境的持续性研究；研究工</w:t>
      </w:r>
      <w:r>
        <w:rPr>
          <w:sz w:val="24"/>
        </w:rPr>
        <w:t>作场所的权责；在生涯相关的项目中与团队、小组合作。</w:t>
      </w:r>
    </w:p>
    <w:p>
      <w:pPr>
        <w:pStyle w:val="ListParagraph"/>
        <w:numPr>
          <w:ilvl w:val="4"/>
          <w:numId w:val="2"/>
        </w:numPr>
        <w:tabs>
          <w:tab w:pos="2160" w:val="left" w:leader="none"/>
        </w:tabs>
        <w:spacing w:line="364" w:lineRule="auto" w:before="1" w:after="0"/>
        <w:ind w:left="1320" w:right="1577" w:firstLine="420"/>
        <w:jc w:val="both"/>
        <w:rPr>
          <w:sz w:val="24"/>
        </w:rPr>
      </w:pPr>
      <w:r>
        <w:rPr>
          <w:spacing w:val="-1"/>
          <w:sz w:val="24"/>
        </w:rPr>
        <w:t>与他人交往：寻求并理解工作经验；探索文化认识和道德实践在职场中</w:t>
      </w:r>
      <w:r>
        <w:rPr>
          <w:spacing w:val="-9"/>
          <w:sz w:val="24"/>
        </w:rPr>
        <w:t>的重要性；了解关于工作和生活的决策将如何影响其他方面，包括对家庭、社区</w:t>
      </w:r>
      <w:r>
        <w:rPr>
          <w:sz w:val="24"/>
        </w:rPr>
        <w:t>和朋友的影响；发展访谈能力或其他面对面的沟通技巧。</w:t>
      </w:r>
    </w:p>
    <w:p>
      <w:pPr>
        <w:pStyle w:val="ListParagraph"/>
        <w:numPr>
          <w:ilvl w:val="4"/>
          <w:numId w:val="2"/>
        </w:numPr>
        <w:tabs>
          <w:tab w:pos="2159" w:val="left" w:leader="none"/>
          <w:tab w:pos="2160" w:val="left" w:leader="none"/>
        </w:tabs>
        <w:spacing w:line="364" w:lineRule="auto" w:before="2" w:after="0"/>
        <w:ind w:left="1320" w:right="1457" w:firstLine="420"/>
        <w:jc w:val="left"/>
        <w:rPr>
          <w:sz w:val="24"/>
        </w:rPr>
      </w:pPr>
      <w:r>
        <w:rPr>
          <w:spacing w:val="-12"/>
          <w:sz w:val="24"/>
        </w:rPr>
        <w:t>思考：将现在的学习和未来工作与先前校外的学习和经验之间建立联系； </w:t>
      </w:r>
      <w:r>
        <w:rPr>
          <w:spacing w:val="-6"/>
          <w:sz w:val="24"/>
        </w:rPr>
        <w:t>做决定时考虑未来的学习或工作；提出问题与挑战，假设其他与自己和未来相关的可能的生涯道路。</w:t>
      </w:r>
    </w:p>
    <w:p>
      <w:pPr>
        <w:pStyle w:val="ListParagraph"/>
        <w:numPr>
          <w:ilvl w:val="4"/>
          <w:numId w:val="2"/>
        </w:numPr>
        <w:tabs>
          <w:tab w:pos="2160" w:val="left" w:leader="none"/>
        </w:tabs>
        <w:spacing w:line="364" w:lineRule="auto" w:before="2" w:after="0"/>
        <w:ind w:left="1320" w:right="1577" w:firstLine="420"/>
        <w:jc w:val="both"/>
        <w:rPr>
          <w:sz w:val="24"/>
        </w:rPr>
      </w:pPr>
      <w:r>
        <w:rPr>
          <w:spacing w:val="-1"/>
          <w:sz w:val="24"/>
        </w:rPr>
        <w:t>使用语言、符号和文本：建立对工作语言的认知和理解，如，描述和命</w:t>
      </w:r>
      <w:r>
        <w:rPr>
          <w:spacing w:val="-11"/>
          <w:sz w:val="24"/>
        </w:rPr>
        <w:t>名的技能；探索信息通信技术的网址，并从中发现、提取与生涯规划机会相关的</w:t>
      </w:r>
      <w:r>
        <w:rPr>
          <w:spacing w:val="-10"/>
          <w:sz w:val="24"/>
        </w:rPr>
        <w:t>信息；在生涯信息资源中识别有用信息并对其作出恰当理解；在读与写中通过提</w:t>
      </w:r>
      <w:r>
        <w:rPr>
          <w:sz w:val="24"/>
        </w:rPr>
        <w:t>供关于自我的信息和观点发展沟通技能。</w:t>
      </w:r>
    </w:p>
    <w:p>
      <w:pPr>
        <w:pStyle w:val="BodyText"/>
        <w:spacing w:line="364" w:lineRule="auto" w:before="2"/>
        <w:ind w:left="1319" w:right="1569" w:firstLine="480"/>
        <w:jc w:val="both"/>
      </w:pPr>
      <w:r>
        <w:rPr/>
        <w:pict>
          <v:shape style="position:absolute;margin-left:90pt;margin-top:95.740997pt;width:144pt;height:.1pt;mso-position-horizontal-relative:page;mso-position-vertical-relative:paragraph;z-index:-251603968;mso-wrap-distance-left:0;mso-wrap-distance-right:0" coordorigin="1800,1915" coordsize="2880,0" path="m1800,1915l4680,1915e" filled="false" stroked="true" strokeweight="0pt" strokecolor="#000000">
            <v:path arrowok="t"/>
            <v:stroke dashstyle="solid"/>
            <w10:wrap type="topAndBottom"/>
          </v:shape>
        </w:pict>
      </w:r>
      <w:r>
        <w:rPr>
          <w:spacing w:val="-12"/>
        </w:rPr>
        <w:t>澳大利亚 </w:t>
      </w:r>
      <w:r>
        <w:rPr>
          <w:rFonts w:ascii="Times New Roman" w:hAnsi="Times New Roman" w:eastAsia="Times New Roman"/>
        </w:rPr>
        <w:t>2010 </w:t>
      </w:r>
      <w:r>
        <w:rPr/>
        <w:t>年修订的“澳大利亚生涯发展蓝图（</w:t>
      </w:r>
      <w:r>
        <w:rPr>
          <w:rFonts w:ascii="Times New Roman" w:hAnsi="Times New Roman" w:eastAsia="Times New Roman"/>
        </w:rPr>
        <w:t>Australia Blueprint For Career development </w:t>
      </w:r>
      <w:r>
        <w:rPr>
          <w:spacing w:val="-26"/>
        </w:rPr>
        <w:t>）</w:t>
      </w:r>
      <w:r>
        <w:rPr>
          <w:spacing w:val="-18"/>
        </w:rPr>
        <w:t>”描述了 </w:t>
      </w:r>
      <w:r>
        <w:rPr>
          <w:rFonts w:ascii="Times New Roman" w:hAnsi="Times New Roman" w:eastAsia="Times New Roman"/>
          <w:spacing w:val="-3"/>
        </w:rPr>
        <w:t>11 </w:t>
      </w:r>
      <w:r>
        <w:rPr>
          <w:spacing w:val="-7"/>
        </w:rPr>
        <w:t>个生涯规划素养，且将其划分为个人规划、学</w:t>
      </w:r>
      <w:r>
        <w:rPr>
          <w:spacing w:val="-8"/>
        </w:rPr>
        <w:t>习与工作探索、生涯建立三个领域，每个领域下设置了具体的生涯规划素养，又</w:t>
      </w:r>
      <w:r>
        <w:rPr>
          <w:spacing w:val="-10"/>
        </w:rPr>
        <w:t>对每个素养的指标做了详细的规定，用以指导国家生涯规划教育的开展。</w:t>
      </w:r>
      <w:r>
        <w:rPr>
          <w:rFonts w:ascii="Times New Roman" w:hAnsi="Times New Roman" w:eastAsia="Times New Roman"/>
          <w:position w:val="8"/>
          <w:sz w:val="15"/>
        </w:rPr>
        <w:t>[</w:t>
      </w:r>
      <w:hyperlink w:history="true" w:anchor="_bookmark141">
        <w:r>
          <w:rPr>
            <w:rFonts w:ascii="Times New Roman" w:hAnsi="Times New Roman" w:eastAsia="Times New Roman"/>
            <w:position w:val="8"/>
            <w:sz w:val="15"/>
          </w:rPr>
          <w:t>3</w:t>
        </w:r>
      </w:hyperlink>
      <w:r>
        <w:rPr>
          <w:rFonts w:ascii="Times New Roman" w:hAnsi="Times New Roman" w:eastAsia="Times New Roman"/>
          <w:position w:val="8"/>
          <w:sz w:val="15"/>
        </w:rPr>
        <w:t>]</w:t>
      </w:r>
      <w:r>
        <w:rPr/>
        <w:t>下表</w:t>
      </w:r>
    </w:p>
    <w:p>
      <w:pPr>
        <w:spacing w:line="388" w:lineRule="auto" w:before="96"/>
        <w:ind w:left="1320" w:right="1485" w:firstLine="0"/>
        <w:jc w:val="left"/>
        <w:rPr>
          <w:rFonts w:ascii="Times New Roman"/>
          <w:sz w:val="18"/>
        </w:rPr>
      </w:pPr>
      <w:bookmarkStart w:name="_bookmark139" w:id="179"/>
      <w:bookmarkEnd w:id="179"/>
      <w:r>
        <w:rPr/>
      </w:r>
      <w:r>
        <w:rPr>
          <w:rFonts w:ascii="Times New Roman"/>
          <w:position w:val="7"/>
          <w:sz w:val="13"/>
        </w:rPr>
        <w:t>[1] </w:t>
      </w:r>
      <w:r>
        <w:rPr>
          <w:rFonts w:ascii="Times New Roman"/>
          <w:sz w:val="18"/>
        </w:rPr>
        <w:t>Ivan Hodgetts.Rethinking Career Education in Schools Foundations for a New Zealand framework.[EB/ OL].Wellington:Career Services Rapuara</w:t>
      </w:r>
      <w:hyperlink r:id="rId42">
        <w:r>
          <w:rPr>
            <w:rFonts w:ascii="Times New Roman"/>
            <w:sz w:val="18"/>
          </w:rPr>
          <w:t>www.careers.govt.nz.2016-5-8.</w:t>
        </w:r>
      </w:hyperlink>
    </w:p>
    <w:p>
      <w:pPr>
        <w:spacing w:line="211" w:lineRule="exact" w:before="0"/>
        <w:ind w:left="1320" w:right="0" w:firstLine="0"/>
        <w:jc w:val="left"/>
        <w:rPr>
          <w:rFonts w:ascii="Times New Roman"/>
          <w:sz w:val="18"/>
        </w:rPr>
      </w:pPr>
      <w:bookmarkStart w:name="_bookmark140" w:id="180"/>
      <w:bookmarkEnd w:id="180"/>
      <w:r>
        <w:rPr/>
      </w:r>
      <w:r>
        <w:rPr>
          <w:rFonts w:ascii="Times New Roman"/>
          <w:position w:val="7"/>
          <w:sz w:val="13"/>
        </w:rPr>
        <w:t>[2] </w:t>
      </w:r>
      <w:r>
        <w:rPr>
          <w:rFonts w:ascii="Times New Roman"/>
          <w:sz w:val="18"/>
        </w:rPr>
        <w:t>the Ministry of Education. Career Education and Guidance in New Zealand School.[EB/OL]</w:t>
      </w:r>
      <w:hyperlink r:id="rId41">
        <w:r>
          <w:rPr>
            <w:rFonts w:ascii="Times New Roman"/>
            <w:sz w:val="18"/>
          </w:rPr>
          <w:t>..http://nzcu</w:t>
        </w:r>
      </w:hyperlink>
    </w:p>
    <w:p>
      <w:pPr>
        <w:spacing w:before="127"/>
        <w:ind w:left="1320" w:right="0" w:firstLine="0"/>
        <w:jc w:val="left"/>
        <w:rPr>
          <w:rFonts w:ascii="Times New Roman"/>
          <w:sz w:val="18"/>
        </w:rPr>
      </w:pPr>
      <w:r>
        <w:rPr>
          <w:rFonts w:ascii="Times New Roman"/>
          <w:sz w:val="18"/>
        </w:rPr>
        <w:t>rriculum.tki.org.nz/Curriculum-resources/Career-education.2016-6-10.</w:t>
      </w:r>
    </w:p>
    <w:p>
      <w:pPr>
        <w:spacing w:line="386" w:lineRule="auto" w:before="108"/>
        <w:ind w:left="1320" w:right="1604" w:firstLine="0"/>
        <w:jc w:val="left"/>
        <w:rPr>
          <w:rFonts w:ascii="Times New Roman"/>
          <w:sz w:val="18"/>
        </w:rPr>
      </w:pPr>
      <w:bookmarkStart w:name="_bookmark141" w:id="181"/>
      <w:bookmarkEnd w:id="181"/>
      <w:r>
        <w:rPr/>
      </w:r>
      <w:r>
        <w:rPr>
          <w:rFonts w:ascii="Times New Roman"/>
          <w:position w:val="7"/>
          <w:sz w:val="13"/>
        </w:rPr>
        <w:t>[3] </w:t>
      </w:r>
      <w:r>
        <w:rPr>
          <w:rFonts w:ascii="Times New Roman"/>
          <w:sz w:val="18"/>
        </w:rPr>
        <w:t>MCEECDYA,Miles Morgan Australia,Commonwealth of Australia,Canberra.The Australian Blueprint for Career Development.[EB/OL].</w:t>
      </w:r>
      <w:hyperlink r:id="rId43">
        <w:r>
          <w:rPr>
            <w:rFonts w:ascii="Times New Roman"/>
            <w:sz w:val="18"/>
          </w:rPr>
          <w:t>www.blueprint.edu.au</w:t>
        </w:r>
      </w:hyperlink>
      <w:r>
        <w:rPr>
          <w:rFonts w:ascii="Times New Roman"/>
          <w:sz w:val="18"/>
        </w:rPr>
        <w:t>.2016-5-18.</w:t>
      </w:r>
    </w:p>
    <w:p>
      <w:pPr>
        <w:spacing w:after="0" w:line="386" w:lineRule="auto"/>
        <w:jc w:val="left"/>
        <w:rPr>
          <w:rFonts w:ascii="Times New Roman"/>
          <w:sz w:val="18"/>
        </w:rPr>
        <w:sectPr>
          <w:pgSz w:w="11910" w:h="16840"/>
          <w:pgMar w:header="878" w:footer="1160" w:top="1300" w:bottom="1380" w:left="480" w:right="220"/>
        </w:sectPr>
      </w:pPr>
    </w:p>
    <w:p>
      <w:pPr>
        <w:pStyle w:val="BodyText"/>
        <w:spacing w:before="9"/>
        <w:rPr>
          <w:rFonts w:ascii="Times New Roman"/>
          <w:sz w:val="11"/>
        </w:rPr>
      </w:pPr>
    </w:p>
    <w:p>
      <w:pPr>
        <w:pStyle w:val="BodyText"/>
        <w:spacing w:before="74"/>
        <w:ind w:left="1320"/>
      </w:pPr>
      <w:r>
        <w:rPr>
          <w:rFonts w:ascii="Times New Roman" w:eastAsia="Times New Roman"/>
        </w:rPr>
        <w:t>2.4 </w:t>
      </w:r>
      <w:r>
        <w:rPr/>
        <w:t>为澳大利亚提出的生涯规划素养：</w:t>
      </w:r>
    </w:p>
    <w:p>
      <w:pPr>
        <w:pStyle w:val="BodyText"/>
        <w:rPr>
          <w:sz w:val="20"/>
        </w:rPr>
      </w:pPr>
    </w:p>
    <w:p>
      <w:pPr>
        <w:pStyle w:val="BodyText"/>
        <w:spacing w:before="219"/>
        <w:ind w:right="274"/>
        <w:jc w:val="center"/>
      </w:pPr>
      <w:r>
        <w:rPr/>
        <w:t>表 </w:t>
      </w:r>
      <w:r>
        <w:rPr>
          <w:rFonts w:ascii="Times New Roman" w:eastAsia="Times New Roman"/>
        </w:rPr>
        <w:t>2.4  </w:t>
      </w:r>
      <w:r>
        <w:rPr/>
        <w:t>澳大利亚生涯规划素养</w:t>
      </w:r>
    </w:p>
    <w:p>
      <w:pPr>
        <w:pStyle w:val="BodyText"/>
        <w:spacing w:before="3"/>
        <w:rPr>
          <w:sz w:val="18"/>
        </w:rPr>
      </w:pPr>
    </w:p>
    <w:tbl>
      <w:tblPr>
        <w:tblW w:w="0" w:type="auto"/>
        <w:jc w:val="left"/>
        <w:tblInd w:w="13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5"/>
        <w:gridCol w:w="1075"/>
        <w:gridCol w:w="6470"/>
      </w:tblGrid>
      <w:tr>
        <w:trPr>
          <w:trHeight w:val="422" w:hRule="atLeast"/>
        </w:trPr>
        <w:tc>
          <w:tcPr>
            <w:tcW w:w="795" w:type="dxa"/>
          </w:tcPr>
          <w:p>
            <w:pPr>
              <w:pStyle w:val="TableParagraph"/>
              <w:spacing w:before="3"/>
              <w:ind w:left="155"/>
              <w:rPr>
                <w:sz w:val="24"/>
              </w:rPr>
            </w:pPr>
            <w:r>
              <w:rPr>
                <w:sz w:val="24"/>
              </w:rPr>
              <w:t>领域</w:t>
            </w:r>
          </w:p>
        </w:tc>
        <w:tc>
          <w:tcPr>
            <w:tcW w:w="1075" w:type="dxa"/>
          </w:tcPr>
          <w:p>
            <w:pPr>
              <w:pStyle w:val="TableParagraph"/>
              <w:spacing w:before="3"/>
              <w:ind w:left="296"/>
              <w:rPr>
                <w:sz w:val="24"/>
              </w:rPr>
            </w:pPr>
            <w:r>
              <w:rPr>
                <w:sz w:val="24"/>
              </w:rPr>
              <w:t>素养</w:t>
            </w:r>
          </w:p>
        </w:tc>
        <w:tc>
          <w:tcPr>
            <w:tcW w:w="6470" w:type="dxa"/>
          </w:tcPr>
          <w:p>
            <w:pPr>
              <w:pStyle w:val="TableParagraph"/>
              <w:spacing w:before="3"/>
              <w:ind w:left="2734" w:right="2725"/>
              <w:jc w:val="center"/>
              <w:rPr>
                <w:sz w:val="24"/>
              </w:rPr>
            </w:pPr>
            <w:r>
              <w:rPr>
                <w:sz w:val="24"/>
              </w:rPr>
              <w:t>具体指标</w:t>
            </w:r>
          </w:p>
        </w:tc>
      </w:tr>
      <w:tr>
        <w:trPr>
          <w:trHeight w:val="408" w:hRule="atLeast"/>
        </w:trPr>
        <w:tc>
          <w:tcPr>
            <w:tcW w:w="795" w:type="dxa"/>
            <w:tcBorders>
              <w:bottom w:val="nil"/>
            </w:tcBorders>
          </w:tcPr>
          <w:p>
            <w:pPr>
              <w:pStyle w:val="TableParagraph"/>
              <w:rPr>
                <w:rFonts w:ascii="Times New Roman"/>
                <w:sz w:val="22"/>
              </w:rPr>
            </w:pPr>
          </w:p>
        </w:tc>
        <w:tc>
          <w:tcPr>
            <w:tcW w:w="1075" w:type="dxa"/>
            <w:tcBorders>
              <w:bottom w:val="nil"/>
            </w:tcBorders>
          </w:tcPr>
          <w:p>
            <w:pPr>
              <w:pStyle w:val="TableParagraph"/>
              <w:rPr>
                <w:rFonts w:ascii="Times New Roman"/>
                <w:sz w:val="22"/>
              </w:rPr>
            </w:pPr>
          </w:p>
        </w:tc>
        <w:tc>
          <w:tcPr>
            <w:tcW w:w="6470" w:type="dxa"/>
            <w:tcBorders>
              <w:bottom w:val="nil"/>
            </w:tcBorders>
          </w:tcPr>
          <w:p>
            <w:pPr>
              <w:pStyle w:val="TableParagraph"/>
              <w:spacing w:before="63"/>
              <w:ind w:left="107"/>
              <w:rPr>
                <w:sz w:val="24"/>
              </w:rPr>
            </w:pPr>
            <w:r>
              <w:rPr>
                <w:sz w:val="24"/>
              </w:rPr>
              <w:t>（</w:t>
            </w:r>
            <w:r>
              <w:rPr>
                <w:rFonts w:ascii="Times New Roman" w:eastAsia="Times New Roman"/>
                <w:sz w:val="24"/>
              </w:rPr>
              <w:t>1</w:t>
            </w:r>
            <w:r>
              <w:rPr>
                <w:sz w:val="24"/>
              </w:rPr>
              <w:t>） 知道我们谁 （兴趣、技能、个人品质等方面）</w:t>
            </w:r>
          </w:p>
        </w:tc>
      </w:tr>
      <w:tr>
        <w:trPr>
          <w:trHeight w:val="800" w:hRule="atLeast"/>
        </w:trPr>
        <w:tc>
          <w:tcPr>
            <w:tcW w:w="795" w:type="dxa"/>
            <w:tcBorders>
              <w:top w:val="nil"/>
              <w:bottom w:val="nil"/>
            </w:tcBorders>
          </w:tcPr>
          <w:p>
            <w:pPr>
              <w:pStyle w:val="TableParagraph"/>
              <w:rPr>
                <w:rFonts w:ascii="Times New Roman"/>
                <w:sz w:val="22"/>
              </w:rPr>
            </w:pPr>
          </w:p>
        </w:tc>
        <w:tc>
          <w:tcPr>
            <w:tcW w:w="1075" w:type="dxa"/>
            <w:tcBorders>
              <w:top w:val="nil"/>
              <w:bottom w:val="nil"/>
            </w:tcBorders>
          </w:tcPr>
          <w:p>
            <w:pPr>
              <w:pStyle w:val="TableParagraph"/>
              <w:spacing w:before="11"/>
              <w:rPr>
                <w:sz w:val="16"/>
              </w:rPr>
            </w:pPr>
          </w:p>
          <w:p>
            <w:pPr>
              <w:pStyle w:val="TableParagraph"/>
              <w:spacing w:line="310" w:lineRule="atLeast"/>
              <w:ind w:left="107" w:right="96"/>
              <w:rPr>
                <w:sz w:val="24"/>
              </w:rPr>
            </w:pPr>
            <w:r>
              <w:rPr>
                <w:rFonts w:ascii="Times New Roman" w:eastAsia="Times New Roman"/>
                <w:sz w:val="24"/>
              </w:rPr>
              <w:t>1. </w:t>
            </w:r>
            <w:r>
              <w:rPr>
                <w:spacing w:val="-20"/>
                <w:sz w:val="24"/>
              </w:rPr>
              <w:t>建 立</w:t>
            </w:r>
            <w:r>
              <w:rPr>
                <w:spacing w:val="-25"/>
                <w:sz w:val="24"/>
              </w:rPr>
              <w:t>和 保 持</w:t>
            </w:r>
          </w:p>
        </w:tc>
        <w:tc>
          <w:tcPr>
            <w:tcW w:w="6470" w:type="dxa"/>
            <w:tcBorders>
              <w:top w:val="nil"/>
              <w:bottom w:val="nil"/>
            </w:tcBorders>
          </w:tcPr>
          <w:p>
            <w:pPr>
              <w:pStyle w:val="TableParagraph"/>
              <w:numPr>
                <w:ilvl w:val="0"/>
                <w:numId w:val="22"/>
              </w:numPr>
              <w:tabs>
                <w:tab w:pos="828" w:val="left" w:leader="none"/>
              </w:tabs>
              <w:spacing w:line="240" w:lineRule="auto" w:before="27" w:after="0"/>
              <w:ind w:left="827" w:right="0" w:hanging="721"/>
              <w:jc w:val="left"/>
              <w:rPr>
                <w:sz w:val="24"/>
              </w:rPr>
            </w:pPr>
            <w:r>
              <w:rPr>
                <w:sz w:val="24"/>
              </w:rPr>
              <w:t>意识到我们的行为和态度</w:t>
            </w:r>
          </w:p>
          <w:p>
            <w:pPr>
              <w:pStyle w:val="TableParagraph"/>
              <w:numPr>
                <w:ilvl w:val="0"/>
                <w:numId w:val="22"/>
              </w:numPr>
              <w:tabs>
                <w:tab w:pos="828" w:val="left" w:leader="none"/>
              </w:tabs>
              <w:spacing w:line="240" w:lineRule="auto" w:before="64" w:after="0"/>
              <w:ind w:left="827" w:right="0" w:hanging="721"/>
              <w:jc w:val="left"/>
              <w:rPr>
                <w:sz w:val="24"/>
              </w:rPr>
            </w:pPr>
            <w:r>
              <w:rPr>
                <w:sz w:val="24"/>
              </w:rPr>
              <w:t>理解是什么在影响我们的行为和态度</w:t>
            </w:r>
          </w:p>
        </w:tc>
      </w:tr>
      <w:tr>
        <w:trPr>
          <w:trHeight w:val="307" w:hRule="atLeast"/>
        </w:trPr>
        <w:tc>
          <w:tcPr>
            <w:tcW w:w="795" w:type="dxa"/>
            <w:tcBorders>
              <w:top w:val="nil"/>
              <w:bottom w:val="nil"/>
            </w:tcBorders>
          </w:tcPr>
          <w:p>
            <w:pPr>
              <w:pStyle w:val="TableParagraph"/>
              <w:rPr>
                <w:rFonts w:ascii="Times New Roman"/>
                <w:sz w:val="22"/>
              </w:rPr>
            </w:pPr>
          </w:p>
        </w:tc>
        <w:tc>
          <w:tcPr>
            <w:tcW w:w="1075" w:type="dxa"/>
            <w:tcBorders>
              <w:top w:val="nil"/>
              <w:bottom w:val="nil"/>
            </w:tcBorders>
          </w:tcPr>
          <w:p>
            <w:pPr>
              <w:pStyle w:val="TableParagraph"/>
              <w:spacing w:line="280" w:lineRule="exact" w:before="7"/>
              <w:ind w:left="107"/>
              <w:rPr>
                <w:sz w:val="24"/>
              </w:rPr>
            </w:pPr>
            <w:r>
              <w:rPr>
                <w:spacing w:val="-22"/>
                <w:sz w:val="24"/>
              </w:rPr>
              <w:t>积 极 的</w:t>
            </w:r>
          </w:p>
        </w:tc>
        <w:tc>
          <w:tcPr>
            <w:tcW w:w="6470" w:type="dxa"/>
            <w:tcBorders>
              <w:top w:val="nil"/>
              <w:bottom w:val="nil"/>
            </w:tcBorders>
          </w:tcPr>
          <w:p>
            <w:pPr>
              <w:pStyle w:val="TableParagraph"/>
              <w:spacing w:line="242" w:lineRule="exact"/>
              <w:ind w:left="107"/>
              <w:rPr>
                <w:sz w:val="24"/>
              </w:rPr>
            </w:pPr>
            <w:r>
              <w:rPr>
                <w:sz w:val="24"/>
              </w:rPr>
              <w:t>（</w:t>
            </w:r>
            <w:r>
              <w:rPr>
                <w:rFonts w:ascii="Times New Roman" w:eastAsia="Times New Roman"/>
                <w:sz w:val="24"/>
              </w:rPr>
              <w:t>4</w:t>
            </w:r>
            <w:r>
              <w:rPr>
                <w:sz w:val="24"/>
              </w:rPr>
              <w:t>） 采用对自身产生积极的态度的行为</w:t>
            </w:r>
          </w:p>
        </w:tc>
      </w:tr>
      <w:tr>
        <w:trPr>
          <w:trHeight w:val="654" w:hRule="atLeast"/>
        </w:trPr>
        <w:tc>
          <w:tcPr>
            <w:tcW w:w="795" w:type="dxa"/>
            <w:tcBorders>
              <w:top w:val="nil"/>
              <w:bottom w:val="nil"/>
            </w:tcBorders>
          </w:tcPr>
          <w:p>
            <w:pPr>
              <w:pStyle w:val="TableParagraph"/>
              <w:rPr>
                <w:rFonts w:ascii="Times New Roman"/>
                <w:sz w:val="22"/>
              </w:rPr>
            </w:pPr>
          </w:p>
        </w:tc>
        <w:tc>
          <w:tcPr>
            <w:tcW w:w="1075" w:type="dxa"/>
            <w:tcBorders>
              <w:top w:val="nil"/>
              <w:bottom w:val="nil"/>
            </w:tcBorders>
          </w:tcPr>
          <w:p>
            <w:pPr>
              <w:pStyle w:val="TableParagraph"/>
              <w:spacing w:line="242" w:lineRule="auto" w:before="12"/>
              <w:ind w:left="107" w:right="96"/>
              <w:rPr>
                <w:sz w:val="24"/>
              </w:rPr>
            </w:pPr>
            <w:r>
              <w:rPr>
                <w:spacing w:val="-25"/>
                <w:sz w:val="24"/>
              </w:rPr>
              <w:t>自 我 概</w:t>
            </w:r>
            <w:r>
              <w:rPr>
                <w:sz w:val="24"/>
              </w:rPr>
              <w:t>念；</w:t>
            </w:r>
          </w:p>
        </w:tc>
        <w:tc>
          <w:tcPr>
            <w:tcW w:w="6470" w:type="dxa"/>
            <w:tcBorders>
              <w:top w:val="nil"/>
              <w:bottom w:val="nil"/>
            </w:tcBorders>
          </w:tcPr>
          <w:p>
            <w:pPr>
              <w:pStyle w:val="TableParagraph"/>
              <w:spacing w:line="242" w:lineRule="auto"/>
              <w:ind w:left="107" w:right="97"/>
              <w:rPr>
                <w:sz w:val="24"/>
              </w:rPr>
            </w:pPr>
            <w:r>
              <w:rPr>
                <w:sz w:val="24"/>
              </w:rPr>
              <w:t>（</w:t>
            </w:r>
            <w:r>
              <w:rPr>
                <w:rFonts w:ascii="Times New Roman" w:eastAsia="Times New Roman"/>
                <w:sz w:val="24"/>
              </w:rPr>
              <w:t>5</w:t>
            </w:r>
            <w:r>
              <w:rPr>
                <w:sz w:val="24"/>
              </w:rPr>
              <w:t>） 理解我们的自我概念是如何对我们自身、社会的、教育的和专业的目标和决定产生影响的</w:t>
            </w:r>
          </w:p>
        </w:tc>
      </w:tr>
      <w:tr>
        <w:trPr>
          <w:trHeight w:val="338" w:hRule="atLeast"/>
        </w:trPr>
        <w:tc>
          <w:tcPr>
            <w:tcW w:w="795" w:type="dxa"/>
            <w:tcBorders>
              <w:top w:val="nil"/>
              <w:bottom w:val="nil"/>
            </w:tcBorders>
          </w:tcPr>
          <w:p>
            <w:pPr>
              <w:pStyle w:val="TableParagraph"/>
              <w:rPr>
                <w:rFonts w:ascii="Times New Roman"/>
                <w:sz w:val="22"/>
              </w:rPr>
            </w:pPr>
          </w:p>
        </w:tc>
        <w:tc>
          <w:tcPr>
            <w:tcW w:w="1075" w:type="dxa"/>
            <w:tcBorders>
              <w:top w:val="nil"/>
            </w:tcBorders>
          </w:tcPr>
          <w:p>
            <w:pPr>
              <w:pStyle w:val="TableParagraph"/>
              <w:rPr>
                <w:rFonts w:ascii="Times New Roman"/>
                <w:sz w:val="22"/>
              </w:rPr>
            </w:pPr>
          </w:p>
        </w:tc>
        <w:tc>
          <w:tcPr>
            <w:tcW w:w="6470" w:type="dxa"/>
            <w:tcBorders>
              <w:top w:val="nil"/>
            </w:tcBorders>
          </w:tcPr>
          <w:p>
            <w:pPr>
              <w:pStyle w:val="TableParagraph"/>
              <w:spacing w:line="289" w:lineRule="exact" w:before="30"/>
              <w:ind w:left="107"/>
              <w:rPr>
                <w:sz w:val="24"/>
              </w:rPr>
            </w:pPr>
            <w:r>
              <w:rPr>
                <w:sz w:val="24"/>
              </w:rPr>
              <w:t>（</w:t>
            </w:r>
            <w:r>
              <w:rPr>
                <w:rFonts w:ascii="Times New Roman" w:eastAsia="Times New Roman"/>
                <w:sz w:val="24"/>
              </w:rPr>
              <w:t>6</w:t>
            </w:r>
            <w:r>
              <w:rPr>
                <w:sz w:val="24"/>
              </w:rPr>
              <w:t>） 理解能够给予和接受反馈的重要性</w:t>
            </w:r>
          </w:p>
        </w:tc>
      </w:tr>
      <w:tr>
        <w:trPr>
          <w:trHeight w:val="710" w:hRule="atLeast"/>
        </w:trPr>
        <w:tc>
          <w:tcPr>
            <w:tcW w:w="795" w:type="dxa"/>
            <w:tcBorders>
              <w:top w:val="nil"/>
              <w:bottom w:val="nil"/>
            </w:tcBorders>
          </w:tcPr>
          <w:p>
            <w:pPr>
              <w:pStyle w:val="TableParagraph"/>
              <w:rPr>
                <w:rFonts w:ascii="Times New Roman"/>
                <w:sz w:val="22"/>
              </w:rPr>
            </w:pPr>
          </w:p>
        </w:tc>
        <w:tc>
          <w:tcPr>
            <w:tcW w:w="1075" w:type="dxa"/>
            <w:tcBorders>
              <w:bottom w:val="nil"/>
            </w:tcBorders>
          </w:tcPr>
          <w:p>
            <w:pPr>
              <w:pStyle w:val="TableParagraph"/>
              <w:rPr>
                <w:rFonts w:ascii="Times New Roman"/>
                <w:sz w:val="22"/>
              </w:rPr>
            </w:pPr>
          </w:p>
        </w:tc>
        <w:tc>
          <w:tcPr>
            <w:tcW w:w="6470" w:type="dxa"/>
            <w:tcBorders>
              <w:bottom w:val="nil"/>
            </w:tcBorders>
          </w:tcPr>
          <w:p>
            <w:pPr>
              <w:pStyle w:val="TableParagraph"/>
              <w:spacing w:line="242" w:lineRule="auto" w:before="62"/>
              <w:ind w:left="107" w:right="97"/>
              <w:rPr>
                <w:sz w:val="24"/>
              </w:rPr>
            </w:pPr>
            <w:r>
              <w:rPr>
                <w:sz w:val="24"/>
              </w:rPr>
              <w:t>（</w:t>
            </w:r>
            <w:r>
              <w:rPr>
                <w:rFonts w:ascii="Times New Roman" w:eastAsia="Times New Roman"/>
                <w:sz w:val="24"/>
              </w:rPr>
              <w:t>1</w:t>
            </w:r>
            <w:r>
              <w:rPr>
                <w:sz w:val="24"/>
              </w:rPr>
              <w:t>） 理解和展示能够让我们帮助或与他人合作的人际关系和组织沟通能力</w:t>
            </w:r>
          </w:p>
        </w:tc>
      </w:tr>
      <w:tr>
        <w:trPr>
          <w:trHeight w:val="1121" w:hRule="atLeast"/>
        </w:trPr>
        <w:tc>
          <w:tcPr>
            <w:tcW w:w="795" w:type="dxa"/>
            <w:tcBorders>
              <w:top w:val="nil"/>
              <w:bottom w:val="nil"/>
            </w:tcBorders>
          </w:tcPr>
          <w:p>
            <w:pPr>
              <w:pStyle w:val="TableParagraph"/>
              <w:spacing w:line="310" w:lineRule="atLeast" w:before="168"/>
              <w:ind w:left="107" w:right="195"/>
              <w:rPr>
                <w:sz w:val="24"/>
              </w:rPr>
            </w:pPr>
            <w:r>
              <w:rPr>
                <w:spacing w:val="-9"/>
                <w:sz w:val="24"/>
              </w:rPr>
              <w:t>一、</w:t>
            </w:r>
            <w:r>
              <w:rPr>
                <w:sz w:val="24"/>
              </w:rPr>
              <w:t>个 人</w:t>
            </w:r>
          </w:p>
        </w:tc>
        <w:tc>
          <w:tcPr>
            <w:tcW w:w="1075" w:type="dxa"/>
            <w:tcBorders>
              <w:top w:val="nil"/>
              <w:bottom w:val="nil"/>
            </w:tcBorders>
          </w:tcPr>
          <w:p>
            <w:pPr>
              <w:pStyle w:val="TableParagraph"/>
              <w:spacing w:before="7"/>
              <w:rPr>
                <w:sz w:val="17"/>
              </w:rPr>
            </w:pPr>
          </w:p>
          <w:p>
            <w:pPr>
              <w:pStyle w:val="TableParagraph"/>
              <w:spacing w:line="310" w:lineRule="atLeast"/>
              <w:ind w:left="107" w:right="55"/>
              <w:jc w:val="both"/>
              <w:rPr>
                <w:sz w:val="24"/>
              </w:rPr>
            </w:pPr>
            <w:r>
              <w:rPr>
                <w:rFonts w:ascii="Times New Roman" w:eastAsia="Times New Roman"/>
                <w:sz w:val="24"/>
              </w:rPr>
              <w:t>2.</w:t>
            </w:r>
            <w:r>
              <w:rPr>
                <w:spacing w:val="-6"/>
                <w:sz w:val="24"/>
              </w:rPr>
              <w:t>积极、</w:t>
            </w:r>
            <w:r>
              <w:rPr>
                <w:spacing w:val="-22"/>
                <w:sz w:val="24"/>
              </w:rPr>
              <w:t>有 效 地</w:t>
            </w:r>
            <w:r>
              <w:rPr>
                <w:spacing w:val="-26"/>
                <w:sz w:val="24"/>
              </w:rPr>
              <w:t>和 他 人</w:t>
            </w:r>
          </w:p>
        </w:tc>
        <w:tc>
          <w:tcPr>
            <w:tcW w:w="6470" w:type="dxa"/>
            <w:tcBorders>
              <w:top w:val="nil"/>
              <w:bottom w:val="nil"/>
            </w:tcBorders>
          </w:tcPr>
          <w:p>
            <w:pPr>
              <w:pStyle w:val="TableParagraph"/>
              <w:numPr>
                <w:ilvl w:val="0"/>
                <w:numId w:val="23"/>
              </w:numPr>
              <w:tabs>
                <w:tab w:pos="830" w:val="left" w:leader="none"/>
              </w:tabs>
              <w:spacing w:line="242" w:lineRule="auto" w:before="36" w:after="0"/>
              <w:ind w:left="107" w:right="97" w:firstLine="0"/>
              <w:jc w:val="left"/>
              <w:rPr>
                <w:sz w:val="24"/>
              </w:rPr>
            </w:pPr>
            <w:r>
              <w:rPr>
                <w:spacing w:val="-1"/>
                <w:sz w:val="24"/>
              </w:rPr>
              <w:t>知道如何处理同伴压力，理解我们的行为和别人的都</w:t>
            </w:r>
            <w:r>
              <w:rPr>
                <w:sz w:val="24"/>
              </w:rPr>
              <w:t>是相互关联的。</w:t>
            </w:r>
          </w:p>
          <w:p>
            <w:pPr>
              <w:pStyle w:val="TableParagraph"/>
              <w:numPr>
                <w:ilvl w:val="0"/>
                <w:numId w:val="23"/>
              </w:numPr>
              <w:tabs>
                <w:tab w:pos="828" w:val="left" w:leader="none"/>
              </w:tabs>
              <w:spacing w:line="240" w:lineRule="auto" w:before="63" w:after="0"/>
              <w:ind w:left="827" w:right="0" w:hanging="721"/>
              <w:jc w:val="left"/>
              <w:rPr>
                <w:sz w:val="24"/>
              </w:rPr>
            </w:pPr>
            <w:r>
              <w:rPr>
                <w:sz w:val="24"/>
              </w:rPr>
              <w:t>尊重多样性</w:t>
            </w:r>
          </w:p>
        </w:tc>
      </w:tr>
      <w:tr>
        <w:trPr>
          <w:trHeight w:val="290" w:hRule="atLeast"/>
        </w:trPr>
        <w:tc>
          <w:tcPr>
            <w:tcW w:w="795" w:type="dxa"/>
            <w:tcBorders>
              <w:top w:val="nil"/>
              <w:bottom w:val="nil"/>
            </w:tcBorders>
          </w:tcPr>
          <w:p>
            <w:pPr>
              <w:pStyle w:val="TableParagraph"/>
              <w:spacing w:line="259" w:lineRule="exact"/>
              <w:ind w:left="107"/>
              <w:rPr>
                <w:sz w:val="24"/>
              </w:rPr>
            </w:pPr>
            <w:r>
              <w:rPr>
                <w:sz w:val="24"/>
              </w:rPr>
              <w:t>规</w:t>
            </w:r>
          </w:p>
        </w:tc>
        <w:tc>
          <w:tcPr>
            <w:tcW w:w="1075" w:type="dxa"/>
            <w:tcBorders>
              <w:top w:val="nil"/>
              <w:bottom w:val="nil"/>
            </w:tcBorders>
          </w:tcPr>
          <w:p>
            <w:pPr>
              <w:pStyle w:val="TableParagraph"/>
              <w:spacing w:line="261" w:lineRule="exact" w:before="9"/>
              <w:ind w:left="107"/>
              <w:rPr>
                <w:sz w:val="24"/>
              </w:rPr>
            </w:pPr>
            <w:r>
              <w:rPr>
                <w:sz w:val="24"/>
              </w:rPr>
              <w:t>互动；</w:t>
            </w:r>
          </w:p>
        </w:tc>
        <w:tc>
          <w:tcPr>
            <w:tcW w:w="6470" w:type="dxa"/>
            <w:tcBorders>
              <w:top w:val="nil"/>
              <w:bottom w:val="nil"/>
            </w:tcBorders>
          </w:tcPr>
          <w:p>
            <w:pPr>
              <w:pStyle w:val="TableParagraph"/>
              <w:spacing w:line="245" w:lineRule="exact"/>
              <w:ind w:left="107"/>
              <w:rPr>
                <w:sz w:val="24"/>
              </w:rPr>
            </w:pPr>
            <w:r>
              <w:rPr>
                <w:sz w:val="24"/>
              </w:rPr>
              <w:t>（</w:t>
            </w:r>
            <w:r>
              <w:rPr>
                <w:rFonts w:ascii="Times New Roman" w:eastAsia="Times New Roman"/>
                <w:sz w:val="24"/>
              </w:rPr>
              <w:t>4</w:t>
            </w:r>
            <w:r>
              <w:rPr>
                <w:sz w:val="24"/>
              </w:rPr>
              <w:t>） 对他人诚实</w:t>
            </w:r>
          </w:p>
        </w:tc>
      </w:tr>
      <w:tr>
        <w:trPr>
          <w:trHeight w:val="666" w:hRule="atLeast"/>
        </w:trPr>
        <w:tc>
          <w:tcPr>
            <w:tcW w:w="795" w:type="dxa"/>
            <w:tcBorders>
              <w:top w:val="nil"/>
              <w:bottom w:val="nil"/>
            </w:tcBorders>
          </w:tcPr>
          <w:p>
            <w:pPr>
              <w:pStyle w:val="TableParagraph"/>
              <w:spacing w:line="281" w:lineRule="exact"/>
              <w:ind w:left="107"/>
              <w:rPr>
                <w:sz w:val="24"/>
              </w:rPr>
            </w:pPr>
            <w:r>
              <w:rPr>
                <w:sz w:val="24"/>
              </w:rPr>
              <w:t>划</w:t>
            </w:r>
          </w:p>
        </w:tc>
        <w:tc>
          <w:tcPr>
            <w:tcW w:w="1075" w:type="dxa"/>
            <w:tcBorders>
              <w:top w:val="nil"/>
              <w:bottom w:val="nil"/>
            </w:tcBorders>
          </w:tcPr>
          <w:p>
            <w:pPr>
              <w:pStyle w:val="TableParagraph"/>
              <w:rPr>
                <w:rFonts w:ascii="Times New Roman"/>
                <w:sz w:val="22"/>
              </w:rPr>
            </w:pPr>
          </w:p>
        </w:tc>
        <w:tc>
          <w:tcPr>
            <w:tcW w:w="6470" w:type="dxa"/>
            <w:tcBorders>
              <w:top w:val="nil"/>
              <w:bottom w:val="nil"/>
            </w:tcBorders>
          </w:tcPr>
          <w:p>
            <w:pPr>
              <w:pStyle w:val="TableParagraph"/>
              <w:spacing w:line="242" w:lineRule="auto" w:before="19"/>
              <w:ind w:left="107" w:right="97"/>
              <w:rPr>
                <w:sz w:val="24"/>
              </w:rPr>
            </w:pPr>
            <w:r>
              <w:rPr>
                <w:sz w:val="24"/>
              </w:rPr>
              <w:t>（</w:t>
            </w:r>
            <w:r>
              <w:rPr>
                <w:rFonts w:ascii="Times New Roman" w:eastAsia="Times New Roman"/>
                <w:sz w:val="24"/>
              </w:rPr>
              <w:t>5</w:t>
            </w:r>
            <w:r>
              <w:rPr>
                <w:sz w:val="24"/>
              </w:rPr>
              <w:t>） 理解积极的人际关系在我们个人和职业生活中的重要性</w:t>
            </w:r>
          </w:p>
        </w:tc>
      </w:tr>
      <w:tr>
        <w:trPr>
          <w:trHeight w:val="381" w:hRule="atLeast"/>
        </w:trPr>
        <w:tc>
          <w:tcPr>
            <w:tcW w:w="795" w:type="dxa"/>
            <w:tcBorders>
              <w:top w:val="nil"/>
              <w:bottom w:val="nil"/>
            </w:tcBorders>
          </w:tcPr>
          <w:p>
            <w:pPr>
              <w:pStyle w:val="TableParagraph"/>
              <w:rPr>
                <w:rFonts w:ascii="Times New Roman"/>
                <w:sz w:val="22"/>
              </w:rPr>
            </w:pPr>
          </w:p>
        </w:tc>
        <w:tc>
          <w:tcPr>
            <w:tcW w:w="1075" w:type="dxa"/>
            <w:tcBorders>
              <w:top w:val="nil"/>
              <w:bottom w:val="nil"/>
            </w:tcBorders>
          </w:tcPr>
          <w:p>
            <w:pPr>
              <w:pStyle w:val="TableParagraph"/>
              <w:rPr>
                <w:rFonts w:ascii="Times New Roman"/>
                <w:sz w:val="22"/>
              </w:rPr>
            </w:pPr>
          </w:p>
        </w:tc>
        <w:tc>
          <w:tcPr>
            <w:tcW w:w="6470" w:type="dxa"/>
            <w:tcBorders>
              <w:top w:val="nil"/>
              <w:bottom w:val="nil"/>
            </w:tcBorders>
          </w:tcPr>
          <w:p>
            <w:pPr>
              <w:pStyle w:val="TableParagraph"/>
              <w:spacing w:before="36"/>
              <w:ind w:left="107"/>
              <w:rPr>
                <w:sz w:val="24"/>
              </w:rPr>
            </w:pPr>
            <w:r>
              <w:rPr>
                <w:sz w:val="24"/>
              </w:rPr>
              <w:t>（</w:t>
            </w:r>
            <w:r>
              <w:rPr>
                <w:rFonts w:ascii="Times New Roman" w:eastAsia="Times New Roman"/>
                <w:sz w:val="24"/>
              </w:rPr>
              <w:t>6</w:t>
            </w:r>
            <w:r>
              <w:rPr>
                <w:sz w:val="24"/>
              </w:rPr>
              <w:t>） 能够用适当的方式表达个人的感情、反应和想法</w:t>
            </w:r>
          </w:p>
        </w:tc>
      </w:tr>
      <w:tr>
        <w:trPr>
          <w:trHeight w:val="396" w:hRule="atLeast"/>
        </w:trPr>
        <w:tc>
          <w:tcPr>
            <w:tcW w:w="795" w:type="dxa"/>
            <w:tcBorders>
              <w:top w:val="nil"/>
              <w:bottom w:val="nil"/>
            </w:tcBorders>
          </w:tcPr>
          <w:p>
            <w:pPr>
              <w:pStyle w:val="TableParagraph"/>
              <w:rPr>
                <w:rFonts w:ascii="Times New Roman"/>
                <w:sz w:val="22"/>
              </w:rPr>
            </w:pPr>
          </w:p>
        </w:tc>
        <w:tc>
          <w:tcPr>
            <w:tcW w:w="1075" w:type="dxa"/>
            <w:tcBorders>
              <w:top w:val="nil"/>
            </w:tcBorders>
          </w:tcPr>
          <w:p>
            <w:pPr>
              <w:pStyle w:val="TableParagraph"/>
              <w:rPr>
                <w:rFonts w:ascii="Times New Roman"/>
                <w:sz w:val="22"/>
              </w:rPr>
            </w:pPr>
          </w:p>
        </w:tc>
        <w:tc>
          <w:tcPr>
            <w:tcW w:w="6470" w:type="dxa"/>
            <w:tcBorders>
              <w:top w:val="nil"/>
            </w:tcBorders>
          </w:tcPr>
          <w:p>
            <w:pPr>
              <w:pStyle w:val="TableParagraph"/>
              <w:spacing w:before="27"/>
              <w:ind w:left="107"/>
              <w:rPr>
                <w:sz w:val="24"/>
              </w:rPr>
            </w:pPr>
            <w:r>
              <w:rPr>
                <w:sz w:val="24"/>
              </w:rPr>
              <w:t>（</w:t>
            </w:r>
            <w:r>
              <w:rPr>
                <w:rFonts w:ascii="Times New Roman" w:eastAsia="Times New Roman"/>
                <w:sz w:val="24"/>
              </w:rPr>
              <w:t>7</w:t>
            </w:r>
            <w:r>
              <w:rPr>
                <w:sz w:val="24"/>
              </w:rPr>
              <w:t>） 知道如何解决人际问题</w:t>
            </w:r>
          </w:p>
        </w:tc>
      </w:tr>
      <w:tr>
        <w:trPr>
          <w:trHeight w:val="710" w:hRule="atLeast"/>
        </w:trPr>
        <w:tc>
          <w:tcPr>
            <w:tcW w:w="795" w:type="dxa"/>
            <w:tcBorders>
              <w:top w:val="nil"/>
              <w:bottom w:val="nil"/>
            </w:tcBorders>
          </w:tcPr>
          <w:p>
            <w:pPr>
              <w:pStyle w:val="TableParagraph"/>
              <w:rPr>
                <w:rFonts w:ascii="Times New Roman"/>
                <w:sz w:val="22"/>
              </w:rPr>
            </w:pPr>
          </w:p>
        </w:tc>
        <w:tc>
          <w:tcPr>
            <w:tcW w:w="1075" w:type="dxa"/>
            <w:tcBorders>
              <w:bottom w:val="nil"/>
            </w:tcBorders>
          </w:tcPr>
          <w:p>
            <w:pPr>
              <w:pStyle w:val="TableParagraph"/>
              <w:rPr>
                <w:rFonts w:ascii="Times New Roman"/>
                <w:sz w:val="22"/>
              </w:rPr>
            </w:pPr>
          </w:p>
        </w:tc>
        <w:tc>
          <w:tcPr>
            <w:tcW w:w="6470" w:type="dxa"/>
            <w:tcBorders>
              <w:bottom w:val="nil"/>
            </w:tcBorders>
          </w:tcPr>
          <w:p>
            <w:pPr>
              <w:pStyle w:val="TableParagraph"/>
              <w:spacing w:line="242" w:lineRule="auto" w:before="62"/>
              <w:ind w:left="107" w:right="97"/>
              <w:rPr>
                <w:sz w:val="24"/>
              </w:rPr>
            </w:pPr>
            <w:r>
              <w:rPr>
                <w:sz w:val="24"/>
              </w:rPr>
              <w:t>（</w:t>
            </w:r>
            <w:r>
              <w:rPr>
                <w:rFonts w:ascii="Times New Roman" w:eastAsia="Times New Roman"/>
                <w:sz w:val="24"/>
              </w:rPr>
              <w:t>1</w:t>
            </w:r>
            <w:r>
              <w:rPr>
                <w:sz w:val="24"/>
              </w:rPr>
              <w:t>） 理解我们的动机和愿望会发生改变，我们都会经历生理和心理的变化</w:t>
            </w:r>
          </w:p>
        </w:tc>
      </w:tr>
      <w:tr>
        <w:trPr>
          <w:trHeight w:val="381" w:hRule="atLeast"/>
        </w:trPr>
        <w:tc>
          <w:tcPr>
            <w:tcW w:w="795" w:type="dxa"/>
            <w:tcBorders>
              <w:top w:val="nil"/>
              <w:bottom w:val="nil"/>
            </w:tcBorders>
          </w:tcPr>
          <w:p>
            <w:pPr>
              <w:pStyle w:val="TableParagraph"/>
              <w:rPr>
                <w:rFonts w:ascii="Times New Roman"/>
                <w:sz w:val="22"/>
              </w:rPr>
            </w:pPr>
          </w:p>
        </w:tc>
        <w:tc>
          <w:tcPr>
            <w:tcW w:w="1075" w:type="dxa"/>
            <w:tcBorders>
              <w:top w:val="nil"/>
              <w:bottom w:val="nil"/>
            </w:tcBorders>
          </w:tcPr>
          <w:p>
            <w:pPr>
              <w:pStyle w:val="TableParagraph"/>
              <w:rPr>
                <w:rFonts w:ascii="Times New Roman"/>
                <w:sz w:val="22"/>
              </w:rPr>
            </w:pPr>
          </w:p>
        </w:tc>
        <w:tc>
          <w:tcPr>
            <w:tcW w:w="6470" w:type="dxa"/>
            <w:tcBorders>
              <w:top w:val="nil"/>
              <w:bottom w:val="nil"/>
            </w:tcBorders>
          </w:tcPr>
          <w:p>
            <w:pPr>
              <w:pStyle w:val="TableParagraph"/>
              <w:spacing w:before="36"/>
              <w:ind w:left="107"/>
              <w:rPr>
                <w:sz w:val="24"/>
              </w:rPr>
            </w:pPr>
            <w:r>
              <w:rPr>
                <w:sz w:val="24"/>
              </w:rPr>
              <w:t>（</w:t>
            </w:r>
            <w:r>
              <w:rPr>
                <w:rFonts w:ascii="Times New Roman" w:eastAsia="Times New Roman"/>
                <w:sz w:val="24"/>
              </w:rPr>
              <w:t>2</w:t>
            </w:r>
            <w:r>
              <w:rPr>
                <w:sz w:val="24"/>
              </w:rPr>
              <w:t>） 意识到这些改变会怎样影响我们的生理和心理健康</w:t>
            </w:r>
          </w:p>
        </w:tc>
      </w:tr>
      <w:tr>
        <w:trPr>
          <w:trHeight w:val="372" w:hRule="atLeast"/>
        </w:trPr>
        <w:tc>
          <w:tcPr>
            <w:tcW w:w="795" w:type="dxa"/>
            <w:tcBorders>
              <w:top w:val="nil"/>
              <w:bottom w:val="nil"/>
            </w:tcBorders>
          </w:tcPr>
          <w:p>
            <w:pPr>
              <w:pStyle w:val="TableParagraph"/>
              <w:rPr>
                <w:rFonts w:ascii="Times New Roman"/>
                <w:sz w:val="22"/>
              </w:rPr>
            </w:pPr>
          </w:p>
        </w:tc>
        <w:tc>
          <w:tcPr>
            <w:tcW w:w="1075" w:type="dxa"/>
            <w:tcBorders>
              <w:top w:val="nil"/>
              <w:bottom w:val="nil"/>
            </w:tcBorders>
          </w:tcPr>
          <w:p>
            <w:pPr>
              <w:pStyle w:val="TableParagraph"/>
              <w:rPr>
                <w:rFonts w:ascii="Times New Roman"/>
                <w:sz w:val="22"/>
              </w:rPr>
            </w:pPr>
          </w:p>
        </w:tc>
        <w:tc>
          <w:tcPr>
            <w:tcW w:w="6470" w:type="dxa"/>
            <w:tcBorders>
              <w:top w:val="nil"/>
              <w:bottom w:val="nil"/>
            </w:tcBorders>
          </w:tcPr>
          <w:p>
            <w:pPr>
              <w:pStyle w:val="TableParagraph"/>
              <w:spacing w:before="27"/>
              <w:ind w:left="107"/>
              <w:rPr>
                <w:sz w:val="24"/>
              </w:rPr>
            </w:pPr>
            <w:r>
              <w:rPr>
                <w:sz w:val="24"/>
              </w:rPr>
              <w:t>（</w:t>
            </w:r>
            <w:r>
              <w:rPr>
                <w:rFonts w:ascii="Times New Roman" w:eastAsia="Times New Roman"/>
                <w:sz w:val="24"/>
              </w:rPr>
              <w:t>3</w:t>
            </w:r>
            <w:r>
              <w:rPr>
                <w:sz w:val="24"/>
              </w:rPr>
              <w:t>） 展示良好的卫生习惯</w:t>
            </w:r>
          </w:p>
        </w:tc>
      </w:tr>
      <w:tr>
        <w:trPr>
          <w:trHeight w:val="717" w:hRule="atLeast"/>
        </w:trPr>
        <w:tc>
          <w:tcPr>
            <w:tcW w:w="795" w:type="dxa"/>
            <w:tcBorders>
              <w:top w:val="nil"/>
              <w:bottom w:val="nil"/>
            </w:tcBorders>
          </w:tcPr>
          <w:p>
            <w:pPr>
              <w:pStyle w:val="TableParagraph"/>
              <w:rPr>
                <w:rFonts w:ascii="Times New Roman"/>
                <w:sz w:val="22"/>
              </w:rPr>
            </w:pPr>
          </w:p>
        </w:tc>
        <w:tc>
          <w:tcPr>
            <w:tcW w:w="1075" w:type="dxa"/>
            <w:tcBorders>
              <w:top w:val="nil"/>
              <w:bottom w:val="nil"/>
            </w:tcBorders>
          </w:tcPr>
          <w:p>
            <w:pPr>
              <w:pStyle w:val="TableParagraph"/>
              <w:spacing w:line="310" w:lineRule="atLeast" w:before="84"/>
              <w:ind w:left="107" w:right="96"/>
              <w:rPr>
                <w:sz w:val="24"/>
              </w:rPr>
            </w:pPr>
            <w:r>
              <w:rPr>
                <w:rFonts w:ascii="Times New Roman" w:eastAsia="Times New Roman"/>
                <w:sz w:val="24"/>
              </w:rPr>
              <w:t>3. </w:t>
            </w:r>
            <w:r>
              <w:rPr>
                <w:spacing w:val="-20"/>
                <w:sz w:val="24"/>
              </w:rPr>
              <w:t>随 着</w:t>
            </w:r>
            <w:r>
              <w:rPr>
                <w:spacing w:val="-25"/>
                <w:sz w:val="24"/>
              </w:rPr>
              <w:t>生 活 不</w:t>
            </w:r>
          </w:p>
        </w:tc>
        <w:tc>
          <w:tcPr>
            <w:tcW w:w="6470" w:type="dxa"/>
            <w:tcBorders>
              <w:top w:val="nil"/>
              <w:bottom w:val="nil"/>
            </w:tcBorders>
          </w:tcPr>
          <w:p>
            <w:pPr>
              <w:pStyle w:val="TableParagraph"/>
              <w:numPr>
                <w:ilvl w:val="0"/>
                <w:numId w:val="24"/>
              </w:numPr>
              <w:tabs>
                <w:tab w:pos="828" w:val="left" w:leader="none"/>
              </w:tabs>
              <w:spacing w:line="240" w:lineRule="auto" w:before="27" w:after="0"/>
              <w:ind w:left="827" w:right="0" w:hanging="721"/>
              <w:jc w:val="left"/>
              <w:rPr>
                <w:sz w:val="24"/>
              </w:rPr>
            </w:pPr>
            <w:r>
              <w:rPr>
                <w:sz w:val="24"/>
              </w:rPr>
              <w:t>知道怎样应对压力</w:t>
            </w:r>
          </w:p>
          <w:p>
            <w:pPr>
              <w:pStyle w:val="TableParagraph"/>
              <w:numPr>
                <w:ilvl w:val="0"/>
                <w:numId w:val="24"/>
              </w:numPr>
              <w:tabs>
                <w:tab w:pos="828" w:val="left" w:leader="none"/>
              </w:tabs>
              <w:spacing w:line="299" w:lineRule="exact" w:before="64" w:after="0"/>
              <w:ind w:left="827" w:right="0" w:hanging="721"/>
              <w:jc w:val="left"/>
              <w:rPr>
                <w:sz w:val="24"/>
              </w:rPr>
            </w:pPr>
            <w:r>
              <w:rPr>
                <w:sz w:val="24"/>
              </w:rPr>
              <w:t>能表达自我情感</w:t>
            </w:r>
          </w:p>
        </w:tc>
      </w:tr>
      <w:tr>
        <w:trPr>
          <w:trHeight w:val="342" w:hRule="atLeast"/>
        </w:trPr>
        <w:tc>
          <w:tcPr>
            <w:tcW w:w="795" w:type="dxa"/>
            <w:tcBorders>
              <w:top w:val="nil"/>
              <w:bottom w:val="nil"/>
            </w:tcBorders>
          </w:tcPr>
          <w:p>
            <w:pPr>
              <w:pStyle w:val="TableParagraph"/>
              <w:rPr>
                <w:rFonts w:ascii="Times New Roman"/>
                <w:sz w:val="22"/>
              </w:rPr>
            </w:pPr>
          </w:p>
        </w:tc>
        <w:tc>
          <w:tcPr>
            <w:tcW w:w="1075" w:type="dxa"/>
            <w:tcBorders>
              <w:top w:val="nil"/>
              <w:bottom w:val="nil"/>
            </w:tcBorders>
          </w:tcPr>
          <w:p>
            <w:pPr>
              <w:pStyle w:val="TableParagraph"/>
              <w:spacing w:line="301" w:lineRule="exact"/>
              <w:ind w:left="107"/>
              <w:rPr>
                <w:sz w:val="24"/>
              </w:rPr>
            </w:pPr>
            <w:r>
              <w:rPr>
                <w:spacing w:val="-22"/>
                <w:sz w:val="24"/>
              </w:rPr>
              <w:t>断 改 变</w:t>
            </w:r>
          </w:p>
        </w:tc>
        <w:tc>
          <w:tcPr>
            <w:tcW w:w="6470" w:type="dxa"/>
            <w:tcBorders>
              <w:top w:val="nil"/>
              <w:bottom w:val="nil"/>
            </w:tcBorders>
          </w:tcPr>
          <w:p>
            <w:pPr>
              <w:pStyle w:val="TableParagraph"/>
              <w:spacing w:line="269" w:lineRule="exact" w:before="53"/>
              <w:ind w:left="107"/>
              <w:rPr>
                <w:sz w:val="24"/>
              </w:rPr>
            </w:pPr>
            <w:r>
              <w:rPr>
                <w:sz w:val="24"/>
              </w:rPr>
              <w:t>（</w:t>
            </w:r>
            <w:r>
              <w:rPr>
                <w:rFonts w:ascii="Times New Roman" w:eastAsia="Times New Roman"/>
                <w:sz w:val="24"/>
              </w:rPr>
              <w:t>6</w:t>
            </w:r>
            <w:r>
              <w:rPr>
                <w:sz w:val="24"/>
              </w:rPr>
              <w:t>） 能够寻求帮助</w:t>
            </w:r>
          </w:p>
        </w:tc>
      </w:tr>
      <w:tr>
        <w:trPr>
          <w:trHeight w:val="731" w:hRule="atLeast"/>
        </w:trPr>
        <w:tc>
          <w:tcPr>
            <w:tcW w:w="795" w:type="dxa"/>
            <w:tcBorders>
              <w:top w:val="nil"/>
              <w:bottom w:val="nil"/>
            </w:tcBorders>
          </w:tcPr>
          <w:p>
            <w:pPr>
              <w:pStyle w:val="TableParagraph"/>
              <w:rPr>
                <w:rFonts w:ascii="Times New Roman"/>
                <w:sz w:val="22"/>
              </w:rPr>
            </w:pPr>
          </w:p>
        </w:tc>
        <w:tc>
          <w:tcPr>
            <w:tcW w:w="1075" w:type="dxa"/>
            <w:tcBorders>
              <w:top w:val="nil"/>
              <w:bottom w:val="nil"/>
            </w:tcBorders>
          </w:tcPr>
          <w:p>
            <w:pPr>
              <w:pStyle w:val="TableParagraph"/>
              <w:spacing w:line="271" w:lineRule="exact"/>
              <w:ind w:left="107" w:right="-15"/>
              <w:rPr>
                <w:sz w:val="24"/>
              </w:rPr>
            </w:pPr>
            <w:r>
              <w:rPr>
                <w:sz w:val="24"/>
              </w:rPr>
              <w:t>和成长；</w:t>
            </w:r>
          </w:p>
        </w:tc>
        <w:tc>
          <w:tcPr>
            <w:tcW w:w="6470" w:type="dxa"/>
            <w:tcBorders>
              <w:top w:val="nil"/>
              <w:bottom w:val="nil"/>
            </w:tcBorders>
          </w:tcPr>
          <w:p>
            <w:pPr>
              <w:pStyle w:val="TableParagraph"/>
              <w:spacing w:line="242" w:lineRule="auto" w:before="83"/>
              <w:ind w:left="107" w:right="97"/>
              <w:rPr>
                <w:sz w:val="24"/>
              </w:rPr>
            </w:pPr>
            <w:r>
              <w:rPr>
                <w:sz w:val="24"/>
              </w:rPr>
              <w:t>（</w:t>
            </w:r>
            <w:r>
              <w:rPr>
                <w:rFonts w:ascii="Times New Roman" w:eastAsia="Times New Roman"/>
                <w:sz w:val="24"/>
              </w:rPr>
              <w:t>7</w:t>
            </w:r>
            <w:r>
              <w:rPr>
                <w:sz w:val="24"/>
              </w:rPr>
              <w:t>） 意识到生理和心理健康是如何影响我们的生活、学习和工作方面的决定</w:t>
            </w:r>
          </w:p>
        </w:tc>
      </w:tr>
      <w:tr>
        <w:trPr>
          <w:trHeight w:val="683" w:hRule="atLeast"/>
        </w:trPr>
        <w:tc>
          <w:tcPr>
            <w:tcW w:w="795" w:type="dxa"/>
            <w:tcBorders>
              <w:top w:val="nil"/>
              <w:bottom w:val="nil"/>
            </w:tcBorders>
          </w:tcPr>
          <w:p>
            <w:pPr>
              <w:pStyle w:val="TableParagraph"/>
              <w:rPr>
                <w:rFonts w:ascii="Times New Roman"/>
                <w:sz w:val="22"/>
              </w:rPr>
            </w:pPr>
          </w:p>
        </w:tc>
        <w:tc>
          <w:tcPr>
            <w:tcW w:w="1075" w:type="dxa"/>
            <w:tcBorders>
              <w:top w:val="nil"/>
              <w:bottom w:val="nil"/>
            </w:tcBorders>
          </w:tcPr>
          <w:p>
            <w:pPr>
              <w:pStyle w:val="TableParagraph"/>
              <w:rPr>
                <w:rFonts w:ascii="Times New Roman"/>
                <w:sz w:val="22"/>
              </w:rPr>
            </w:pPr>
          </w:p>
        </w:tc>
        <w:tc>
          <w:tcPr>
            <w:tcW w:w="6470" w:type="dxa"/>
            <w:tcBorders>
              <w:top w:val="nil"/>
              <w:bottom w:val="nil"/>
            </w:tcBorders>
          </w:tcPr>
          <w:p>
            <w:pPr>
              <w:pStyle w:val="TableParagraph"/>
              <w:spacing w:line="242" w:lineRule="auto" w:before="36"/>
              <w:ind w:left="107" w:right="97"/>
              <w:rPr>
                <w:sz w:val="24"/>
              </w:rPr>
            </w:pPr>
            <w:r>
              <w:rPr>
                <w:sz w:val="24"/>
              </w:rPr>
              <w:t>（</w:t>
            </w:r>
            <w:r>
              <w:rPr>
                <w:rFonts w:ascii="Times New Roman" w:eastAsia="Times New Roman"/>
                <w:sz w:val="24"/>
              </w:rPr>
              <w:t>8</w:t>
            </w:r>
            <w:r>
              <w:rPr>
                <w:sz w:val="24"/>
              </w:rPr>
              <w:t>） 意识到与工作相关的改变会影响我们的生活，也许需要相称的生活变化</w:t>
            </w:r>
          </w:p>
        </w:tc>
      </w:tr>
      <w:tr>
        <w:trPr>
          <w:trHeight w:val="777" w:hRule="atLeast"/>
        </w:trPr>
        <w:tc>
          <w:tcPr>
            <w:tcW w:w="795" w:type="dxa"/>
            <w:tcBorders>
              <w:top w:val="nil"/>
            </w:tcBorders>
          </w:tcPr>
          <w:p>
            <w:pPr>
              <w:pStyle w:val="TableParagraph"/>
              <w:rPr>
                <w:rFonts w:ascii="Times New Roman"/>
                <w:sz w:val="22"/>
              </w:rPr>
            </w:pPr>
          </w:p>
        </w:tc>
        <w:tc>
          <w:tcPr>
            <w:tcW w:w="1075" w:type="dxa"/>
            <w:tcBorders>
              <w:top w:val="nil"/>
            </w:tcBorders>
          </w:tcPr>
          <w:p>
            <w:pPr>
              <w:pStyle w:val="TableParagraph"/>
              <w:rPr>
                <w:rFonts w:ascii="Times New Roman"/>
                <w:sz w:val="22"/>
              </w:rPr>
            </w:pPr>
          </w:p>
        </w:tc>
        <w:tc>
          <w:tcPr>
            <w:tcW w:w="6470" w:type="dxa"/>
            <w:tcBorders>
              <w:top w:val="nil"/>
            </w:tcBorders>
          </w:tcPr>
          <w:p>
            <w:pPr>
              <w:pStyle w:val="TableParagraph"/>
              <w:spacing w:before="36"/>
              <w:ind w:left="107"/>
              <w:rPr>
                <w:sz w:val="24"/>
              </w:rPr>
            </w:pPr>
            <w:r>
              <w:rPr>
                <w:sz w:val="24"/>
              </w:rPr>
              <w:t>（</w:t>
            </w:r>
            <w:r>
              <w:rPr>
                <w:rFonts w:ascii="Times New Roman" w:eastAsia="Times New Roman"/>
                <w:sz w:val="24"/>
              </w:rPr>
              <w:t>9</w:t>
            </w:r>
            <w:r>
              <w:rPr>
                <w:sz w:val="24"/>
              </w:rPr>
              <w:t>） 知道怎样适应我们各个生活领域的改变</w:t>
            </w:r>
          </w:p>
        </w:tc>
      </w:tr>
    </w:tbl>
    <w:p>
      <w:pPr>
        <w:spacing w:after="0"/>
        <w:rPr>
          <w:sz w:val="24"/>
        </w:rPr>
        <w:sectPr>
          <w:pgSz w:w="11910" w:h="16840"/>
          <w:pgMar w:header="878" w:footer="1160" w:top="1300" w:bottom="1380" w:left="480" w:right="220"/>
        </w:sectPr>
      </w:pPr>
    </w:p>
    <w:p>
      <w:pPr>
        <w:pStyle w:val="BodyText"/>
        <w:spacing w:before="133"/>
        <w:ind w:right="261"/>
        <w:jc w:val="center"/>
      </w:pPr>
      <w:r>
        <w:rPr/>
        <w:t>表 </w:t>
      </w:r>
      <w:r>
        <w:rPr>
          <w:rFonts w:ascii="Times New Roman" w:eastAsia="Times New Roman"/>
        </w:rPr>
        <w:t>2.4  </w:t>
      </w:r>
      <w:r>
        <w:rPr/>
        <w:t>（续）</w:t>
      </w:r>
    </w:p>
    <w:p>
      <w:pPr>
        <w:pStyle w:val="BodyText"/>
        <w:spacing w:before="10"/>
        <w:rPr>
          <w:sz w:val="4"/>
        </w:rPr>
      </w:pPr>
    </w:p>
    <w:tbl>
      <w:tblPr>
        <w:tblW w:w="0" w:type="auto"/>
        <w:jc w:val="left"/>
        <w:tblInd w:w="1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95"/>
        <w:gridCol w:w="1080"/>
        <w:gridCol w:w="765"/>
        <w:gridCol w:w="5684"/>
      </w:tblGrid>
      <w:tr>
        <w:trPr>
          <w:trHeight w:val="408" w:hRule="atLeast"/>
        </w:trPr>
        <w:tc>
          <w:tcPr>
            <w:tcW w:w="695" w:type="dxa"/>
            <w:tcBorders>
              <w:bottom w:val="nil"/>
            </w:tcBorders>
          </w:tcPr>
          <w:p>
            <w:pPr>
              <w:pStyle w:val="TableParagraph"/>
              <w:rPr>
                <w:rFonts w:ascii="Times New Roman"/>
                <w:sz w:val="22"/>
              </w:rPr>
            </w:pPr>
          </w:p>
        </w:tc>
        <w:tc>
          <w:tcPr>
            <w:tcW w:w="1080" w:type="dxa"/>
            <w:tcBorders>
              <w:bottom w:val="nil"/>
            </w:tcBorders>
          </w:tcPr>
          <w:p>
            <w:pPr>
              <w:pStyle w:val="TableParagraph"/>
              <w:rPr>
                <w:rFonts w:ascii="Times New Roman"/>
                <w:sz w:val="22"/>
              </w:rPr>
            </w:pPr>
          </w:p>
        </w:tc>
        <w:tc>
          <w:tcPr>
            <w:tcW w:w="6449" w:type="dxa"/>
            <w:gridSpan w:val="2"/>
            <w:tcBorders>
              <w:bottom w:val="nil"/>
            </w:tcBorders>
          </w:tcPr>
          <w:p>
            <w:pPr>
              <w:pStyle w:val="TableParagraph"/>
              <w:spacing w:before="63"/>
              <w:ind w:left="107"/>
              <w:rPr>
                <w:sz w:val="24"/>
              </w:rPr>
            </w:pPr>
            <w:r>
              <w:rPr>
                <w:sz w:val="24"/>
              </w:rPr>
              <w:t>（</w:t>
            </w:r>
            <w:r>
              <w:rPr>
                <w:rFonts w:ascii="Times New Roman" w:eastAsia="Times New Roman"/>
                <w:sz w:val="24"/>
              </w:rPr>
              <w:t>1</w:t>
            </w:r>
            <w:r>
              <w:rPr>
                <w:sz w:val="24"/>
              </w:rPr>
              <w:t>） 理解技能是怎样转移的</w:t>
            </w:r>
          </w:p>
        </w:tc>
      </w:tr>
      <w:tr>
        <w:trPr>
          <w:trHeight w:val="371" w:hRule="atLeast"/>
        </w:trPr>
        <w:tc>
          <w:tcPr>
            <w:tcW w:w="695" w:type="dxa"/>
            <w:tcBorders>
              <w:top w:val="nil"/>
              <w:bottom w:val="nil"/>
            </w:tcBorders>
          </w:tcPr>
          <w:p>
            <w:pPr>
              <w:pStyle w:val="TableParagraph"/>
              <w:rPr>
                <w:rFonts w:ascii="Times New Roman"/>
                <w:sz w:val="22"/>
              </w:rPr>
            </w:pPr>
          </w:p>
        </w:tc>
        <w:tc>
          <w:tcPr>
            <w:tcW w:w="1080" w:type="dxa"/>
            <w:tcBorders>
              <w:top w:val="nil"/>
              <w:bottom w:val="nil"/>
            </w:tcBorders>
          </w:tcPr>
          <w:p>
            <w:pPr>
              <w:pStyle w:val="TableParagraph"/>
              <w:rPr>
                <w:rFonts w:ascii="Times New Roman"/>
                <w:sz w:val="22"/>
              </w:rPr>
            </w:pPr>
          </w:p>
        </w:tc>
        <w:tc>
          <w:tcPr>
            <w:tcW w:w="6449" w:type="dxa"/>
            <w:gridSpan w:val="2"/>
            <w:tcBorders>
              <w:top w:val="nil"/>
              <w:bottom w:val="nil"/>
            </w:tcBorders>
          </w:tcPr>
          <w:p>
            <w:pPr>
              <w:pStyle w:val="TableParagraph"/>
              <w:spacing w:before="27"/>
              <w:ind w:left="107"/>
              <w:rPr>
                <w:sz w:val="24"/>
              </w:rPr>
            </w:pPr>
            <w:r>
              <w:rPr>
                <w:sz w:val="24"/>
              </w:rPr>
              <w:t>（</w:t>
            </w:r>
            <w:r>
              <w:rPr>
                <w:rFonts w:ascii="Times New Roman" w:eastAsia="Times New Roman"/>
                <w:sz w:val="24"/>
              </w:rPr>
              <w:t>2</w:t>
            </w:r>
            <w:r>
              <w:rPr>
                <w:sz w:val="24"/>
              </w:rPr>
              <w:t>） 知道影响成功的生活和工作的因素</w:t>
            </w:r>
          </w:p>
        </w:tc>
      </w:tr>
      <w:tr>
        <w:trPr>
          <w:trHeight w:val="687" w:hRule="atLeast"/>
        </w:trPr>
        <w:tc>
          <w:tcPr>
            <w:tcW w:w="695" w:type="dxa"/>
            <w:tcBorders>
              <w:top w:val="nil"/>
              <w:bottom w:val="nil"/>
            </w:tcBorders>
          </w:tcPr>
          <w:p>
            <w:pPr>
              <w:pStyle w:val="TableParagraph"/>
              <w:rPr>
                <w:rFonts w:ascii="Times New Roman"/>
                <w:sz w:val="22"/>
              </w:rPr>
            </w:pPr>
          </w:p>
        </w:tc>
        <w:tc>
          <w:tcPr>
            <w:tcW w:w="1080" w:type="dxa"/>
            <w:tcBorders>
              <w:top w:val="nil"/>
              <w:bottom w:val="nil"/>
            </w:tcBorders>
          </w:tcPr>
          <w:p>
            <w:pPr>
              <w:pStyle w:val="TableParagraph"/>
              <w:spacing w:line="242" w:lineRule="auto" w:before="27"/>
              <w:ind w:left="107" w:right="96"/>
              <w:rPr>
                <w:sz w:val="24"/>
              </w:rPr>
            </w:pPr>
            <w:r>
              <w:rPr>
                <w:rFonts w:ascii="Times New Roman" w:eastAsia="Times New Roman"/>
                <w:sz w:val="24"/>
              </w:rPr>
              <w:t>4. </w:t>
            </w:r>
            <w:r>
              <w:rPr>
                <w:spacing w:val="-18"/>
                <w:sz w:val="24"/>
              </w:rPr>
              <w:t>参 与</w:t>
            </w:r>
            <w:r>
              <w:rPr>
                <w:spacing w:val="-23"/>
                <w:sz w:val="24"/>
              </w:rPr>
              <w:t>终 身 学</w:t>
            </w:r>
          </w:p>
        </w:tc>
        <w:tc>
          <w:tcPr>
            <w:tcW w:w="6449" w:type="dxa"/>
            <w:gridSpan w:val="2"/>
            <w:tcBorders>
              <w:top w:val="nil"/>
              <w:bottom w:val="nil"/>
            </w:tcBorders>
          </w:tcPr>
          <w:p>
            <w:pPr>
              <w:pStyle w:val="TableParagraph"/>
              <w:numPr>
                <w:ilvl w:val="0"/>
                <w:numId w:val="25"/>
              </w:numPr>
              <w:tabs>
                <w:tab w:pos="828" w:val="left" w:leader="none"/>
              </w:tabs>
              <w:spacing w:line="240" w:lineRule="auto" w:before="27" w:after="0"/>
              <w:ind w:left="827" w:right="0" w:hanging="721"/>
              <w:jc w:val="left"/>
              <w:rPr>
                <w:sz w:val="24"/>
              </w:rPr>
            </w:pPr>
            <w:r>
              <w:rPr>
                <w:sz w:val="24"/>
              </w:rPr>
              <w:t>了解怎样提高我们的强项、技能和知识</w:t>
            </w:r>
          </w:p>
          <w:p>
            <w:pPr>
              <w:pStyle w:val="TableParagraph"/>
              <w:numPr>
                <w:ilvl w:val="0"/>
                <w:numId w:val="25"/>
              </w:numPr>
              <w:tabs>
                <w:tab w:pos="828" w:val="left" w:leader="none"/>
              </w:tabs>
              <w:spacing w:line="269" w:lineRule="exact" w:before="64" w:after="0"/>
              <w:ind w:left="827" w:right="0" w:hanging="721"/>
              <w:jc w:val="left"/>
              <w:rPr>
                <w:sz w:val="24"/>
              </w:rPr>
            </w:pPr>
            <w:r>
              <w:rPr>
                <w:sz w:val="24"/>
              </w:rPr>
              <w:t>了解学习机会</w:t>
            </w:r>
          </w:p>
        </w:tc>
      </w:tr>
      <w:tr>
        <w:trPr>
          <w:trHeight w:val="1484" w:hRule="atLeast"/>
        </w:trPr>
        <w:tc>
          <w:tcPr>
            <w:tcW w:w="695" w:type="dxa"/>
            <w:tcBorders>
              <w:top w:val="nil"/>
              <w:bottom w:val="nil"/>
            </w:tcBorders>
          </w:tcPr>
          <w:p>
            <w:pPr>
              <w:pStyle w:val="TableParagraph"/>
              <w:rPr>
                <w:rFonts w:ascii="Times New Roman"/>
                <w:sz w:val="22"/>
              </w:rPr>
            </w:pPr>
          </w:p>
        </w:tc>
        <w:tc>
          <w:tcPr>
            <w:tcW w:w="1080" w:type="dxa"/>
            <w:tcBorders>
              <w:top w:val="nil"/>
              <w:bottom w:val="nil"/>
            </w:tcBorders>
          </w:tcPr>
          <w:p>
            <w:pPr>
              <w:pStyle w:val="TableParagraph"/>
              <w:spacing w:line="271" w:lineRule="exact"/>
              <w:ind w:left="107"/>
              <w:jc w:val="both"/>
              <w:rPr>
                <w:sz w:val="24"/>
              </w:rPr>
            </w:pPr>
            <w:r>
              <w:rPr>
                <w:sz w:val="24"/>
              </w:rPr>
              <w:t>习 促 进</w:t>
            </w:r>
          </w:p>
          <w:p>
            <w:pPr>
              <w:pStyle w:val="TableParagraph"/>
              <w:spacing w:line="242" w:lineRule="auto" w:before="4"/>
              <w:ind w:left="107" w:right="96"/>
              <w:jc w:val="both"/>
              <w:rPr>
                <w:sz w:val="24"/>
              </w:rPr>
            </w:pPr>
            <w:r>
              <w:rPr>
                <w:spacing w:val="-23"/>
                <w:sz w:val="24"/>
              </w:rPr>
              <w:t>生 涯 目标 的 实</w:t>
            </w:r>
            <w:r>
              <w:rPr>
                <w:sz w:val="24"/>
              </w:rPr>
              <w:t>现；</w:t>
            </w:r>
          </w:p>
        </w:tc>
        <w:tc>
          <w:tcPr>
            <w:tcW w:w="6449" w:type="dxa"/>
            <w:gridSpan w:val="2"/>
            <w:tcBorders>
              <w:top w:val="nil"/>
              <w:bottom w:val="nil"/>
            </w:tcBorders>
          </w:tcPr>
          <w:p>
            <w:pPr>
              <w:pStyle w:val="TableParagraph"/>
              <w:numPr>
                <w:ilvl w:val="0"/>
                <w:numId w:val="26"/>
              </w:numPr>
              <w:tabs>
                <w:tab w:pos="823" w:val="left" w:leader="none"/>
              </w:tabs>
              <w:spacing w:line="242" w:lineRule="auto" w:before="83" w:after="0"/>
              <w:ind w:left="107" w:right="94" w:firstLine="0"/>
              <w:jc w:val="left"/>
              <w:rPr>
                <w:sz w:val="24"/>
              </w:rPr>
            </w:pPr>
            <w:r>
              <w:rPr>
                <w:spacing w:val="-1"/>
                <w:sz w:val="24"/>
              </w:rPr>
              <w:t>理解教育水平和学习或工作选择之间的关系是对我们</w:t>
            </w:r>
            <w:r>
              <w:rPr>
                <w:sz w:val="24"/>
              </w:rPr>
              <w:t>开放的</w:t>
            </w:r>
          </w:p>
          <w:p>
            <w:pPr>
              <w:pStyle w:val="TableParagraph"/>
              <w:numPr>
                <w:ilvl w:val="0"/>
                <w:numId w:val="26"/>
              </w:numPr>
              <w:tabs>
                <w:tab w:pos="828" w:val="left" w:leader="none"/>
              </w:tabs>
              <w:spacing w:line="240" w:lineRule="auto" w:before="63" w:after="0"/>
              <w:ind w:left="827" w:right="0" w:hanging="721"/>
              <w:jc w:val="left"/>
              <w:rPr>
                <w:sz w:val="24"/>
              </w:rPr>
            </w:pPr>
            <w:r>
              <w:rPr>
                <w:sz w:val="24"/>
              </w:rPr>
              <w:t>展示有助于实现个人和事业目标的行为和态度</w:t>
            </w:r>
          </w:p>
          <w:p>
            <w:pPr>
              <w:pStyle w:val="TableParagraph"/>
              <w:numPr>
                <w:ilvl w:val="0"/>
                <w:numId w:val="26"/>
              </w:numPr>
              <w:tabs>
                <w:tab w:pos="828" w:val="left" w:leader="none"/>
              </w:tabs>
              <w:spacing w:line="240" w:lineRule="auto" w:before="64" w:after="0"/>
              <w:ind w:left="827" w:right="0" w:hanging="721"/>
              <w:jc w:val="left"/>
              <w:rPr>
                <w:sz w:val="24"/>
              </w:rPr>
            </w:pPr>
            <w:r>
              <w:rPr>
                <w:sz w:val="24"/>
              </w:rPr>
              <w:t>有个人和职业学习计划</w:t>
            </w:r>
          </w:p>
        </w:tc>
      </w:tr>
      <w:tr>
        <w:trPr>
          <w:trHeight w:val="395" w:hRule="atLeast"/>
        </w:trPr>
        <w:tc>
          <w:tcPr>
            <w:tcW w:w="695" w:type="dxa"/>
            <w:tcBorders>
              <w:top w:val="nil"/>
              <w:bottom w:val="nil"/>
            </w:tcBorders>
          </w:tcPr>
          <w:p>
            <w:pPr>
              <w:pStyle w:val="TableParagraph"/>
              <w:rPr>
                <w:rFonts w:ascii="Times New Roman"/>
                <w:sz w:val="22"/>
              </w:rPr>
            </w:pPr>
          </w:p>
        </w:tc>
        <w:tc>
          <w:tcPr>
            <w:tcW w:w="1080" w:type="dxa"/>
            <w:tcBorders>
              <w:top w:val="nil"/>
            </w:tcBorders>
          </w:tcPr>
          <w:p>
            <w:pPr>
              <w:pStyle w:val="TableParagraph"/>
              <w:rPr>
                <w:rFonts w:ascii="Times New Roman"/>
                <w:sz w:val="22"/>
              </w:rPr>
            </w:pPr>
          </w:p>
        </w:tc>
        <w:tc>
          <w:tcPr>
            <w:tcW w:w="6449" w:type="dxa"/>
            <w:gridSpan w:val="2"/>
            <w:tcBorders>
              <w:top w:val="nil"/>
            </w:tcBorders>
          </w:tcPr>
          <w:p>
            <w:pPr>
              <w:pStyle w:val="TableParagraph"/>
              <w:spacing w:before="27"/>
              <w:ind w:left="107"/>
              <w:rPr>
                <w:sz w:val="24"/>
              </w:rPr>
            </w:pPr>
            <w:r>
              <w:rPr>
                <w:sz w:val="24"/>
              </w:rPr>
              <w:t>（</w:t>
            </w:r>
            <w:r>
              <w:rPr>
                <w:rFonts w:ascii="Times New Roman" w:eastAsia="Times New Roman"/>
                <w:sz w:val="24"/>
              </w:rPr>
              <w:t>8</w:t>
            </w:r>
            <w:r>
              <w:rPr>
                <w:sz w:val="24"/>
              </w:rPr>
              <w:t>） 进行持续的学习活动</w:t>
            </w:r>
          </w:p>
        </w:tc>
      </w:tr>
      <w:tr>
        <w:trPr>
          <w:trHeight w:val="406" w:hRule="atLeast"/>
        </w:trPr>
        <w:tc>
          <w:tcPr>
            <w:tcW w:w="695" w:type="dxa"/>
            <w:tcBorders>
              <w:top w:val="nil"/>
              <w:bottom w:val="nil"/>
            </w:tcBorders>
          </w:tcPr>
          <w:p>
            <w:pPr>
              <w:pStyle w:val="TableParagraph"/>
              <w:rPr>
                <w:rFonts w:ascii="Times New Roman"/>
                <w:sz w:val="22"/>
              </w:rPr>
            </w:pPr>
          </w:p>
        </w:tc>
        <w:tc>
          <w:tcPr>
            <w:tcW w:w="1080" w:type="dxa"/>
            <w:tcBorders>
              <w:bottom w:val="nil"/>
            </w:tcBorders>
          </w:tcPr>
          <w:p>
            <w:pPr>
              <w:pStyle w:val="TableParagraph"/>
              <w:rPr>
                <w:rFonts w:ascii="Times New Roman"/>
                <w:sz w:val="22"/>
              </w:rPr>
            </w:pPr>
          </w:p>
        </w:tc>
        <w:tc>
          <w:tcPr>
            <w:tcW w:w="6449" w:type="dxa"/>
            <w:gridSpan w:val="2"/>
            <w:tcBorders>
              <w:bottom w:val="nil"/>
            </w:tcBorders>
          </w:tcPr>
          <w:p>
            <w:pPr>
              <w:pStyle w:val="TableParagraph"/>
              <w:spacing w:before="62"/>
              <w:ind w:left="107"/>
              <w:rPr>
                <w:sz w:val="24"/>
              </w:rPr>
            </w:pPr>
            <w:r>
              <w:rPr>
                <w:sz w:val="24"/>
              </w:rPr>
              <w:t>（</w:t>
            </w:r>
            <w:r>
              <w:rPr>
                <w:rFonts w:ascii="Times New Roman" w:eastAsia="Times New Roman"/>
                <w:sz w:val="24"/>
              </w:rPr>
              <w:t>1</w:t>
            </w:r>
            <w:r>
              <w:rPr>
                <w:sz w:val="24"/>
              </w:rPr>
              <w:t>） 了解获取有效生涯信息的途径与方法</w:t>
            </w:r>
          </w:p>
        </w:tc>
      </w:tr>
      <w:tr>
        <w:trPr>
          <w:trHeight w:val="342" w:hRule="atLeast"/>
        </w:trPr>
        <w:tc>
          <w:tcPr>
            <w:tcW w:w="695" w:type="dxa"/>
            <w:tcBorders>
              <w:top w:val="nil"/>
              <w:bottom w:val="nil"/>
            </w:tcBorders>
          </w:tcPr>
          <w:p>
            <w:pPr>
              <w:pStyle w:val="TableParagraph"/>
              <w:spacing w:line="304" w:lineRule="exact" w:before="18"/>
              <w:ind w:left="106"/>
              <w:rPr>
                <w:sz w:val="24"/>
              </w:rPr>
            </w:pPr>
            <w:r>
              <w:rPr>
                <w:sz w:val="24"/>
              </w:rPr>
              <w:t>二、</w:t>
            </w:r>
          </w:p>
        </w:tc>
        <w:tc>
          <w:tcPr>
            <w:tcW w:w="1080" w:type="dxa"/>
            <w:tcBorders>
              <w:top w:val="nil"/>
              <w:bottom w:val="nil"/>
            </w:tcBorders>
          </w:tcPr>
          <w:p>
            <w:pPr>
              <w:pStyle w:val="TableParagraph"/>
              <w:rPr>
                <w:rFonts w:ascii="Times New Roman"/>
                <w:sz w:val="22"/>
              </w:rPr>
            </w:pPr>
          </w:p>
        </w:tc>
        <w:tc>
          <w:tcPr>
            <w:tcW w:w="6449" w:type="dxa"/>
            <w:gridSpan w:val="2"/>
            <w:tcBorders>
              <w:top w:val="nil"/>
              <w:bottom w:val="nil"/>
            </w:tcBorders>
          </w:tcPr>
          <w:p>
            <w:pPr>
              <w:pStyle w:val="TableParagraph"/>
              <w:spacing w:line="294" w:lineRule="exact" w:before="28"/>
              <w:ind w:left="107"/>
              <w:rPr>
                <w:sz w:val="24"/>
              </w:rPr>
            </w:pPr>
            <w:r>
              <w:rPr>
                <w:sz w:val="24"/>
              </w:rPr>
              <w:t>（</w:t>
            </w:r>
            <w:r>
              <w:rPr>
                <w:rFonts w:ascii="Times New Roman" w:eastAsia="Times New Roman"/>
                <w:sz w:val="24"/>
              </w:rPr>
              <w:t>2</w:t>
            </w:r>
            <w:r>
              <w:rPr>
                <w:sz w:val="24"/>
              </w:rPr>
              <w:t>） 了解如何运用多样的生涯信息</w:t>
            </w:r>
          </w:p>
        </w:tc>
      </w:tr>
      <w:tr>
        <w:trPr>
          <w:trHeight w:val="644" w:hRule="atLeast"/>
        </w:trPr>
        <w:tc>
          <w:tcPr>
            <w:tcW w:w="695" w:type="dxa"/>
            <w:tcBorders>
              <w:top w:val="nil"/>
              <w:bottom w:val="nil"/>
            </w:tcBorders>
          </w:tcPr>
          <w:p>
            <w:pPr>
              <w:pStyle w:val="TableParagraph"/>
              <w:spacing w:line="242" w:lineRule="auto"/>
              <w:ind w:left="106" w:right="336"/>
              <w:rPr>
                <w:sz w:val="24"/>
              </w:rPr>
            </w:pPr>
            <w:r>
              <w:rPr>
                <w:sz w:val="24"/>
              </w:rPr>
              <w:t>学习</w:t>
            </w:r>
          </w:p>
        </w:tc>
        <w:tc>
          <w:tcPr>
            <w:tcW w:w="1080" w:type="dxa"/>
            <w:tcBorders>
              <w:top w:val="nil"/>
              <w:bottom w:val="nil"/>
            </w:tcBorders>
          </w:tcPr>
          <w:p>
            <w:pPr>
              <w:pStyle w:val="TableParagraph"/>
              <w:spacing w:line="310" w:lineRule="atLeast" w:before="55"/>
              <w:ind w:left="107" w:right="96"/>
              <w:rPr>
                <w:sz w:val="24"/>
              </w:rPr>
            </w:pPr>
            <w:r>
              <w:rPr>
                <w:rFonts w:ascii="Times New Roman" w:eastAsia="Times New Roman"/>
                <w:sz w:val="24"/>
              </w:rPr>
              <w:t>5. </w:t>
            </w:r>
            <w:r>
              <w:rPr>
                <w:spacing w:val="-18"/>
                <w:sz w:val="24"/>
              </w:rPr>
              <w:t>定 位</w:t>
            </w:r>
            <w:r>
              <w:rPr>
                <w:spacing w:val="-23"/>
                <w:sz w:val="24"/>
              </w:rPr>
              <w:t>和 有 效</w:t>
            </w:r>
          </w:p>
        </w:tc>
        <w:tc>
          <w:tcPr>
            <w:tcW w:w="6449" w:type="dxa"/>
            <w:gridSpan w:val="2"/>
            <w:tcBorders>
              <w:top w:val="nil"/>
              <w:bottom w:val="nil"/>
            </w:tcBorders>
          </w:tcPr>
          <w:p>
            <w:pPr>
              <w:pStyle w:val="TableParagraph"/>
              <w:spacing w:line="310" w:lineRule="atLeast" w:before="55"/>
              <w:ind w:left="107" w:right="53"/>
              <w:rPr>
                <w:sz w:val="24"/>
              </w:rPr>
            </w:pPr>
            <w:r>
              <w:rPr>
                <w:sz w:val="24"/>
              </w:rPr>
              <w:t>（</w:t>
            </w:r>
            <w:r>
              <w:rPr>
                <w:rFonts w:ascii="Times New Roman" w:eastAsia="Times New Roman"/>
                <w:sz w:val="24"/>
              </w:rPr>
              <w:t>3</w:t>
            </w:r>
            <w:r>
              <w:rPr>
                <w:sz w:val="24"/>
              </w:rPr>
              <w:t>） 了解如何依据学习工作角色和选择使用学校和社区设置资源</w:t>
            </w:r>
          </w:p>
        </w:tc>
      </w:tr>
      <w:tr>
        <w:trPr>
          <w:trHeight w:val="1183" w:hRule="atLeast"/>
        </w:trPr>
        <w:tc>
          <w:tcPr>
            <w:tcW w:w="695" w:type="dxa"/>
            <w:tcBorders>
              <w:top w:val="nil"/>
              <w:bottom w:val="nil"/>
            </w:tcBorders>
          </w:tcPr>
          <w:p>
            <w:pPr>
              <w:pStyle w:val="TableParagraph"/>
              <w:spacing w:line="245" w:lineRule="exact"/>
              <w:ind w:left="106"/>
              <w:rPr>
                <w:sz w:val="24"/>
              </w:rPr>
            </w:pPr>
            <w:r>
              <w:rPr>
                <w:sz w:val="24"/>
              </w:rPr>
              <w:t>和</w:t>
            </w:r>
          </w:p>
          <w:p>
            <w:pPr>
              <w:pStyle w:val="TableParagraph"/>
              <w:spacing w:line="310" w:lineRule="atLeast" w:before="2"/>
              <w:ind w:left="106" w:right="336"/>
              <w:jc w:val="both"/>
              <w:rPr>
                <w:sz w:val="24"/>
              </w:rPr>
            </w:pPr>
            <w:r>
              <w:rPr>
                <w:sz w:val="24"/>
              </w:rPr>
              <w:t>工作探</w:t>
            </w:r>
          </w:p>
        </w:tc>
        <w:tc>
          <w:tcPr>
            <w:tcW w:w="1080" w:type="dxa"/>
            <w:tcBorders>
              <w:top w:val="nil"/>
              <w:bottom w:val="nil"/>
            </w:tcBorders>
          </w:tcPr>
          <w:p>
            <w:pPr>
              <w:pStyle w:val="TableParagraph"/>
              <w:spacing w:line="242" w:lineRule="auto" w:before="7"/>
              <w:ind w:left="107" w:right="96"/>
              <w:jc w:val="both"/>
              <w:rPr>
                <w:sz w:val="24"/>
              </w:rPr>
            </w:pPr>
            <w:r>
              <w:rPr>
                <w:spacing w:val="-23"/>
                <w:sz w:val="24"/>
              </w:rPr>
              <w:t>地 运 用职 业 信</w:t>
            </w:r>
            <w:r>
              <w:rPr>
                <w:sz w:val="24"/>
              </w:rPr>
              <w:t>息；</w:t>
            </w:r>
          </w:p>
        </w:tc>
        <w:tc>
          <w:tcPr>
            <w:tcW w:w="6449" w:type="dxa"/>
            <w:gridSpan w:val="2"/>
            <w:tcBorders>
              <w:top w:val="nil"/>
              <w:bottom w:val="nil"/>
            </w:tcBorders>
          </w:tcPr>
          <w:p>
            <w:pPr>
              <w:pStyle w:val="TableParagraph"/>
              <w:numPr>
                <w:ilvl w:val="0"/>
                <w:numId w:val="27"/>
              </w:numPr>
              <w:tabs>
                <w:tab w:pos="828" w:val="left" w:leader="none"/>
              </w:tabs>
              <w:spacing w:line="240" w:lineRule="auto" w:before="67" w:after="0"/>
              <w:ind w:left="827" w:right="0" w:hanging="721"/>
              <w:jc w:val="left"/>
              <w:rPr>
                <w:sz w:val="24"/>
              </w:rPr>
            </w:pPr>
            <w:r>
              <w:rPr>
                <w:sz w:val="24"/>
              </w:rPr>
              <w:t>知道怎样解释和使用劳动力市场的信息</w:t>
            </w:r>
          </w:p>
          <w:p>
            <w:pPr>
              <w:pStyle w:val="TableParagraph"/>
              <w:numPr>
                <w:ilvl w:val="0"/>
                <w:numId w:val="27"/>
              </w:numPr>
              <w:tabs>
                <w:tab w:pos="828" w:val="left" w:leader="none"/>
              </w:tabs>
              <w:spacing w:line="240" w:lineRule="auto" w:before="64" w:after="0"/>
              <w:ind w:left="827" w:right="0" w:hanging="721"/>
              <w:jc w:val="left"/>
              <w:rPr>
                <w:sz w:val="24"/>
              </w:rPr>
            </w:pPr>
            <w:r>
              <w:rPr>
                <w:sz w:val="24"/>
              </w:rPr>
              <w:t>知道自己想要的工作环境</w:t>
            </w:r>
          </w:p>
          <w:p>
            <w:pPr>
              <w:pStyle w:val="TableParagraph"/>
              <w:numPr>
                <w:ilvl w:val="0"/>
                <w:numId w:val="27"/>
              </w:numPr>
              <w:tabs>
                <w:tab w:pos="828" w:val="left" w:leader="none"/>
              </w:tabs>
              <w:spacing w:line="240" w:lineRule="auto" w:before="65" w:after="0"/>
              <w:ind w:left="827" w:right="0" w:hanging="721"/>
              <w:jc w:val="left"/>
              <w:rPr>
                <w:sz w:val="24"/>
              </w:rPr>
            </w:pPr>
            <w:r>
              <w:rPr>
                <w:sz w:val="24"/>
              </w:rPr>
              <w:t>理解现实和需求的各种教育、训练和工作设置</w:t>
            </w:r>
          </w:p>
        </w:tc>
      </w:tr>
      <w:tr>
        <w:trPr>
          <w:trHeight w:val="152" w:hRule="atLeast"/>
        </w:trPr>
        <w:tc>
          <w:tcPr>
            <w:tcW w:w="695" w:type="dxa"/>
            <w:vMerge w:val="restart"/>
            <w:tcBorders>
              <w:top w:val="nil"/>
              <w:bottom w:val="nil"/>
            </w:tcBorders>
          </w:tcPr>
          <w:p>
            <w:pPr>
              <w:pStyle w:val="TableParagraph"/>
              <w:spacing w:before="2"/>
              <w:ind w:left="106"/>
              <w:rPr>
                <w:sz w:val="24"/>
              </w:rPr>
            </w:pPr>
            <w:r>
              <w:rPr>
                <w:sz w:val="24"/>
              </w:rPr>
              <w:t>索</w:t>
            </w:r>
          </w:p>
        </w:tc>
        <w:tc>
          <w:tcPr>
            <w:tcW w:w="1080" w:type="dxa"/>
            <w:tcBorders>
              <w:top w:val="nil"/>
            </w:tcBorders>
          </w:tcPr>
          <w:p>
            <w:pPr>
              <w:pStyle w:val="TableParagraph"/>
              <w:rPr>
                <w:rFonts w:ascii="Times New Roman"/>
                <w:sz w:val="8"/>
              </w:rPr>
            </w:pPr>
          </w:p>
        </w:tc>
        <w:tc>
          <w:tcPr>
            <w:tcW w:w="6449" w:type="dxa"/>
            <w:gridSpan w:val="2"/>
            <w:tcBorders>
              <w:top w:val="nil"/>
            </w:tcBorders>
          </w:tcPr>
          <w:p>
            <w:pPr>
              <w:pStyle w:val="TableParagraph"/>
              <w:rPr>
                <w:rFonts w:ascii="Times New Roman"/>
                <w:sz w:val="8"/>
              </w:rPr>
            </w:pPr>
          </w:p>
        </w:tc>
      </w:tr>
      <w:tr>
        <w:trPr>
          <w:trHeight w:val="406" w:hRule="atLeast"/>
        </w:trPr>
        <w:tc>
          <w:tcPr>
            <w:tcW w:w="695" w:type="dxa"/>
            <w:vMerge/>
            <w:tcBorders>
              <w:top w:val="nil"/>
              <w:bottom w:val="nil"/>
            </w:tcBorders>
          </w:tcPr>
          <w:p>
            <w:pPr>
              <w:rPr>
                <w:sz w:val="2"/>
                <w:szCs w:val="2"/>
              </w:rPr>
            </w:pPr>
          </w:p>
        </w:tc>
        <w:tc>
          <w:tcPr>
            <w:tcW w:w="1080" w:type="dxa"/>
            <w:tcBorders>
              <w:bottom w:val="nil"/>
            </w:tcBorders>
          </w:tcPr>
          <w:p>
            <w:pPr>
              <w:pStyle w:val="TableParagraph"/>
              <w:rPr>
                <w:rFonts w:ascii="Times New Roman"/>
                <w:sz w:val="22"/>
              </w:rPr>
            </w:pPr>
          </w:p>
        </w:tc>
        <w:tc>
          <w:tcPr>
            <w:tcW w:w="765" w:type="dxa"/>
            <w:tcBorders>
              <w:bottom w:val="nil"/>
              <w:right w:val="nil"/>
            </w:tcBorders>
          </w:tcPr>
          <w:p>
            <w:pPr>
              <w:pStyle w:val="TableParagraph"/>
              <w:spacing w:before="63"/>
              <w:ind w:left="87" w:right="32"/>
              <w:jc w:val="center"/>
              <w:rPr>
                <w:sz w:val="24"/>
              </w:rPr>
            </w:pPr>
            <w:r>
              <w:rPr>
                <w:sz w:val="24"/>
              </w:rPr>
              <w:t>（</w:t>
            </w:r>
            <w:r>
              <w:rPr>
                <w:rFonts w:ascii="Times New Roman" w:eastAsia="Times New Roman"/>
                <w:sz w:val="24"/>
              </w:rPr>
              <w:t>1</w:t>
            </w:r>
            <w:r>
              <w:rPr>
                <w:sz w:val="24"/>
              </w:rPr>
              <w:t>）</w:t>
            </w:r>
          </w:p>
        </w:tc>
        <w:tc>
          <w:tcPr>
            <w:tcW w:w="5684" w:type="dxa"/>
            <w:tcBorders>
              <w:left w:val="nil"/>
              <w:bottom w:val="nil"/>
            </w:tcBorders>
          </w:tcPr>
          <w:p>
            <w:pPr>
              <w:pStyle w:val="TableParagraph"/>
              <w:spacing w:before="63"/>
              <w:ind w:left="67"/>
              <w:rPr>
                <w:sz w:val="24"/>
              </w:rPr>
            </w:pPr>
            <w:r>
              <w:rPr>
                <w:sz w:val="24"/>
              </w:rPr>
              <w:t>理解工作怎样满足我们的需要</w:t>
            </w:r>
          </w:p>
        </w:tc>
      </w:tr>
      <w:tr>
        <w:trPr>
          <w:trHeight w:val="372" w:hRule="atLeast"/>
        </w:trPr>
        <w:tc>
          <w:tcPr>
            <w:tcW w:w="695" w:type="dxa"/>
            <w:tcBorders>
              <w:top w:val="nil"/>
              <w:bottom w:val="nil"/>
            </w:tcBorders>
          </w:tcPr>
          <w:p>
            <w:pPr>
              <w:pStyle w:val="TableParagraph"/>
              <w:rPr>
                <w:rFonts w:ascii="Times New Roman"/>
                <w:sz w:val="22"/>
              </w:rPr>
            </w:pPr>
          </w:p>
        </w:tc>
        <w:tc>
          <w:tcPr>
            <w:tcW w:w="1080" w:type="dxa"/>
            <w:tcBorders>
              <w:top w:val="nil"/>
              <w:bottom w:val="nil"/>
            </w:tcBorders>
          </w:tcPr>
          <w:p>
            <w:pPr>
              <w:pStyle w:val="TableParagraph"/>
              <w:rPr>
                <w:rFonts w:ascii="Times New Roman"/>
                <w:sz w:val="22"/>
              </w:rPr>
            </w:pPr>
          </w:p>
        </w:tc>
        <w:tc>
          <w:tcPr>
            <w:tcW w:w="765" w:type="dxa"/>
            <w:tcBorders>
              <w:top w:val="nil"/>
              <w:bottom w:val="nil"/>
              <w:right w:val="nil"/>
            </w:tcBorders>
          </w:tcPr>
          <w:p>
            <w:pPr>
              <w:pStyle w:val="TableParagraph"/>
              <w:spacing w:before="29"/>
              <w:ind w:left="87" w:right="32"/>
              <w:jc w:val="center"/>
              <w:rPr>
                <w:sz w:val="24"/>
              </w:rPr>
            </w:pPr>
            <w:r>
              <w:rPr>
                <w:sz w:val="24"/>
              </w:rPr>
              <w:t>（</w:t>
            </w:r>
            <w:r>
              <w:rPr>
                <w:rFonts w:ascii="Times New Roman" w:eastAsia="Times New Roman"/>
                <w:sz w:val="24"/>
              </w:rPr>
              <w:t>2</w:t>
            </w:r>
            <w:r>
              <w:rPr>
                <w:sz w:val="24"/>
              </w:rPr>
              <w:t>）</w:t>
            </w:r>
          </w:p>
        </w:tc>
        <w:tc>
          <w:tcPr>
            <w:tcW w:w="5684" w:type="dxa"/>
            <w:tcBorders>
              <w:top w:val="nil"/>
              <w:left w:val="nil"/>
              <w:bottom w:val="nil"/>
            </w:tcBorders>
          </w:tcPr>
          <w:p>
            <w:pPr>
              <w:pStyle w:val="TableParagraph"/>
              <w:spacing w:before="29"/>
              <w:ind w:left="67"/>
              <w:rPr>
                <w:sz w:val="24"/>
              </w:rPr>
            </w:pPr>
            <w:r>
              <w:rPr>
                <w:sz w:val="24"/>
              </w:rPr>
              <w:t>理解工作怎样为我们的社区和社会做出贡献</w:t>
            </w:r>
          </w:p>
        </w:tc>
      </w:tr>
      <w:tr>
        <w:trPr>
          <w:trHeight w:val="688" w:hRule="atLeast"/>
        </w:trPr>
        <w:tc>
          <w:tcPr>
            <w:tcW w:w="695" w:type="dxa"/>
            <w:tcBorders>
              <w:top w:val="nil"/>
              <w:bottom w:val="nil"/>
            </w:tcBorders>
          </w:tcPr>
          <w:p>
            <w:pPr>
              <w:pStyle w:val="TableParagraph"/>
              <w:rPr>
                <w:rFonts w:ascii="Times New Roman"/>
                <w:sz w:val="22"/>
              </w:rPr>
            </w:pPr>
          </w:p>
        </w:tc>
        <w:tc>
          <w:tcPr>
            <w:tcW w:w="1080" w:type="dxa"/>
            <w:tcBorders>
              <w:top w:val="nil"/>
              <w:bottom w:val="nil"/>
            </w:tcBorders>
          </w:tcPr>
          <w:p>
            <w:pPr>
              <w:pStyle w:val="TableParagraph"/>
              <w:spacing w:line="242" w:lineRule="auto" w:before="29"/>
              <w:ind w:left="107" w:right="96"/>
              <w:rPr>
                <w:sz w:val="24"/>
              </w:rPr>
            </w:pPr>
            <w:r>
              <w:rPr>
                <w:rFonts w:ascii="Times New Roman" w:eastAsia="Times New Roman"/>
                <w:sz w:val="24"/>
              </w:rPr>
              <w:t>6. </w:t>
            </w:r>
            <w:r>
              <w:rPr>
                <w:spacing w:val="-18"/>
                <w:sz w:val="24"/>
              </w:rPr>
              <w:t>理 解</w:t>
            </w:r>
            <w:r>
              <w:rPr>
                <w:spacing w:val="-29"/>
                <w:sz w:val="24"/>
              </w:rPr>
              <w:t>工作、社</w:t>
            </w:r>
          </w:p>
        </w:tc>
        <w:tc>
          <w:tcPr>
            <w:tcW w:w="765" w:type="dxa"/>
            <w:tcBorders>
              <w:top w:val="nil"/>
              <w:bottom w:val="nil"/>
              <w:right w:val="nil"/>
            </w:tcBorders>
          </w:tcPr>
          <w:p>
            <w:pPr>
              <w:pStyle w:val="TableParagraph"/>
              <w:spacing w:before="29"/>
              <w:ind w:left="107"/>
              <w:rPr>
                <w:sz w:val="24"/>
              </w:rPr>
            </w:pPr>
            <w:r>
              <w:rPr>
                <w:sz w:val="24"/>
              </w:rPr>
              <w:t>（</w:t>
            </w:r>
            <w:r>
              <w:rPr>
                <w:rFonts w:ascii="Times New Roman" w:eastAsia="Times New Roman"/>
                <w:sz w:val="24"/>
              </w:rPr>
              <w:t>3</w:t>
            </w:r>
            <w:r>
              <w:rPr>
                <w:sz w:val="24"/>
              </w:rPr>
              <w:t>）</w:t>
            </w:r>
          </w:p>
          <w:p>
            <w:pPr>
              <w:pStyle w:val="TableParagraph"/>
              <w:spacing w:line="268" w:lineRule="exact" w:before="65"/>
              <w:ind w:left="107"/>
              <w:rPr>
                <w:sz w:val="24"/>
              </w:rPr>
            </w:pPr>
            <w:r>
              <w:rPr>
                <w:sz w:val="24"/>
              </w:rPr>
              <w:t>（</w:t>
            </w:r>
            <w:r>
              <w:rPr>
                <w:rFonts w:ascii="Times New Roman" w:eastAsia="Times New Roman"/>
                <w:sz w:val="24"/>
              </w:rPr>
              <w:t>4</w:t>
            </w:r>
            <w:r>
              <w:rPr>
                <w:sz w:val="24"/>
              </w:rPr>
              <w:t>）</w:t>
            </w:r>
          </w:p>
        </w:tc>
        <w:tc>
          <w:tcPr>
            <w:tcW w:w="5684" w:type="dxa"/>
            <w:tcBorders>
              <w:top w:val="nil"/>
              <w:left w:val="nil"/>
              <w:bottom w:val="nil"/>
            </w:tcBorders>
          </w:tcPr>
          <w:p>
            <w:pPr>
              <w:pStyle w:val="TableParagraph"/>
              <w:spacing w:before="29"/>
              <w:ind w:left="62"/>
              <w:rPr>
                <w:sz w:val="24"/>
              </w:rPr>
            </w:pPr>
            <w:r>
              <w:rPr>
                <w:sz w:val="24"/>
              </w:rPr>
              <w:t>理解社会的需要和功能是怎样影响产品和服务的需要</w:t>
            </w:r>
          </w:p>
          <w:p>
            <w:pPr>
              <w:pStyle w:val="TableParagraph"/>
              <w:spacing w:line="268" w:lineRule="exact" w:before="65"/>
              <w:ind w:left="62"/>
              <w:rPr>
                <w:sz w:val="24"/>
              </w:rPr>
            </w:pPr>
            <w:r>
              <w:rPr>
                <w:sz w:val="24"/>
              </w:rPr>
              <w:t>理解经济和社会趋势怎样影响我们的工作的学习机会</w:t>
            </w:r>
          </w:p>
        </w:tc>
      </w:tr>
      <w:tr>
        <w:trPr>
          <w:trHeight w:val="1171" w:hRule="atLeast"/>
        </w:trPr>
        <w:tc>
          <w:tcPr>
            <w:tcW w:w="695" w:type="dxa"/>
            <w:tcBorders>
              <w:top w:val="nil"/>
              <w:bottom w:val="nil"/>
            </w:tcBorders>
          </w:tcPr>
          <w:p>
            <w:pPr>
              <w:pStyle w:val="TableParagraph"/>
              <w:rPr>
                <w:rFonts w:ascii="Times New Roman"/>
                <w:sz w:val="22"/>
              </w:rPr>
            </w:pPr>
          </w:p>
        </w:tc>
        <w:tc>
          <w:tcPr>
            <w:tcW w:w="1080" w:type="dxa"/>
            <w:tcBorders>
              <w:top w:val="nil"/>
              <w:bottom w:val="nil"/>
            </w:tcBorders>
          </w:tcPr>
          <w:p>
            <w:pPr>
              <w:pStyle w:val="TableParagraph"/>
              <w:spacing w:line="272" w:lineRule="exact"/>
              <w:ind w:left="107"/>
              <w:rPr>
                <w:sz w:val="24"/>
              </w:rPr>
            </w:pPr>
            <w:r>
              <w:rPr>
                <w:sz w:val="24"/>
              </w:rPr>
              <w:t>会 和 经</w:t>
            </w:r>
          </w:p>
          <w:p>
            <w:pPr>
              <w:pStyle w:val="TableParagraph"/>
              <w:spacing w:line="242" w:lineRule="auto" w:before="4"/>
              <w:ind w:left="107"/>
              <w:rPr>
                <w:sz w:val="24"/>
              </w:rPr>
            </w:pPr>
            <w:r>
              <w:rPr>
                <w:sz w:val="24"/>
              </w:rPr>
              <w:t>济 之 间的关系；</w:t>
            </w:r>
          </w:p>
        </w:tc>
        <w:tc>
          <w:tcPr>
            <w:tcW w:w="765" w:type="dxa"/>
            <w:tcBorders>
              <w:top w:val="nil"/>
              <w:bottom w:val="nil"/>
              <w:right w:val="nil"/>
            </w:tcBorders>
          </w:tcPr>
          <w:p>
            <w:pPr>
              <w:pStyle w:val="TableParagraph"/>
              <w:spacing w:before="84"/>
              <w:ind w:left="107"/>
              <w:rPr>
                <w:sz w:val="24"/>
              </w:rPr>
            </w:pPr>
            <w:r>
              <w:rPr>
                <w:sz w:val="24"/>
              </w:rPr>
              <w:t>（</w:t>
            </w:r>
            <w:r>
              <w:rPr>
                <w:rFonts w:ascii="Times New Roman" w:eastAsia="Times New Roman"/>
                <w:sz w:val="24"/>
              </w:rPr>
              <w:t>5</w:t>
            </w:r>
            <w:r>
              <w:rPr>
                <w:sz w:val="24"/>
              </w:rPr>
              <w:t>）</w:t>
            </w:r>
          </w:p>
          <w:p>
            <w:pPr>
              <w:pStyle w:val="TableParagraph"/>
              <w:spacing w:before="65"/>
              <w:ind w:left="107"/>
              <w:rPr>
                <w:sz w:val="24"/>
              </w:rPr>
            </w:pPr>
            <w:r>
              <w:rPr>
                <w:sz w:val="24"/>
              </w:rPr>
              <w:t>（</w:t>
            </w:r>
            <w:r>
              <w:rPr>
                <w:rFonts w:ascii="Times New Roman" w:eastAsia="Times New Roman"/>
                <w:sz w:val="24"/>
              </w:rPr>
              <w:t>6</w:t>
            </w:r>
            <w:r>
              <w:rPr>
                <w:sz w:val="24"/>
              </w:rPr>
              <w:t>）</w:t>
            </w:r>
          </w:p>
          <w:p>
            <w:pPr>
              <w:pStyle w:val="TableParagraph"/>
              <w:spacing w:before="64"/>
              <w:ind w:left="107"/>
              <w:rPr>
                <w:sz w:val="24"/>
              </w:rPr>
            </w:pPr>
            <w:r>
              <w:rPr>
                <w:sz w:val="24"/>
              </w:rPr>
              <w:t>（</w:t>
            </w:r>
            <w:r>
              <w:rPr>
                <w:rFonts w:ascii="Times New Roman" w:eastAsia="Times New Roman"/>
                <w:sz w:val="24"/>
              </w:rPr>
              <w:t>7</w:t>
            </w:r>
            <w:r>
              <w:rPr>
                <w:sz w:val="24"/>
              </w:rPr>
              <w:t>）</w:t>
            </w:r>
          </w:p>
        </w:tc>
        <w:tc>
          <w:tcPr>
            <w:tcW w:w="5684" w:type="dxa"/>
            <w:tcBorders>
              <w:top w:val="nil"/>
              <w:left w:val="nil"/>
              <w:bottom w:val="nil"/>
            </w:tcBorders>
          </w:tcPr>
          <w:p>
            <w:pPr>
              <w:pStyle w:val="TableParagraph"/>
              <w:spacing w:line="370" w:lineRule="atLeast" w:before="22"/>
              <w:ind w:left="67" w:right="2249"/>
              <w:jc w:val="both"/>
              <w:rPr>
                <w:sz w:val="24"/>
              </w:rPr>
            </w:pPr>
            <w:r>
              <w:rPr>
                <w:sz w:val="24"/>
              </w:rPr>
              <w:t>理解工作对人的生活方式的影响确定为自己工作的价值或重要性了解组织如何运作</w:t>
            </w:r>
          </w:p>
        </w:tc>
      </w:tr>
      <w:tr>
        <w:trPr>
          <w:trHeight w:val="397" w:hRule="atLeast"/>
        </w:trPr>
        <w:tc>
          <w:tcPr>
            <w:tcW w:w="695" w:type="dxa"/>
            <w:tcBorders>
              <w:top w:val="nil"/>
            </w:tcBorders>
          </w:tcPr>
          <w:p>
            <w:pPr>
              <w:pStyle w:val="TableParagraph"/>
              <w:rPr>
                <w:rFonts w:ascii="Times New Roman"/>
                <w:sz w:val="22"/>
              </w:rPr>
            </w:pPr>
          </w:p>
        </w:tc>
        <w:tc>
          <w:tcPr>
            <w:tcW w:w="1080" w:type="dxa"/>
            <w:tcBorders>
              <w:top w:val="nil"/>
            </w:tcBorders>
          </w:tcPr>
          <w:p>
            <w:pPr>
              <w:pStyle w:val="TableParagraph"/>
              <w:rPr>
                <w:rFonts w:ascii="Times New Roman"/>
                <w:sz w:val="22"/>
              </w:rPr>
            </w:pPr>
          </w:p>
        </w:tc>
        <w:tc>
          <w:tcPr>
            <w:tcW w:w="765" w:type="dxa"/>
            <w:tcBorders>
              <w:top w:val="nil"/>
              <w:right w:val="nil"/>
            </w:tcBorders>
          </w:tcPr>
          <w:p>
            <w:pPr>
              <w:pStyle w:val="TableParagraph"/>
              <w:spacing w:before="29"/>
              <w:ind w:left="87" w:right="32"/>
              <w:jc w:val="center"/>
              <w:rPr>
                <w:sz w:val="24"/>
              </w:rPr>
            </w:pPr>
            <w:r>
              <w:rPr>
                <w:sz w:val="24"/>
              </w:rPr>
              <w:t>（</w:t>
            </w:r>
            <w:r>
              <w:rPr>
                <w:rFonts w:ascii="Times New Roman" w:eastAsia="Times New Roman"/>
                <w:sz w:val="24"/>
              </w:rPr>
              <w:t>8</w:t>
            </w:r>
            <w:r>
              <w:rPr>
                <w:sz w:val="24"/>
              </w:rPr>
              <w:t>）</w:t>
            </w:r>
          </w:p>
        </w:tc>
        <w:tc>
          <w:tcPr>
            <w:tcW w:w="5684" w:type="dxa"/>
            <w:tcBorders>
              <w:top w:val="nil"/>
              <w:left w:val="nil"/>
            </w:tcBorders>
          </w:tcPr>
          <w:p>
            <w:pPr>
              <w:pStyle w:val="TableParagraph"/>
              <w:spacing w:before="29"/>
              <w:ind w:left="67"/>
              <w:rPr>
                <w:sz w:val="24"/>
              </w:rPr>
            </w:pPr>
            <w:r>
              <w:rPr>
                <w:sz w:val="24"/>
              </w:rPr>
              <w:t>理解经济全球化本质及其对个人和生活的影响</w:t>
            </w:r>
          </w:p>
        </w:tc>
      </w:tr>
      <w:tr>
        <w:trPr>
          <w:trHeight w:val="408" w:hRule="atLeast"/>
        </w:trPr>
        <w:tc>
          <w:tcPr>
            <w:tcW w:w="695" w:type="dxa"/>
            <w:tcBorders>
              <w:bottom w:val="nil"/>
            </w:tcBorders>
          </w:tcPr>
          <w:p>
            <w:pPr>
              <w:pStyle w:val="TableParagraph"/>
              <w:rPr>
                <w:rFonts w:ascii="Times New Roman"/>
                <w:sz w:val="22"/>
              </w:rPr>
            </w:pPr>
          </w:p>
        </w:tc>
        <w:tc>
          <w:tcPr>
            <w:tcW w:w="1080" w:type="dxa"/>
            <w:tcBorders>
              <w:bottom w:val="nil"/>
            </w:tcBorders>
          </w:tcPr>
          <w:p>
            <w:pPr>
              <w:pStyle w:val="TableParagraph"/>
              <w:rPr>
                <w:rFonts w:ascii="Times New Roman"/>
                <w:sz w:val="22"/>
              </w:rPr>
            </w:pPr>
          </w:p>
        </w:tc>
        <w:tc>
          <w:tcPr>
            <w:tcW w:w="6449" w:type="dxa"/>
            <w:gridSpan w:val="2"/>
            <w:tcBorders>
              <w:bottom w:val="nil"/>
            </w:tcBorders>
          </w:tcPr>
          <w:p>
            <w:pPr>
              <w:pStyle w:val="TableParagraph"/>
              <w:spacing w:before="63"/>
              <w:ind w:left="107"/>
              <w:rPr>
                <w:sz w:val="24"/>
              </w:rPr>
            </w:pPr>
            <w:r>
              <w:rPr>
                <w:sz w:val="24"/>
              </w:rPr>
              <w:t>（</w:t>
            </w:r>
            <w:r>
              <w:rPr>
                <w:rFonts w:ascii="Times New Roman" w:eastAsia="Times New Roman"/>
                <w:sz w:val="24"/>
              </w:rPr>
              <w:t>1</w:t>
            </w:r>
            <w:r>
              <w:rPr>
                <w:sz w:val="24"/>
              </w:rPr>
              <w:t>） 理解个人品质在创造、获得、保持工作中的重要性</w:t>
            </w:r>
          </w:p>
        </w:tc>
      </w:tr>
      <w:tr>
        <w:trPr>
          <w:trHeight w:val="372" w:hRule="atLeast"/>
        </w:trPr>
        <w:tc>
          <w:tcPr>
            <w:tcW w:w="695" w:type="dxa"/>
            <w:tcBorders>
              <w:top w:val="nil"/>
              <w:bottom w:val="nil"/>
            </w:tcBorders>
          </w:tcPr>
          <w:p>
            <w:pPr>
              <w:pStyle w:val="TableParagraph"/>
              <w:rPr>
                <w:rFonts w:ascii="Times New Roman"/>
                <w:sz w:val="22"/>
              </w:rPr>
            </w:pPr>
          </w:p>
        </w:tc>
        <w:tc>
          <w:tcPr>
            <w:tcW w:w="1080" w:type="dxa"/>
            <w:tcBorders>
              <w:top w:val="nil"/>
              <w:bottom w:val="nil"/>
            </w:tcBorders>
          </w:tcPr>
          <w:p>
            <w:pPr>
              <w:pStyle w:val="TableParagraph"/>
              <w:rPr>
                <w:rFonts w:ascii="Times New Roman"/>
                <w:sz w:val="22"/>
              </w:rPr>
            </w:pPr>
          </w:p>
        </w:tc>
        <w:tc>
          <w:tcPr>
            <w:tcW w:w="6449" w:type="dxa"/>
            <w:gridSpan w:val="2"/>
            <w:tcBorders>
              <w:top w:val="nil"/>
              <w:bottom w:val="nil"/>
            </w:tcBorders>
          </w:tcPr>
          <w:p>
            <w:pPr>
              <w:pStyle w:val="TableParagraph"/>
              <w:spacing w:before="27"/>
              <w:ind w:left="107"/>
              <w:rPr>
                <w:sz w:val="24"/>
              </w:rPr>
            </w:pPr>
            <w:r>
              <w:rPr>
                <w:sz w:val="24"/>
              </w:rPr>
              <w:t>（</w:t>
            </w:r>
            <w:r>
              <w:rPr>
                <w:rFonts w:ascii="Times New Roman" w:eastAsia="Times New Roman"/>
                <w:sz w:val="24"/>
              </w:rPr>
              <w:t>2</w:t>
            </w:r>
            <w:r>
              <w:rPr>
                <w:sz w:val="24"/>
              </w:rPr>
              <w:t>） 用创造性的方式开展工作</w:t>
            </w:r>
          </w:p>
        </w:tc>
      </w:tr>
      <w:tr>
        <w:trPr>
          <w:trHeight w:val="371" w:hRule="atLeast"/>
        </w:trPr>
        <w:tc>
          <w:tcPr>
            <w:tcW w:w="695" w:type="dxa"/>
            <w:tcBorders>
              <w:top w:val="nil"/>
              <w:bottom w:val="nil"/>
            </w:tcBorders>
          </w:tcPr>
          <w:p>
            <w:pPr>
              <w:pStyle w:val="TableParagraph"/>
              <w:rPr>
                <w:rFonts w:ascii="Times New Roman"/>
                <w:sz w:val="22"/>
              </w:rPr>
            </w:pPr>
          </w:p>
        </w:tc>
        <w:tc>
          <w:tcPr>
            <w:tcW w:w="1080" w:type="dxa"/>
            <w:tcBorders>
              <w:top w:val="nil"/>
              <w:bottom w:val="nil"/>
            </w:tcBorders>
          </w:tcPr>
          <w:p>
            <w:pPr>
              <w:pStyle w:val="TableParagraph"/>
              <w:rPr>
                <w:rFonts w:ascii="Times New Roman"/>
                <w:sz w:val="22"/>
              </w:rPr>
            </w:pPr>
          </w:p>
        </w:tc>
        <w:tc>
          <w:tcPr>
            <w:tcW w:w="6449" w:type="dxa"/>
            <w:gridSpan w:val="2"/>
            <w:tcBorders>
              <w:top w:val="nil"/>
              <w:bottom w:val="nil"/>
            </w:tcBorders>
          </w:tcPr>
          <w:p>
            <w:pPr>
              <w:pStyle w:val="TableParagraph"/>
              <w:spacing w:before="27"/>
              <w:ind w:left="107"/>
              <w:rPr>
                <w:sz w:val="24"/>
              </w:rPr>
            </w:pPr>
            <w:r>
              <w:rPr>
                <w:sz w:val="24"/>
              </w:rPr>
              <w:t>（</w:t>
            </w:r>
            <w:r>
              <w:rPr>
                <w:rFonts w:ascii="Times New Roman" w:eastAsia="Times New Roman"/>
                <w:sz w:val="24"/>
              </w:rPr>
              <w:t>3</w:t>
            </w:r>
            <w:r>
              <w:rPr>
                <w:sz w:val="24"/>
              </w:rPr>
              <w:t>） 阐明自己的技能</w:t>
            </w:r>
          </w:p>
        </w:tc>
      </w:tr>
      <w:tr>
        <w:trPr>
          <w:trHeight w:val="687" w:hRule="atLeast"/>
        </w:trPr>
        <w:tc>
          <w:tcPr>
            <w:tcW w:w="695" w:type="dxa"/>
            <w:tcBorders>
              <w:top w:val="nil"/>
              <w:bottom w:val="nil"/>
            </w:tcBorders>
          </w:tcPr>
          <w:p>
            <w:pPr>
              <w:pStyle w:val="TableParagraph"/>
              <w:spacing w:line="242" w:lineRule="auto" w:before="27"/>
              <w:ind w:left="106" w:right="96"/>
              <w:rPr>
                <w:sz w:val="24"/>
              </w:rPr>
            </w:pPr>
            <w:r>
              <w:rPr>
                <w:sz w:val="24"/>
              </w:rPr>
              <w:t>三、生</w:t>
            </w:r>
          </w:p>
        </w:tc>
        <w:tc>
          <w:tcPr>
            <w:tcW w:w="1080" w:type="dxa"/>
            <w:tcBorders>
              <w:top w:val="nil"/>
              <w:bottom w:val="nil"/>
            </w:tcBorders>
          </w:tcPr>
          <w:p>
            <w:pPr>
              <w:pStyle w:val="TableParagraph"/>
              <w:spacing w:line="242" w:lineRule="auto" w:before="27"/>
              <w:ind w:left="107" w:right="1"/>
              <w:rPr>
                <w:sz w:val="24"/>
              </w:rPr>
            </w:pPr>
            <w:r>
              <w:rPr>
                <w:rFonts w:ascii="Times New Roman" w:eastAsia="Times New Roman"/>
                <w:sz w:val="24"/>
              </w:rPr>
              <w:t>7.</w:t>
            </w:r>
            <w:r>
              <w:rPr>
                <w:sz w:val="24"/>
              </w:rPr>
              <w:t>安全、创 造 和</w:t>
            </w:r>
          </w:p>
        </w:tc>
        <w:tc>
          <w:tcPr>
            <w:tcW w:w="6449" w:type="dxa"/>
            <w:gridSpan w:val="2"/>
            <w:tcBorders>
              <w:top w:val="nil"/>
              <w:bottom w:val="nil"/>
            </w:tcBorders>
          </w:tcPr>
          <w:p>
            <w:pPr>
              <w:pStyle w:val="TableParagraph"/>
              <w:numPr>
                <w:ilvl w:val="0"/>
                <w:numId w:val="28"/>
              </w:numPr>
              <w:tabs>
                <w:tab w:pos="828" w:val="left" w:leader="none"/>
              </w:tabs>
              <w:spacing w:line="240" w:lineRule="auto" w:before="27" w:after="0"/>
              <w:ind w:left="827" w:right="0" w:hanging="721"/>
              <w:jc w:val="left"/>
              <w:rPr>
                <w:sz w:val="24"/>
              </w:rPr>
            </w:pPr>
            <w:r>
              <w:rPr>
                <w:sz w:val="24"/>
              </w:rPr>
              <w:t>理解技能和经验可迁移到各个工作环境</w:t>
            </w:r>
          </w:p>
          <w:p>
            <w:pPr>
              <w:pStyle w:val="TableParagraph"/>
              <w:numPr>
                <w:ilvl w:val="0"/>
                <w:numId w:val="28"/>
              </w:numPr>
              <w:tabs>
                <w:tab w:pos="828" w:val="left" w:leader="none"/>
              </w:tabs>
              <w:spacing w:line="269" w:lineRule="exact" w:before="64" w:after="0"/>
              <w:ind w:left="827" w:right="0" w:hanging="721"/>
              <w:jc w:val="left"/>
              <w:rPr>
                <w:sz w:val="24"/>
              </w:rPr>
            </w:pPr>
            <w:r>
              <w:rPr>
                <w:sz w:val="24"/>
              </w:rPr>
              <w:t>能够与他人展开合作</w:t>
            </w:r>
          </w:p>
        </w:tc>
      </w:tr>
      <w:tr>
        <w:trPr>
          <w:trHeight w:val="1172" w:hRule="atLeast"/>
        </w:trPr>
        <w:tc>
          <w:tcPr>
            <w:tcW w:w="695" w:type="dxa"/>
            <w:tcBorders>
              <w:top w:val="nil"/>
              <w:bottom w:val="nil"/>
            </w:tcBorders>
          </w:tcPr>
          <w:p>
            <w:pPr>
              <w:pStyle w:val="TableParagraph"/>
              <w:spacing w:line="271" w:lineRule="exact"/>
              <w:ind w:left="106"/>
              <w:rPr>
                <w:sz w:val="24"/>
              </w:rPr>
            </w:pPr>
            <w:r>
              <w:rPr>
                <w:sz w:val="24"/>
              </w:rPr>
              <w:t>涯</w:t>
            </w:r>
          </w:p>
          <w:p>
            <w:pPr>
              <w:pStyle w:val="TableParagraph"/>
              <w:spacing w:line="242" w:lineRule="auto" w:before="4"/>
              <w:ind w:left="106" w:right="336"/>
              <w:rPr>
                <w:sz w:val="24"/>
              </w:rPr>
            </w:pPr>
            <w:r>
              <w:rPr>
                <w:sz w:val="24"/>
              </w:rPr>
              <w:t>建立</w:t>
            </w:r>
          </w:p>
        </w:tc>
        <w:tc>
          <w:tcPr>
            <w:tcW w:w="1080" w:type="dxa"/>
            <w:tcBorders>
              <w:top w:val="nil"/>
              <w:bottom w:val="nil"/>
            </w:tcBorders>
          </w:tcPr>
          <w:p>
            <w:pPr>
              <w:pStyle w:val="TableParagraph"/>
              <w:spacing w:line="271" w:lineRule="exact"/>
              <w:ind w:left="107"/>
              <w:rPr>
                <w:sz w:val="24"/>
              </w:rPr>
            </w:pPr>
            <w:r>
              <w:rPr>
                <w:sz w:val="24"/>
              </w:rPr>
              <w:t>维 护 工</w:t>
            </w:r>
          </w:p>
          <w:p>
            <w:pPr>
              <w:pStyle w:val="TableParagraph"/>
              <w:spacing w:before="4"/>
              <w:ind w:left="107"/>
              <w:rPr>
                <w:sz w:val="24"/>
              </w:rPr>
            </w:pPr>
            <w:r>
              <w:rPr>
                <w:sz w:val="24"/>
              </w:rPr>
              <w:t>作；</w:t>
            </w:r>
          </w:p>
        </w:tc>
        <w:tc>
          <w:tcPr>
            <w:tcW w:w="6449" w:type="dxa"/>
            <w:gridSpan w:val="2"/>
            <w:tcBorders>
              <w:top w:val="nil"/>
              <w:bottom w:val="nil"/>
            </w:tcBorders>
          </w:tcPr>
          <w:p>
            <w:pPr>
              <w:pStyle w:val="TableParagraph"/>
              <w:numPr>
                <w:ilvl w:val="0"/>
                <w:numId w:val="29"/>
              </w:numPr>
              <w:tabs>
                <w:tab w:pos="828" w:val="left" w:leader="none"/>
              </w:tabs>
              <w:spacing w:line="240" w:lineRule="auto" w:before="83" w:after="0"/>
              <w:ind w:left="827" w:right="0" w:hanging="721"/>
              <w:jc w:val="left"/>
              <w:rPr>
                <w:sz w:val="24"/>
              </w:rPr>
            </w:pPr>
            <w:r>
              <w:rPr>
                <w:sz w:val="24"/>
              </w:rPr>
              <w:t>依据工作运用搜索工具和搜索技能</w:t>
            </w:r>
          </w:p>
          <w:p>
            <w:pPr>
              <w:pStyle w:val="TableParagraph"/>
              <w:numPr>
                <w:ilvl w:val="0"/>
                <w:numId w:val="29"/>
              </w:numPr>
              <w:tabs>
                <w:tab w:pos="828" w:val="left" w:leader="none"/>
              </w:tabs>
              <w:spacing w:line="240" w:lineRule="auto" w:before="64" w:after="0"/>
              <w:ind w:left="827" w:right="0" w:hanging="721"/>
              <w:jc w:val="left"/>
              <w:rPr>
                <w:sz w:val="24"/>
              </w:rPr>
            </w:pPr>
            <w:r>
              <w:rPr>
                <w:sz w:val="24"/>
              </w:rPr>
              <w:t>知道怎样定位、解释和运用劳动力市场的信息</w:t>
            </w:r>
          </w:p>
          <w:p>
            <w:pPr>
              <w:pStyle w:val="TableParagraph"/>
              <w:numPr>
                <w:ilvl w:val="0"/>
                <w:numId w:val="29"/>
              </w:numPr>
              <w:tabs>
                <w:tab w:pos="828" w:val="left" w:leader="none"/>
              </w:tabs>
              <w:spacing w:line="240" w:lineRule="auto" w:before="65" w:after="0"/>
              <w:ind w:left="827" w:right="0" w:hanging="721"/>
              <w:jc w:val="left"/>
              <w:rPr>
                <w:sz w:val="24"/>
              </w:rPr>
            </w:pPr>
            <w:r>
              <w:rPr>
                <w:sz w:val="24"/>
              </w:rPr>
              <w:t>展示就业技能</w:t>
            </w:r>
          </w:p>
        </w:tc>
      </w:tr>
      <w:tr>
        <w:trPr>
          <w:trHeight w:val="674" w:hRule="atLeast"/>
        </w:trPr>
        <w:tc>
          <w:tcPr>
            <w:tcW w:w="695" w:type="dxa"/>
            <w:tcBorders>
              <w:top w:val="nil"/>
              <w:bottom w:val="nil"/>
            </w:tcBorders>
          </w:tcPr>
          <w:p>
            <w:pPr>
              <w:pStyle w:val="TableParagraph"/>
              <w:rPr>
                <w:rFonts w:ascii="Times New Roman"/>
                <w:sz w:val="22"/>
              </w:rPr>
            </w:pPr>
          </w:p>
        </w:tc>
        <w:tc>
          <w:tcPr>
            <w:tcW w:w="1080" w:type="dxa"/>
            <w:tcBorders>
              <w:top w:val="nil"/>
              <w:bottom w:val="nil"/>
            </w:tcBorders>
          </w:tcPr>
          <w:p>
            <w:pPr>
              <w:pStyle w:val="TableParagraph"/>
              <w:rPr>
                <w:rFonts w:ascii="Times New Roman"/>
                <w:sz w:val="22"/>
              </w:rPr>
            </w:pPr>
          </w:p>
        </w:tc>
        <w:tc>
          <w:tcPr>
            <w:tcW w:w="6449" w:type="dxa"/>
            <w:gridSpan w:val="2"/>
            <w:tcBorders>
              <w:top w:val="nil"/>
              <w:bottom w:val="nil"/>
            </w:tcBorders>
          </w:tcPr>
          <w:p>
            <w:pPr>
              <w:pStyle w:val="TableParagraph"/>
              <w:spacing w:line="242" w:lineRule="auto" w:before="27"/>
              <w:ind w:left="107" w:right="53"/>
              <w:rPr>
                <w:sz w:val="24"/>
              </w:rPr>
            </w:pPr>
            <w:r>
              <w:rPr>
                <w:sz w:val="24"/>
              </w:rPr>
              <w:t>（</w:t>
            </w:r>
            <w:r>
              <w:rPr>
                <w:rFonts w:ascii="Times New Roman" w:eastAsia="Times New Roman"/>
                <w:sz w:val="24"/>
              </w:rPr>
              <w:t>9</w:t>
            </w:r>
            <w:r>
              <w:rPr>
                <w:sz w:val="24"/>
              </w:rPr>
              <w:t>） 知道支持人们从高中过渡到工作或者长远的教育和训练的服务或计划</w:t>
            </w:r>
          </w:p>
        </w:tc>
      </w:tr>
      <w:tr>
        <w:trPr>
          <w:trHeight w:val="405" w:hRule="atLeast"/>
        </w:trPr>
        <w:tc>
          <w:tcPr>
            <w:tcW w:w="695" w:type="dxa"/>
            <w:tcBorders>
              <w:top w:val="nil"/>
            </w:tcBorders>
          </w:tcPr>
          <w:p>
            <w:pPr>
              <w:pStyle w:val="TableParagraph"/>
              <w:rPr>
                <w:rFonts w:ascii="Times New Roman"/>
                <w:sz w:val="22"/>
              </w:rPr>
            </w:pPr>
          </w:p>
        </w:tc>
        <w:tc>
          <w:tcPr>
            <w:tcW w:w="1080" w:type="dxa"/>
            <w:tcBorders>
              <w:top w:val="nil"/>
            </w:tcBorders>
          </w:tcPr>
          <w:p>
            <w:pPr>
              <w:pStyle w:val="TableParagraph"/>
              <w:rPr>
                <w:rFonts w:ascii="Times New Roman"/>
                <w:sz w:val="22"/>
              </w:rPr>
            </w:pPr>
          </w:p>
        </w:tc>
        <w:tc>
          <w:tcPr>
            <w:tcW w:w="6449" w:type="dxa"/>
            <w:gridSpan w:val="2"/>
            <w:tcBorders>
              <w:top w:val="nil"/>
            </w:tcBorders>
          </w:tcPr>
          <w:p>
            <w:pPr>
              <w:pStyle w:val="TableParagraph"/>
              <w:spacing w:before="36"/>
              <w:ind w:left="107"/>
              <w:rPr>
                <w:sz w:val="24"/>
              </w:rPr>
            </w:pPr>
            <w:r>
              <w:rPr>
                <w:sz w:val="24"/>
              </w:rPr>
              <w:t>（</w:t>
            </w:r>
            <w:r>
              <w:rPr>
                <w:rFonts w:ascii="Times New Roman" w:eastAsia="Times New Roman"/>
                <w:sz w:val="24"/>
              </w:rPr>
              <w:t>10</w:t>
            </w:r>
            <w:r>
              <w:rPr>
                <w:sz w:val="24"/>
              </w:rPr>
              <w:t>） 从工作检索的角度去理解志愿者工作的价值</w:t>
            </w:r>
          </w:p>
        </w:tc>
      </w:tr>
    </w:tbl>
    <w:p>
      <w:pPr>
        <w:spacing w:after="0"/>
        <w:rPr>
          <w:sz w:val="24"/>
        </w:rPr>
        <w:sectPr>
          <w:pgSz w:w="11910" w:h="16840"/>
          <w:pgMar w:header="878" w:footer="1160" w:top="1300" w:bottom="1380" w:left="480" w:right="220"/>
        </w:sectPr>
      </w:pPr>
    </w:p>
    <w:p>
      <w:pPr>
        <w:pStyle w:val="BodyText"/>
        <w:spacing w:before="133"/>
        <w:ind w:right="261"/>
        <w:jc w:val="center"/>
      </w:pPr>
      <w:r>
        <w:rPr/>
        <w:t>表 </w:t>
      </w:r>
      <w:r>
        <w:rPr>
          <w:rFonts w:ascii="Times New Roman" w:eastAsia="Times New Roman"/>
        </w:rPr>
        <w:t>2.4  </w:t>
      </w:r>
      <w:r>
        <w:rPr/>
        <w:t>（续）</w:t>
      </w:r>
    </w:p>
    <w:p>
      <w:pPr>
        <w:pStyle w:val="BodyText"/>
        <w:spacing w:before="10"/>
        <w:rPr>
          <w:sz w:val="4"/>
        </w:rPr>
      </w:pPr>
    </w:p>
    <w:tbl>
      <w:tblPr>
        <w:tblW w:w="0" w:type="auto"/>
        <w:jc w:val="left"/>
        <w:tblInd w:w="1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5"/>
        <w:gridCol w:w="1075"/>
        <w:gridCol w:w="6470"/>
      </w:tblGrid>
      <w:tr>
        <w:trPr>
          <w:trHeight w:val="403" w:hRule="atLeast"/>
        </w:trPr>
        <w:tc>
          <w:tcPr>
            <w:tcW w:w="795" w:type="dxa"/>
            <w:vMerge w:val="restart"/>
          </w:tcPr>
          <w:p>
            <w:pPr>
              <w:pStyle w:val="TableParagraph"/>
              <w:rPr>
                <w:rFonts w:ascii="Times New Roman"/>
                <w:sz w:val="22"/>
              </w:rPr>
            </w:pPr>
          </w:p>
        </w:tc>
        <w:tc>
          <w:tcPr>
            <w:tcW w:w="1075" w:type="dxa"/>
            <w:tcBorders>
              <w:bottom w:val="nil"/>
            </w:tcBorders>
          </w:tcPr>
          <w:p>
            <w:pPr>
              <w:pStyle w:val="TableParagraph"/>
              <w:rPr>
                <w:rFonts w:ascii="Times New Roman"/>
                <w:sz w:val="22"/>
              </w:rPr>
            </w:pPr>
          </w:p>
        </w:tc>
        <w:tc>
          <w:tcPr>
            <w:tcW w:w="6470" w:type="dxa"/>
            <w:tcBorders>
              <w:bottom w:val="nil"/>
            </w:tcBorders>
          </w:tcPr>
          <w:p>
            <w:pPr>
              <w:pStyle w:val="TableParagraph"/>
              <w:spacing w:before="63"/>
              <w:ind w:left="108"/>
              <w:rPr>
                <w:sz w:val="24"/>
              </w:rPr>
            </w:pPr>
            <w:r>
              <w:rPr>
                <w:sz w:val="24"/>
              </w:rPr>
              <w:t>（</w:t>
            </w:r>
            <w:r>
              <w:rPr>
                <w:rFonts w:ascii="Times New Roman" w:eastAsia="Times New Roman"/>
                <w:sz w:val="24"/>
              </w:rPr>
              <w:t>1</w:t>
            </w:r>
            <w:r>
              <w:rPr>
                <w:sz w:val="24"/>
              </w:rPr>
              <w:t>） 理解怎样做出决定</w:t>
            </w:r>
          </w:p>
        </w:tc>
      </w:tr>
      <w:tr>
        <w:trPr>
          <w:trHeight w:val="361" w:hRule="atLeast"/>
        </w:trPr>
        <w:tc>
          <w:tcPr>
            <w:tcW w:w="795" w:type="dxa"/>
            <w:vMerge/>
            <w:tcBorders>
              <w:top w:val="nil"/>
            </w:tcBorders>
          </w:tcPr>
          <w:p>
            <w:pPr>
              <w:rPr>
                <w:sz w:val="2"/>
                <w:szCs w:val="2"/>
              </w:rPr>
            </w:pPr>
          </w:p>
        </w:tc>
        <w:tc>
          <w:tcPr>
            <w:tcW w:w="1075" w:type="dxa"/>
            <w:tcBorders>
              <w:top w:val="nil"/>
              <w:bottom w:val="nil"/>
            </w:tcBorders>
          </w:tcPr>
          <w:p>
            <w:pPr>
              <w:pStyle w:val="TableParagraph"/>
              <w:rPr>
                <w:rFonts w:ascii="Times New Roman"/>
                <w:sz w:val="22"/>
              </w:rPr>
            </w:pPr>
          </w:p>
        </w:tc>
        <w:tc>
          <w:tcPr>
            <w:tcW w:w="6470" w:type="dxa"/>
            <w:tcBorders>
              <w:top w:val="nil"/>
              <w:bottom w:val="nil"/>
            </w:tcBorders>
          </w:tcPr>
          <w:p>
            <w:pPr>
              <w:pStyle w:val="TableParagraph"/>
              <w:spacing w:before="22"/>
              <w:ind w:left="108"/>
              <w:rPr>
                <w:sz w:val="24"/>
              </w:rPr>
            </w:pPr>
            <w:r>
              <w:rPr>
                <w:sz w:val="24"/>
              </w:rPr>
              <w:t>（</w:t>
            </w:r>
            <w:r>
              <w:rPr>
                <w:rFonts w:ascii="Times New Roman" w:eastAsia="Times New Roman"/>
                <w:sz w:val="24"/>
              </w:rPr>
              <w:t>2</w:t>
            </w:r>
            <w:r>
              <w:rPr>
                <w:sz w:val="24"/>
              </w:rPr>
              <w:t>） 理解我们的个人信仰和态度会影响我们的决定</w:t>
            </w:r>
          </w:p>
        </w:tc>
      </w:tr>
      <w:tr>
        <w:trPr>
          <w:trHeight w:val="638" w:hRule="atLeast"/>
        </w:trPr>
        <w:tc>
          <w:tcPr>
            <w:tcW w:w="795" w:type="dxa"/>
            <w:vMerge/>
            <w:tcBorders>
              <w:top w:val="nil"/>
            </w:tcBorders>
          </w:tcPr>
          <w:p>
            <w:pPr>
              <w:rPr>
                <w:sz w:val="2"/>
                <w:szCs w:val="2"/>
              </w:rPr>
            </w:pPr>
          </w:p>
        </w:tc>
        <w:tc>
          <w:tcPr>
            <w:tcW w:w="1075" w:type="dxa"/>
            <w:tcBorders>
              <w:top w:val="nil"/>
              <w:bottom w:val="nil"/>
            </w:tcBorders>
          </w:tcPr>
          <w:p>
            <w:pPr>
              <w:pStyle w:val="TableParagraph"/>
              <w:spacing w:line="310" w:lineRule="atLeast" w:before="19"/>
              <w:ind w:left="108" w:right="95"/>
              <w:rPr>
                <w:sz w:val="24"/>
              </w:rPr>
            </w:pPr>
            <w:r>
              <w:rPr>
                <w:rFonts w:ascii="Times New Roman" w:eastAsia="Times New Roman"/>
                <w:sz w:val="24"/>
              </w:rPr>
              <w:t>8. </w:t>
            </w:r>
            <w:r>
              <w:rPr>
                <w:spacing w:val="-20"/>
                <w:sz w:val="24"/>
              </w:rPr>
              <w:t>做 出</w:t>
            </w:r>
            <w:r>
              <w:rPr>
                <w:spacing w:val="-25"/>
                <w:sz w:val="24"/>
              </w:rPr>
              <w:t>有 利 于</w:t>
            </w:r>
          </w:p>
        </w:tc>
        <w:tc>
          <w:tcPr>
            <w:tcW w:w="6470" w:type="dxa"/>
            <w:tcBorders>
              <w:top w:val="nil"/>
              <w:bottom w:val="nil"/>
            </w:tcBorders>
          </w:tcPr>
          <w:p>
            <w:pPr>
              <w:pStyle w:val="TableParagraph"/>
              <w:spacing w:line="310" w:lineRule="atLeast" w:before="19"/>
              <w:ind w:left="108" w:right="97"/>
              <w:rPr>
                <w:sz w:val="24"/>
              </w:rPr>
            </w:pPr>
            <w:r>
              <w:rPr>
                <w:sz w:val="24"/>
              </w:rPr>
              <w:t>（</w:t>
            </w:r>
            <w:r>
              <w:rPr>
                <w:rFonts w:ascii="Times New Roman" w:eastAsia="Times New Roman"/>
                <w:sz w:val="24"/>
              </w:rPr>
              <w:t>3</w:t>
            </w:r>
            <w:r>
              <w:rPr>
                <w:sz w:val="24"/>
              </w:rPr>
              <w:t>） 意识到可能会影响我们实现目标和发展策略的因素并学会克服</w:t>
            </w:r>
          </w:p>
        </w:tc>
      </w:tr>
      <w:tr>
        <w:trPr>
          <w:trHeight w:val="341" w:hRule="atLeast"/>
        </w:trPr>
        <w:tc>
          <w:tcPr>
            <w:tcW w:w="795" w:type="dxa"/>
            <w:vMerge/>
            <w:tcBorders>
              <w:top w:val="nil"/>
            </w:tcBorders>
          </w:tcPr>
          <w:p>
            <w:pPr>
              <w:rPr>
                <w:sz w:val="2"/>
                <w:szCs w:val="2"/>
              </w:rPr>
            </w:pPr>
          </w:p>
        </w:tc>
        <w:tc>
          <w:tcPr>
            <w:tcW w:w="1075" w:type="dxa"/>
            <w:tcBorders>
              <w:top w:val="nil"/>
              <w:bottom w:val="nil"/>
            </w:tcBorders>
          </w:tcPr>
          <w:p>
            <w:pPr>
              <w:pStyle w:val="TableParagraph"/>
              <w:spacing w:line="304" w:lineRule="exact"/>
              <w:ind w:left="108"/>
              <w:rPr>
                <w:sz w:val="24"/>
              </w:rPr>
            </w:pPr>
            <w:r>
              <w:rPr>
                <w:spacing w:val="-22"/>
                <w:sz w:val="24"/>
              </w:rPr>
              <w:t>生 涯 的</w:t>
            </w:r>
          </w:p>
        </w:tc>
        <w:tc>
          <w:tcPr>
            <w:tcW w:w="6470" w:type="dxa"/>
            <w:tcBorders>
              <w:top w:val="nil"/>
              <w:bottom w:val="nil"/>
            </w:tcBorders>
          </w:tcPr>
          <w:p>
            <w:pPr>
              <w:pStyle w:val="TableParagraph"/>
              <w:spacing w:line="264" w:lineRule="exact" w:before="57"/>
              <w:ind w:left="108"/>
              <w:rPr>
                <w:sz w:val="24"/>
              </w:rPr>
            </w:pPr>
            <w:r>
              <w:rPr>
                <w:sz w:val="24"/>
              </w:rPr>
              <w:t>（</w:t>
            </w:r>
            <w:r>
              <w:rPr>
                <w:rFonts w:ascii="Times New Roman" w:eastAsia="Times New Roman"/>
                <w:sz w:val="24"/>
              </w:rPr>
              <w:t>4</w:t>
            </w:r>
            <w:r>
              <w:rPr>
                <w:sz w:val="24"/>
              </w:rPr>
              <w:t>） 知道如何应用解决问题的策略</w:t>
            </w:r>
          </w:p>
        </w:tc>
      </w:tr>
      <w:tr>
        <w:trPr>
          <w:trHeight w:val="418" w:hRule="atLeast"/>
        </w:trPr>
        <w:tc>
          <w:tcPr>
            <w:tcW w:w="795" w:type="dxa"/>
            <w:vMerge/>
            <w:tcBorders>
              <w:top w:val="nil"/>
            </w:tcBorders>
          </w:tcPr>
          <w:p>
            <w:pPr>
              <w:rPr>
                <w:sz w:val="2"/>
                <w:szCs w:val="2"/>
              </w:rPr>
            </w:pPr>
          </w:p>
        </w:tc>
        <w:tc>
          <w:tcPr>
            <w:tcW w:w="1075" w:type="dxa"/>
            <w:tcBorders>
              <w:top w:val="nil"/>
              <w:bottom w:val="nil"/>
            </w:tcBorders>
          </w:tcPr>
          <w:p>
            <w:pPr>
              <w:pStyle w:val="TableParagraph"/>
              <w:spacing w:line="266" w:lineRule="exact"/>
              <w:ind w:left="108"/>
              <w:rPr>
                <w:sz w:val="24"/>
              </w:rPr>
            </w:pPr>
            <w:r>
              <w:rPr>
                <w:sz w:val="24"/>
              </w:rPr>
              <w:t>决定</w:t>
            </w:r>
          </w:p>
        </w:tc>
        <w:tc>
          <w:tcPr>
            <w:tcW w:w="6470" w:type="dxa"/>
            <w:tcBorders>
              <w:top w:val="nil"/>
              <w:bottom w:val="nil"/>
            </w:tcBorders>
          </w:tcPr>
          <w:p>
            <w:pPr>
              <w:pStyle w:val="TableParagraph"/>
              <w:spacing w:before="78"/>
              <w:ind w:left="108"/>
              <w:rPr>
                <w:sz w:val="24"/>
              </w:rPr>
            </w:pPr>
            <w:r>
              <w:rPr>
                <w:sz w:val="24"/>
              </w:rPr>
              <w:t>（</w:t>
            </w:r>
            <w:r>
              <w:rPr>
                <w:rFonts w:ascii="Times New Roman" w:eastAsia="Times New Roman"/>
                <w:sz w:val="24"/>
              </w:rPr>
              <w:t>5</w:t>
            </w:r>
            <w:r>
              <w:rPr>
                <w:sz w:val="24"/>
              </w:rPr>
              <w:t>） 能够探索替代决策的情况</w:t>
            </w:r>
          </w:p>
        </w:tc>
      </w:tr>
      <w:tr>
        <w:trPr>
          <w:trHeight w:val="362" w:hRule="atLeast"/>
        </w:trPr>
        <w:tc>
          <w:tcPr>
            <w:tcW w:w="795" w:type="dxa"/>
            <w:vMerge/>
            <w:tcBorders>
              <w:top w:val="nil"/>
            </w:tcBorders>
          </w:tcPr>
          <w:p>
            <w:pPr>
              <w:rPr>
                <w:sz w:val="2"/>
                <w:szCs w:val="2"/>
              </w:rPr>
            </w:pPr>
          </w:p>
        </w:tc>
        <w:tc>
          <w:tcPr>
            <w:tcW w:w="1075" w:type="dxa"/>
            <w:tcBorders>
              <w:top w:val="nil"/>
              <w:bottom w:val="nil"/>
            </w:tcBorders>
          </w:tcPr>
          <w:p>
            <w:pPr>
              <w:pStyle w:val="TableParagraph"/>
              <w:rPr>
                <w:rFonts w:ascii="Times New Roman"/>
                <w:sz w:val="22"/>
              </w:rPr>
            </w:pPr>
          </w:p>
        </w:tc>
        <w:tc>
          <w:tcPr>
            <w:tcW w:w="6470" w:type="dxa"/>
            <w:tcBorders>
              <w:top w:val="nil"/>
              <w:bottom w:val="nil"/>
            </w:tcBorders>
          </w:tcPr>
          <w:p>
            <w:pPr>
              <w:pStyle w:val="TableParagraph"/>
              <w:spacing w:before="22"/>
              <w:ind w:left="108"/>
              <w:rPr>
                <w:sz w:val="24"/>
              </w:rPr>
            </w:pPr>
            <w:r>
              <w:rPr>
                <w:sz w:val="24"/>
              </w:rPr>
              <w:t>（</w:t>
            </w:r>
            <w:r>
              <w:rPr>
                <w:rFonts w:ascii="Times New Roman" w:eastAsia="Times New Roman"/>
                <w:sz w:val="24"/>
              </w:rPr>
              <w:t>6</w:t>
            </w:r>
            <w:r>
              <w:rPr>
                <w:sz w:val="24"/>
              </w:rPr>
              <w:t>） 理解我们的职业道路是一系列选择的反映</w:t>
            </w:r>
          </w:p>
        </w:tc>
      </w:tr>
      <w:tr>
        <w:trPr>
          <w:trHeight w:val="361" w:hRule="atLeast"/>
        </w:trPr>
        <w:tc>
          <w:tcPr>
            <w:tcW w:w="795" w:type="dxa"/>
            <w:vMerge/>
            <w:tcBorders>
              <w:top w:val="nil"/>
            </w:tcBorders>
          </w:tcPr>
          <w:p>
            <w:pPr>
              <w:rPr>
                <w:sz w:val="2"/>
                <w:szCs w:val="2"/>
              </w:rPr>
            </w:pPr>
          </w:p>
        </w:tc>
        <w:tc>
          <w:tcPr>
            <w:tcW w:w="1075" w:type="dxa"/>
            <w:tcBorders>
              <w:top w:val="nil"/>
              <w:bottom w:val="nil"/>
            </w:tcBorders>
          </w:tcPr>
          <w:p>
            <w:pPr>
              <w:pStyle w:val="TableParagraph"/>
              <w:rPr>
                <w:rFonts w:ascii="Times New Roman"/>
                <w:sz w:val="22"/>
              </w:rPr>
            </w:pPr>
          </w:p>
        </w:tc>
        <w:tc>
          <w:tcPr>
            <w:tcW w:w="6470" w:type="dxa"/>
            <w:tcBorders>
              <w:top w:val="nil"/>
              <w:bottom w:val="nil"/>
            </w:tcBorders>
          </w:tcPr>
          <w:p>
            <w:pPr>
              <w:pStyle w:val="TableParagraph"/>
              <w:spacing w:before="22"/>
              <w:ind w:left="108"/>
              <w:rPr>
                <w:sz w:val="24"/>
              </w:rPr>
            </w:pPr>
            <w:r>
              <w:rPr>
                <w:sz w:val="24"/>
              </w:rPr>
              <w:t>（</w:t>
            </w:r>
            <w:r>
              <w:rPr>
                <w:rFonts w:ascii="Times New Roman" w:eastAsia="Times New Roman"/>
                <w:sz w:val="24"/>
              </w:rPr>
              <w:t>7</w:t>
            </w:r>
            <w:r>
              <w:rPr>
                <w:sz w:val="24"/>
              </w:rPr>
              <w:t>） 展示需要评估工作和学习机会的技能、知识和态度</w:t>
            </w:r>
          </w:p>
        </w:tc>
      </w:tr>
      <w:tr>
        <w:trPr>
          <w:trHeight w:val="390" w:hRule="atLeast"/>
        </w:trPr>
        <w:tc>
          <w:tcPr>
            <w:tcW w:w="795" w:type="dxa"/>
            <w:vMerge/>
            <w:tcBorders>
              <w:top w:val="nil"/>
            </w:tcBorders>
          </w:tcPr>
          <w:p>
            <w:pPr>
              <w:rPr>
                <w:sz w:val="2"/>
                <w:szCs w:val="2"/>
              </w:rPr>
            </w:pPr>
          </w:p>
        </w:tc>
        <w:tc>
          <w:tcPr>
            <w:tcW w:w="1075" w:type="dxa"/>
            <w:tcBorders>
              <w:top w:val="nil"/>
            </w:tcBorders>
          </w:tcPr>
          <w:p>
            <w:pPr>
              <w:pStyle w:val="TableParagraph"/>
              <w:rPr>
                <w:rFonts w:ascii="Times New Roman"/>
                <w:sz w:val="22"/>
              </w:rPr>
            </w:pPr>
          </w:p>
        </w:tc>
        <w:tc>
          <w:tcPr>
            <w:tcW w:w="6470" w:type="dxa"/>
            <w:tcBorders>
              <w:top w:val="nil"/>
            </w:tcBorders>
          </w:tcPr>
          <w:p>
            <w:pPr>
              <w:pStyle w:val="TableParagraph"/>
              <w:spacing w:before="22"/>
              <w:ind w:left="108"/>
              <w:rPr>
                <w:sz w:val="24"/>
              </w:rPr>
            </w:pPr>
            <w:r>
              <w:rPr>
                <w:sz w:val="24"/>
              </w:rPr>
              <w:t>（</w:t>
            </w:r>
            <w:r>
              <w:rPr>
                <w:rFonts w:ascii="Times New Roman" w:eastAsia="Times New Roman"/>
                <w:sz w:val="24"/>
              </w:rPr>
              <w:t>8</w:t>
            </w:r>
            <w:r>
              <w:rPr>
                <w:sz w:val="24"/>
              </w:rPr>
              <w:t>） 能够设计一系列创造性场景支持我们未来的首要选择</w:t>
            </w:r>
          </w:p>
        </w:tc>
      </w:tr>
      <w:tr>
        <w:trPr>
          <w:trHeight w:val="402" w:hRule="atLeast"/>
        </w:trPr>
        <w:tc>
          <w:tcPr>
            <w:tcW w:w="795" w:type="dxa"/>
            <w:vMerge/>
            <w:tcBorders>
              <w:top w:val="nil"/>
            </w:tcBorders>
          </w:tcPr>
          <w:p>
            <w:pPr>
              <w:rPr>
                <w:sz w:val="2"/>
                <w:szCs w:val="2"/>
              </w:rPr>
            </w:pPr>
          </w:p>
        </w:tc>
        <w:tc>
          <w:tcPr>
            <w:tcW w:w="1075" w:type="dxa"/>
            <w:tcBorders>
              <w:bottom w:val="nil"/>
            </w:tcBorders>
          </w:tcPr>
          <w:p>
            <w:pPr>
              <w:pStyle w:val="TableParagraph"/>
              <w:rPr>
                <w:rFonts w:ascii="Times New Roman"/>
                <w:sz w:val="22"/>
              </w:rPr>
            </w:pPr>
          </w:p>
        </w:tc>
        <w:tc>
          <w:tcPr>
            <w:tcW w:w="6470" w:type="dxa"/>
            <w:tcBorders>
              <w:bottom w:val="nil"/>
            </w:tcBorders>
          </w:tcPr>
          <w:p>
            <w:pPr>
              <w:pStyle w:val="TableParagraph"/>
              <w:spacing w:before="62"/>
              <w:ind w:left="108"/>
              <w:rPr>
                <w:sz w:val="24"/>
              </w:rPr>
            </w:pPr>
            <w:r>
              <w:rPr>
                <w:sz w:val="24"/>
              </w:rPr>
              <w:t>（</w:t>
            </w:r>
            <w:r>
              <w:rPr>
                <w:rFonts w:ascii="Times New Roman" w:eastAsia="Times New Roman"/>
                <w:sz w:val="24"/>
              </w:rPr>
              <w:t>1</w:t>
            </w:r>
            <w:r>
              <w:rPr>
                <w:sz w:val="24"/>
              </w:rPr>
              <w:t>） 意识到我们可能扮演的角色</w:t>
            </w:r>
          </w:p>
        </w:tc>
      </w:tr>
      <w:tr>
        <w:trPr>
          <w:trHeight w:val="362" w:hRule="atLeast"/>
        </w:trPr>
        <w:tc>
          <w:tcPr>
            <w:tcW w:w="795" w:type="dxa"/>
            <w:vMerge/>
            <w:tcBorders>
              <w:top w:val="nil"/>
            </w:tcBorders>
          </w:tcPr>
          <w:p>
            <w:pPr>
              <w:rPr>
                <w:sz w:val="2"/>
                <w:szCs w:val="2"/>
              </w:rPr>
            </w:pPr>
          </w:p>
        </w:tc>
        <w:tc>
          <w:tcPr>
            <w:tcW w:w="1075" w:type="dxa"/>
            <w:tcBorders>
              <w:top w:val="nil"/>
              <w:bottom w:val="nil"/>
            </w:tcBorders>
          </w:tcPr>
          <w:p>
            <w:pPr>
              <w:pStyle w:val="TableParagraph"/>
              <w:rPr>
                <w:rFonts w:ascii="Times New Roman"/>
                <w:sz w:val="22"/>
              </w:rPr>
            </w:pPr>
          </w:p>
        </w:tc>
        <w:tc>
          <w:tcPr>
            <w:tcW w:w="6470" w:type="dxa"/>
            <w:tcBorders>
              <w:top w:val="nil"/>
              <w:bottom w:val="nil"/>
            </w:tcBorders>
          </w:tcPr>
          <w:p>
            <w:pPr>
              <w:pStyle w:val="TableParagraph"/>
              <w:spacing w:before="22"/>
              <w:ind w:left="108"/>
              <w:rPr>
                <w:sz w:val="24"/>
              </w:rPr>
            </w:pPr>
            <w:r>
              <w:rPr>
                <w:sz w:val="24"/>
              </w:rPr>
              <w:t>（</w:t>
            </w:r>
            <w:r>
              <w:rPr>
                <w:rFonts w:ascii="Times New Roman" w:eastAsia="Times New Roman"/>
                <w:sz w:val="24"/>
              </w:rPr>
              <w:t>2</w:t>
            </w:r>
            <w:r>
              <w:rPr>
                <w:sz w:val="24"/>
              </w:rPr>
              <w:t>） 了解我们扮演的每个角色的责任</w:t>
            </w:r>
          </w:p>
        </w:tc>
      </w:tr>
      <w:tr>
        <w:trPr>
          <w:trHeight w:val="980" w:hRule="atLeast"/>
        </w:trPr>
        <w:tc>
          <w:tcPr>
            <w:tcW w:w="795" w:type="dxa"/>
            <w:vMerge/>
            <w:tcBorders>
              <w:top w:val="nil"/>
            </w:tcBorders>
          </w:tcPr>
          <w:p>
            <w:pPr>
              <w:rPr>
                <w:sz w:val="2"/>
                <w:szCs w:val="2"/>
              </w:rPr>
            </w:pPr>
          </w:p>
        </w:tc>
        <w:tc>
          <w:tcPr>
            <w:tcW w:w="1075" w:type="dxa"/>
            <w:tcBorders>
              <w:top w:val="nil"/>
              <w:bottom w:val="nil"/>
            </w:tcBorders>
          </w:tcPr>
          <w:p>
            <w:pPr>
              <w:pStyle w:val="TableParagraph"/>
              <w:spacing w:line="242" w:lineRule="auto" w:before="22"/>
              <w:ind w:left="108" w:right="95"/>
              <w:jc w:val="both"/>
              <w:rPr>
                <w:sz w:val="24"/>
              </w:rPr>
            </w:pPr>
            <w:r>
              <w:rPr>
                <w:rFonts w:ascii="Times New Roman" w:eastAsia="Times New Roman"/>
                <w:sz w:val="24"/>
              </w:rPr>
              <w:t>9. </w:t>
            </w:r>
            <w:r>
              <w:rPr>
                <w:spacing w:val="-20"/>
                <w:sz w:val="24"/>
              </w:rPr>
              <w:t>维 持</w:t>
            </w:r>
            <w:r>
              <w:rPr>
                <w:spacing w:val="-25"/>
                <w:sz w:val="24"/>
              </w:rPr>
              <w:t>生 活 和工 作 的</w:t>
            </w:r>
          </w:p>
        </w:tc>
        <w:tc>
          <w:tcPr>
            <w:tcW w:w="6470" w:type="dxa"/>
            <w:tcBorders>
              <w:top w:val="nil"/>
              <w:bottom w:val="nil"/>
            </w:tcBorders>
          </w:tcPr>
          <w:p>
            <w:pPr>
              <w:pStyle w:val="TableParagraph"/>
              <w:numPr>
                <w:ilvl w:val="0"/>
                <w:numId w:val="30"/>
              </w:numPr>
              <w:tabs>
                <w:tab w:pos="829" w:val="left" w:leader="none"/>
              </w:tabs>
              <w:spacing w:line="240" w:lineRule="auto" w:before="22" w:after="0"/>
              <w:ind w:left="828" w:right="0" w:hanging="721"/>
              <w:jc w:val="left"/>
              <w:rPr>
                <w:sz w:val="24"/>
              </w:rPr>
            </w:pPr>
            <w:r>
              <w:rPr>
                <w:sz w:val="24"/>
              </w:rPr>
              <w:t>理解不同角色具备的精神、动机等</w:t>
            </w:r>
          </w:p>
          <w:p>
            <w:pPr>
              <w:pStyle w:val="TableParagraph"/>
              <w:numPr>
                <w:ilvl w:val="0"/>
                <w:numId w:val="30"/>
              </w:numPr>
              <w:tabs>
                <w:tab w:pos="829" w:val="left" w:leader="none"/>
              </w:tabs>
              <w:spacing w:line="310" w:lineRule="atLeast" w:before="62" w:after="0"/>
              <w:ind w:left="108" w:right="97" w:firstLine="0"/>
              <w:jc w:val="left"/>
              <w:rPr>
                <w:sz w:val="24"/>
              </w:rPr>
            </w:pPr>
            <w:r>
              <w:rPr>
                <w:spacing w:val="-1"/>
                <w:sz w:val="24"/>
              </w:rPr>
              <w:t>理解各种生活和工作角色对我们规划的未来或生活方</w:t>
            </w:r>
            <w:r>
              <w:rPr>
                <w:sz w:val="24"/>
              </w:rPr>
              <w:t>式的影响</w:t>
            </w:r>
          </w:p>
        </w:tc>
      </w:tr>
      <w:tr>
        <w:trPr>
          <w:trHeight w:val="797" w:hRule="atLeast"/>
        </w:trPr>
        <w:tc>
          <w:tcPr>
            <w:tcW w:w="795" w:type="dxa"/>
            <w:vMerge/>
            <w:tcBorders>
              <w:top w:val="nil"/>
            </w:tcBorders>
          </w:tcPr>
          <w:p>
            <w:pPr>
              <w:rPr>
                <w:sz w:val="2"/>
                <w:szCs w:val="2"/>
              </w:rPr>
            </w:pPr>
          </w:p>
        </w:tc>
        <w:tc>
          <w:tcPr>
            <w:tcW w:w="1075" w:type="dxa"/>
            <w:tcBorders>
              <w:top w:val="nil"/>
            </w:tcBorders>
          </w:tcPr>
          <w:p>
            <w:pPr>
              <w:pStyle w:val="TableParagraph"/>
              <w:spacing w:line="244" w:lineRule="exact"/>
              <w:ind w:left="108"/>
              <w:rPr>
                <w:sz w:val="24"/>
              </w:rPr>
            </w:pPr>
            <w:r>
              <w:rPr>
                <w:spacing w:val="-22"/>
                <w:sz w:val="24"/>
              </w:rPr>
              <w:t>角 色 平</w:t>
            </w:r>
          </w:p>
          <w:p>
            <w:pPr>
              <w:pStyle w:val="TableParagraph"/>
              <w:spacing w:before="4"/>
              <w:ind w:left="108"/>
              <w:rPr>
                <w:sz w:val="24"/>
              </w:rPr>
            </w:pPr>
            <w:r>
              <w:rPr>
                <w:sz w:val="24"/>
              </w:rPr>
              <w:t>衡</w:t>
            </w:r>
          </w:p>
        </w:tc>
        <w:tc>
          <w:tcPr>
            <w:tcW w:w="6470" w:type="dxa"/>
            <w:tcBorders>
              <w:top w:val="nil"/>
            </w:tcBorders>
          </w:tcPr>
          <w:p>
            <w:pPr>
              <w:pStyle w:val="TableParagraph"/>
              <w:numPr>
                <w:ilvl w:val="0"/>
                <w:numId w:val="31"/>
              </w:numPr>
              <w:tabs>
                <w:tab w:pos="829" w:val="left" w:leader="none"/>
              </w:tabs>
              <w:spacing w:line="240" w:lineRule="auto" w:before="56" w:after="0"/>
              <w:ind w:left="828" w:right="0" w:hanging="721"/>
              <w:jc w:val="left"/>
              <w:rPr>
                <w:sz w:val="24"/>
              </w:rPr>
            </w:pPr>
            <w:r>
              <w:rPr>
                <w:sz w:val="24"/>
              </w:rPr>
              <w:t>决定我们工作、家庭和休闲活动的价值</w:t>
            </w:r>
          </w:p>
          <w:p>
            <w:pPr>
              <w:pStyle w:val="TableParagraph"/>
              <w:numPr>
                <w:ilvl w:val="0"/>
                <w:numId w:val="31"/>
              </w:numPr>
              <w:tabs>
                <w:tab w:pos="829" w:val="left" w:leader="none"/>
              </w:tabs>
              <w:spacing w:line="240" w:lineRule="auto" w:before="65" w:after="0"/>
              <w:ind w:left="828" w:right="0" w:hanging="721"/>
              <w:jc w:val="left"/>
              <w:rPr>
                <w:sz w:val="24"/>
              </w:rPr>
            </w:pPr>
            <w:r>
              <w:rPr>
                <w:sz w:val="24"/>
              </w:rPr>
              <w:t>能够确定使生活保持平衡的工作、家庭和闲暇的种类</w:t>
            </w:r>
          </w:p>
        </w:tc>
      </w:tr>
      <w:tr>
        <w:trPr>
          <w:trHeight w:val="705" w:hRule="atLeast"/>
        </w:trPr>
        <w:tc>
          <w:tcPr>
            <w:tcW w:w="795" w:type="dxa"/>
            <w:vMerge/>
            <w:tcBorders>
              <w:top w:val="nil"/>
            </w:tcBorders>
          </w:tcPr>
          <w:p>
            <w:pPr>
              <w:rPr>
                <w:sz w:val="2"/>
                <w:szCs w:val="2"/>
              </w:rPr>
            </w:pPr>
          </w:p>
        </w:tc>
        <w:tc>
          <w:tcPr>
            <w:tcW w:w="1075" w:type="dxa"/>
            <w:tcBorders>
              <w:bottom w:val="nil"/>
            </w:tcBorders>
          </w:tcPr>
          <w:p>
            <w:pPr>
              <w:pStyle w:val="TableParagraph"/>
              <w:rPr>
                <w:rFonts w:ascii="Times New Roman"/>
                <w:sz w:val="22"/>
              </w:rPr>
            </w:pPr>
          </w:p>
        </w:tc>
        <w:tc>
          <w:tcPr>
            <w:tcW w:w="6470" w:type="dxa"/>
            <w:tcBorders>
              <w:bottom w:val="nil"/>
            </w:tcBorders>
          </w:tcPr>
          <w:p>
            <w:pPr>
              <w:pStyle w:val="TableParagraph"/>
              <w:spacing w:line="242" w:lineRule="auto" w:before="62"/>
              <w:ind w:left="108" w:right="97"/>
              <w:rPr>
                <w:sz w:val="24"/>
              </w:rPr>
            </w:pPr>
            <w:r>
              <w:rPr>
                <w:sz w:val="24"/>
              </w:rPr>
              <w:t>（</w:t>
            </w:r>
            <w:r>
              <w:rPr>
                <w:rFonts w:ascii="Times New Roman" w:eastAsia="Times New Roman"/>
                <w:sz w:val="24"/>
              </w:rPr>
              <w:t>1</w:t>
            </w:r>
            <w:r>
              <w:rPr>
                <w:sz w:val="24"/>
              </w:rPr>
              <w:t>） 理解男性和女性在工作和生活环境中不断变化的生活角色</w:t>
            </w:r>
          </w:p>
        </w:tc>
      </w:tr>
      <w:tr>
        <w:trPr>
          <w:trHeight w:val="703" w:hRule="atLeast"/>
        </w:trPr>
        <w:tc>
          <w:tcPr>
            <w:tcW w:w="795" w:type="dxa"/>
            <w:vMerge/>
            <w:tcBorders>
              <w:top w:val="nil"/>
            </w:tcBorders>
          </w:tcPr>
          <w:p>
            <w:pPr>
              <w:rPr>
                <w:sz w:val="2"/>
                <w:szCs w:val="2"/>
              </w:rPr>
            </w:pPr>
          </w:p>
        </w:tc>
        <w:tc>
          <w:tcPr>
            <w:tcW w:w="1075" w:type="dxa"/>
            <w:tcBorders>
              <w:top w:val="nil"/>
              <w:bottom w:val="nil"/>
            </w:tcBorders>
          </w:tcPr>
          <w:p>
            <w:pPr>
              <w:pStyle w:val="TableParagraph"/>
              <w:spacing w:line="310" w:lineRule="atLeast" w:before="88"/>
              <w:ind w:left="108" w:right="54"/>
              <w:rPr>
                <w:sz w:val="24"/>
              </w:rPr>
            </w:pPr>
            <w:r>
              <w:rPr>
                <w:rFonts w:ascii="Times New Roman" w:eastAsia="Times New Roman"/>
                <w:sz w:val="24"/>
              </w:rPr>
              <w:t>10. </w:t>
            </w:r>
            <w:r>
              <w:rPr>
                <w:spacing w:val="12"/>
                <w:sz w:val="24"/>
              </w:rPr>
              <w:t>理解</w:t>
            </w:r>
            <w:r>
              <w:rPr>
                <w:spacing w:val="-25"/>
                <w:sz w:val="24"/>
              </w:rPr>
              <w:t>生 活 和</w:t>
            </w:r>
          </w:p>
        </w:tc>
        <w:tc>
          <w:tcPr>
            <w:tcW w:w="6470" w:type="dxa"/>
            <w:tcBorders>
              <w:top w:val="nil"/>
              <w:bottom w:val="nil"/>
            </w:tcBorders>
          </w:tcPr>
          <w:p>
            <w:pPr>
              <w:pStyle w:val="TableParagraph"/>
              <w:spacing w:line="242" w:lineRule="auto" w:before="31"/>
              <w:ind w:left="108" w:right="97"/>
              <w:rPr>
                <w:sz w:val="24"/>
              </w:rPr>
            </w:pPr>
            <w:r>
              <w:rPr>
                <w:sz w:val="24"/>
              </w:rPr>
              <w:t>（</w:t>
            </w:r>
            <w:r>
              <w:rPr>
                <w:rFonts w:ascii="Times New Roman" w:eastAsia="Times New Roman"/>
                <w:sz w:val="24"/>
              </w:rPr>
              <w:t>2</w:t>
            </w:r>
            <w:r>
              <w:rPr>
                <w:sz w:val="24"/>
              </w:rPr>
              <w:t>） 理解贡献，无论是对家庭内部的贡献还是外部贡献都对家庭和社会至关重要</w:t>
            </w:r>
          </w:p>
        </w:tc>
      </w:tr>
      <w:tr>
        <w:trPr>
          <w:trHeight w:val="613" w:hRule="atLeast"/>
        </w:trPr>
        <w:tc>
          <w:tcPr>
            <w:tcW w:w="795" w:type="dxa"/>
            <w:vMerge/>
            <w:tcBorders>
              <w:top w:val="nil"/>
            </w:tcBorders>
          </w:tcPr>
          <w:p>
            <w:pPr>
              <w:rPr>
                <w:sz w:val="2"/>
                <w:szCs w:val="2"/>
              </w:rPr>
            </w:pPr>
          </w:p>
        </w:tc>
        <w:tc>
          <w:tcPr>
            <w:tcW w:w="1075" w:type="dxa"/>
            <w:tcBorders>
              <w:top w:val="nil"/>
              <w:bottom w:val="nil"/>
            </w:tcBorders>
          </w:tcPr>
          <w:p>
            <w:pPr>
              <w:pStyle w:val="TableParagraph"/>
              <w:spacing w:line="305" w:lineRule="exact"/>
              <w:ind w:left="108"/>
              <w:rPr>
                <w:sz w:val="24"/>
              </w:rPr>
            </w:pPr>
            <w:r>
              <w:rPr>
                <w:spacing w:val="-22"/>
                <w:sz w:val="24"/>
              </w:rPr>
              <w:t>工 作 角</w:t>
            </w:r>
          </w:p>
          <w:p>
            <w:pPr>
              <w:pStyle w:val="TableParagraph"/>
              <w:spacing w:line="285" w:lineRule="exact" w:before="4"/>
              <w:ind w:left="108"/>
              <w:rPr>
                <w:sz w:val="24"/>
              </w:rPr>
            </w:pPr>
            <w:r>
              <w:rPr>
                <w:spacing w:val="-22"/>
                <w:sz w:val="24"/>
              </w:rPr>
              <w:t>色 变 化</w:t>
            </w:r>
          </w:p>
        </w:tc>
        <w:tc>
          <w:tcPr>
            <w:tcW w:w="6470" w:type="dxa"/>
            <w:tcBorders>
              <w:top w:val="nil"/>
              <w:bottom w:val="nil"/>
            </w:tcBorders>
          </w:tcPr>
          <w:p>
            <w:pPr>
              <w:pStyle w:val="TableParagraph"/>
              <w:spacing w:line="305" w:lineRule="exact"/>
              <w:ind w:left="108"/>
              <w:rPr>
                <w:sz w:val="24"/>
              </w:rPr>
            </w:pPr>
            <w:r>
              <w:rPr>
                <w:sz w:val="24"/>
              </w:rPr>
              <w:t>（</w:t>
            </w:r>
            <w:r>
              <w:rPr>
                <w:rFonts w:ascii="Times New Roman" w:eastAsia="Times New Roman"/>
                <w:sz w:val="24"/>
              </w:rPr>
              <w:t>3</w:t>
            </w:r>
            <w:r>
              <w:rPr>
                <w:sz w:val="24"/>
              </w:rPr>
              <w:t>） 探索非传统的生活和职场，考虑这种情况发生的可能</w:t>
            </w:r>
          </w:p>
          <w:p>
            <w:pPr>
              <w:pStyle w:val="TableParagraph"/>
              <w:spacing w:line="285" w:lineRule="exact" w:before="4"/>
              <w:ind w:left="108"/>
              <w:rPr>
                <w:sz w:val="24"/>
              </w:rPr>
            </w:pPr>
            <w:r>
              <w:rPr>
                <w:sz w:val="24"/>
              </w:rPr>
              <w:t>性</w:t>
            </w:r>
          </w:p>
        </w:tc>
      </w:tr>
      <w:tr>
        <w:trPr>
          <w:trHeight w:val="700" w:hRule="atLeast"/>
        </w:trPr>
        <w:tc>
          <w:tcPr>
            <w:tcW w:w="795" w:type="dxa"/>
            <w:vMerge/>
            <w:tcBorders>
              <w:top w:val="nil"/>
            </w:tcBorders>
          </w:tcPr>
          <w:p>
            <w:pPr>
              <w:rPr>
                <w:sz w:val="2"/>
                <w:szCs w:val="2"/>
              </w:rPr>
            </w:pPr>
          </w:p>
        </w:tc>
        <w:tc>
          <w:tcPr>
            <w:tcW w:w="1075" w:type="dxa"/>
            <w:tcBorders>
              <w:top w:val="nil"/>
              <w:bottom w:val="nil"/>
            </w:tcBorders>
          </w:tcPr>
          <w:p>
            <w:pPr>
              <w:pStyle w:val="TableParagraph"/>
              <w:spacing w:line="305" w:lineRule="exact"/>
              <w:ind w:left="108" w:right="-15"/>
              <w:rPr>
                <w:sz w:val="24"/>
              </w:rPr>
            </w:pPr>
            <w:r>
              <w:rPr>
                <w:sz w:val="24"/>
              </w:rPr>
              <w:t>的本质；</w:t>
            </w:r>
          </w:p>
        </w:tc>
        <w:tc>
          <w:tcPr>
            <w:tcW w:w="6470" w:type="dxa"/>
            <w:tcBorders>
              <w:top w:val="nil"/>
              <w:bottom w:val="nil"/>
            </w:tcBorders>
          </w:tcPr>
          <w:p>
            <w:pPr>
              <w:pStyle w:val="TableParagraph"/>
              <w:spacing w:line="242" w:lineRule="auto" w:before="57"/>
              <w:ind w:left="108" w:right="97"/>
              <w:rPr>
                <w:sz w:val="24"/>
              </w:rPr>
            </w:pPr>
            <w:r>
              <w:rPr>
                <w:sz w:val="24"/>
              </w:rPr>
              <w:t>（</w:t>
            </w:r>
            <w:r>
              <w:rPr>
                <w:rFonts w:ascii="Times New Roman" w:eastAsia="Times New Roman"/>
                <w:sz w:val="24"/>
              </w:rPr>
              <w:t>4</w:t>
            </w:r>
            <w:r>
              <w:rPr>
                <w:sz w:val="24"/>
              </w:rPr>
              <w:t>） 意识到刻板印象、偏见和歧视行为会对女性和男性在某些工作角色上产生限制</w:t>
            </w:r>
          </w:p>
        </w:tc>
      </w:tr>
      <w:tr>
        <w:trPr>
          <w:trHeight w:val="712" w:hRule="atLeast"/>
        </w:trPr>
        <w:tc>
          <w:tcPr>
            <w:tcW w:w="795" w:type="dxa"/>
            <w:vMerge/>
            <w:tcBorders>
              <w:top w:val="nil"/>
            </w:tcBorders>
          </w:tcPr>
          <w:p>
            <w:pPr>
              <w:rPr>
                <w:sz w:val="2"/>
                <w:szCs w:val="2"/>
              </w:rPr>
            </w:pPr>
          </w:p>
        </w:tc>
        <w:tc>
          <w:tcPr>
            <w:tcW w:w="1075" w:type="dxa"/>
            <w:tcBorders>
              <w:top w:val="nil"/>
            </w:tcBorders>
          </w:tcPr>
          <w:p>
            <w:pPr>
              <w:pStyle w:val="TableParagraph"/>
              <w:rPr>
                <w:rFonts w:ascii="Times New Roman"/>
                <w:sz w:val="22"/>
              </w:rPr>
            </w:pPr>
          </w:p>
        </w:tc>
        <w:tc>
          <w:tcPr>
            <w:tcW w:w="6470" w:type="dxa"/>
            <w:tcBorders>
              <w:top w:val="nil"/>
            </w:tcBorders>
          </w:tcPr>
          <w:p>
            <w:pPr>
              <w:pStyle w:val="TableParagraph"/>
              <w:spacing w:line="242" w:lineRule="auto" w:before="31"/>
              <w:ind w:left="108" w:right="97"/>
              <w:rPr>
                <w:sz w:val="24"/>
              </w:rPr>
            </w:pPr>
            <w:r>
              <w:rPr>
                <w:sz w:val="24"/>
              </w:rPr>
              <w:t>（</w:t>
            </w:r>
            <w:r>
              <w:rPr>
                <w:rFonts w:ascii="Times New Roman" w:eastAsia="Times New Roman"/>
                <w:sz w:val="24"/>
              </w:rPr>
              <w:t>5</w:t>
            </w:r>
            <w:r>
              <w:rPr>
                <w:sz w:val="24"/>
              </w:rPr>
              <w:t>） 表明有助于消除性别偏见和刻板印象的态度、行为和技能。</w:t>
            </w:r>
          </w:p>
        </w:tc>
      </w:tr>
      <w:tr>
        <w:trPr>
          <w:trHeight w:val="402" w:hRule="atLeast"/>
        </w:trPr>
        <w:tc>
          <w:tcPr>
            <w:tcW w:w="795" w:type="dxa"/>
            <w:vMerge/>
            <w:tcBorders>
              <w:top w:val="nil"/>
            </w:tcBorders>
          </w:tcPr>
          <w:p>
            <w:pPr>
              <w:rPr>
                <w:sz w:val="2"/>
                <w:szCs w:val="2"/>
              </w:rPr>
            </w:pPr>
          </w:p>
        </w:tc>
        <w:tc>
          <w:tcPr>
            <w:tcW w:w="1075" w:type="dxa"/>
            <w:tcBorders>
              <w:bottom w:val="nil"/>
            </w:tcBorders>
          </w:tcPr>
          <w:p>
            <w:pPr>
              <w:pStyle w:val="TableParagraph"/>
              <w:rPr>
                <w:rFonts w:ascii="Times New Roman"/>
                <w:sz w:val="22"/>
              </w:rPr>
            </w:pPr>
          </w:p>
        </w:tc>
        <w:tc>
          <w:tcPr>
            <w:tcW w:w="6470" w:type="dxa"/>
            <w:tcBorders>
              <w:bottom w:val="nil"/>
            </w:tcBorders>
          </w:tcPr>
          <w:p>
            <w:pPr>
              <w:pStyle w:val="TableParagraph"/>
              <w:spacing w:before="62"/>
              <w:ind w:left="108"/>
              <w:rPr>
                <w:sz w:val="24"/>
              </w:rPr>
            </w:pPr>
            <w:r>
              <w:rPr>
                <w:sz w:val="24"/>
              </w:rPr>
              <w:t>（</w:t>
            </w:r>
            <w:r>
              <w:rPr>
                <w:rFonts w:ascii="Times New Roman" w:eastAsia="Times New Roman"/>
                <w:sz w:val="24"/>
              </w:rPr>
              <w:t>1</w:t>
            </w:r>
            <w:r>
              <w:rPr>
                <w:sz w:val="24"/>
              </w:rPr>
              <w:t>） 能够定义我们的首要选择并持续反思</w:t>
            </w:r>
          </w:p>
        </w:tc>
      </w:tr>
      <w:tr>
        <w:trPr>
          <w:trHeight w:val="361" w:hRule="atLeast"/>
        </w:trPr>
        <w:tc>
          <w:tcPr>
            <w:tcW w:w="795" w:type="dxa"/>
            <w:vMerge/>
            <w:tcBorders>
              <w:top w:val="nil"/>
            </w:tcBorders>
          </w:tcPr>
          <w:p>
            <w:pPr>
              <w:rPr>
                <w:sz w:val="2"/>
                <w:szCs w:val="2"/>
              </w:rPr>
            </w:pPr>
          </w:p>
        </w:tc>
        <w:tc>
          <w:tcPr>
            <w:tcW w:w="1075" w:type="dxa"/>
            <w:tcBorders>
              <w:top w:val="nil"/>
              <w:bottom w:val="nil"/>
            </w:tcBorders>
          </w:tcPr>
          <w:p>
            <w:pPr>
              <w:pStyle w:val="TableParagraph"/>
              <w:rPr>
                <w:rFonts w:ascii="Times New Roman"/>
                <w:sz w:val="22"/>
              </w:rPr>
            </w:pPr>
          </w:p>
        </w:tc>
        <w:tc>
          <w:tcPr>
            <w:tcW w:w="6470" w:type="dxa"/>
            <w:tcBorders>
              <w:top w:val="nil"/>
              <w:bottom w:val="nil"/>
            </w:tcBorders>
          </w:tcPr>
          <w:p>
            <w:pPr>
              <w:pStyle w:val="TableParagraph"/>
              <w:spacing w:before="22"/>
              <w:ind w:left="108"/>
              <w:rPr>
                <w:sz w:val="24"/>
              </w:rPr>
            </w:pPr>
            <w:r>
              <w:rPr>
                <w:sz w:val="24"/>
              </w:rPr>
              <w:t>（</w:t>
            </w:r>
            <w:r>
              <w:rPr>
                <w:rFonts w:ascii="Times New Roman" w:eastAsia="Times New Roman"/>
                <w:sz w:val="24"/>
              </w:rPr>
              <w:t>2</w:t>
            </w:r>
            <w:r>
              <w:rPr>
                <w:sz w:val="24"/>
              </w:rPr>
              <w:t>） 能够利用我们未来的首要职业选择构建职业场景</w:t>
            </w:r>
          </w:p>
        </w:tc>
      </w:tr>
      <w:tr>
        <w:trPr>
          <w:trHeight w:val="677" w:hRule="atLeast"/>
        </w:trPr>
        <w:tc>
          <w:tcPr>
            <w:tcW w:w="795" w:type="dxa"/>
            <w:vMerge/>
            <w:tcBorders>
              <w:top w:val="nil"/>
            </w:tcBorders>
          </w:tcPr>
          <w:p>
            <w:pPr>
              <w:rPr>
                <w:sz w:val="2"/>
                <w:szCs w:val="2"/>
              </w:rPr>
            </w:pPr>
          </w:p>
        </w:tc>
        <w:tc>
          <w:tcPr>
            <w:tcW w:w="1075" w:type="dxa"/>
            <w:tcBorders>
              <w:top w:val="nil"/>
              <w:bottom w:val="nil"/>
            </w:tcBorders>
          </w:tcPr>
          <w:p>
            <w:pPr>
              <w:pStyle w:val="TableParagraph"/>
              <w:tabs>
                <w:tab w:pos="727" w:val="left" w:leader="none"/>
              </w:tabs>
              <w:spacing w:line="242" w:lineRule="auto" w:before="22"/>
              <w:ind w:left="108" w:right="95"/>
              <w:rPr>
                <w:sz w:val="24"/>
              </w:rPr>
            </w:pPr>
            <w:r>
              <w:rPr>
                <w:rFonts w:ascii="Times New Roman" w:eastAsia="Times New Roman"/>
                <w:spacing w:val="-3"/>
                <w:sz w:val="24"/>
              </w:rPr>
              <w:t>11.</w:t>
              <w:tab/>
            </w:r>
            <w:r>
              <w:rPr>
                <w:spacing w:val="-17"/>
                <w:sz w:val="24"/>
              </w:rPr>
              <w:t>理</w:t>
            </w:r>
            <w:r>
              <w:rPr>
                <w:spacing w:val="-30"/>
                <w:sz w:val="24"/>
              </w:rPr>
              <w:t>解、参与</w:t>
            </w:r>
          </w:p>
        </w:tc>
        <w:tc>
          <w:tcPr>
            <w:tcW w:w="6470" w:type="dxa"/>
            <w:tcBorders>
              <w:top w:val="nil"/>
              <w:bottom w:val="nil"/>
            </w:tcBorders>
          </w:tcPr>
          <w:p>
            <w:pPr>
              <w:pStyle w:val="TableParagraph"/>
              <w:spacing w:before="22"/>
              <w:ind w:left="108"/>
              <w:rPr>
                <w:sz w:val="24"/>
              </w:rPr>
            </w:pPr>
            <w:r>
              <w:rPr>
                <w:sz w:val="24"/>
              </w:rPr>
              <w:t>（</w:t>
            </w:r>
            <w:r>
              <w:rPr>
                <w:rFonts w:ascii="Times New Roman" w:eastAsia="Times New Roman"/>
                <w:sz w:val="24"/>
              </w:rPr>
              <w:t>3</w:t>
            </w:r>
            <w:r>
              <w:rPr>
                <w:sz w:val="24"/>
              </w:rPr>
              <w:t>） 理解设置目标的重要性</w:t>
            </w:r>
          </w:p>
          <w:p>
            <w:pPr>
              <w:pStyle w:val="TableParagraph"/>
              <w:spacing w:line="264" w:lineRule="exact" w:before="64"/>
              <w:ind w:left="108"/>
              <w:rPr>
                <w:sz w:val="24"/>
              </w:rPr>
            </w:pPr>
            <w:r>
              <w:rPr>
                <w:sz w:val="24"/>
              </w:rPr>
              <w:t>（</w:t>
            </w:r>
            <w:r>
              <w:rPr>
                <w:rFonts w:ascii="Times New Roman" w:eastAsia="Times New Roman"/>
                <w:sz w:val="24"/>
              </w:rPr>
              <w:t>5</w:t>
            </w:r>
            <w:r>
              <w:rPr>
                <w:sz w:val="24"/>
              </w:rPr>
              <w:t>） 能够根据我们的首要职业选择制定并执行生涯计划</w:t>
            </w:r>
          </w:p>
        </w:tc>
      </w:tr>
      <w:tr>
        <w:trPr>
          <w:trHeight w:val="1816" w:hRule="atLeast"/>
        </w:trPr>
        <w:tc>
          <w:tcPr>
            <w:tcW w:w="795" w:type="dxa"/>
            <w:vMerge/>
            <w:tcBorders>
              <w:top w:val="nil"/>
            </w:tcBorders>
          </w:tcPr>
          <w:p>
            <w:pPr>
              <w:rPr>
                <w:sz w:val="2"/>
                <w:szCs w:val="2"/>
              </w:rPr>
            </w:pPr>
          </w:p>
        </w:tc>
        <w:tc>
          <w:tcPr>
            <w:tcW w:w="1075" w:type="dxa"/>
            <w:tcBorders>
              <w:top w:val="nil"/>
            </w:tcBorders>
          </w:tcPr>
          <w:p>
            <w:pPr>
              <w:pStyle w:val="TableParagraph"/>
              <w:spacing w:line="266" w:lineRule="exact"/>
              <w:ind w:left="108"/>
              <w:jc w:val="both"/>
              <w:rPr>
                <w:sz w:val="24"/>
              </w:rPr>
            </w:pPr>
            <w:r>
              <w:rPr>
                <w:spacing w:val="-22"/>
                <w:sz w:val="24"/>
              </w:rPr>
              <w:t>和 管 理</w:t>
            </w:r>
          </w:p>
          <w:p>
            <w:pPr>
              <w:pStyle w:val="TableParagraph"/>
              <w:spacing w:line="242" w:lineRule="auto" w:before="4"/>
              <w:ind w:left="108" w:right="95"/>
              <w:jc w:val="both"/>
              <w:rPr>
                <w:sz w:val="24"/>
              </w:rPr>
            </w:pPr>
            <w:r>
              <w:rPr>
                <w:spacing w:val="-25"/>
                <w:sz w:val="24"/>
              </w:rPr>
              <w:t>生 涯 构建 的 过</w:t>
            </w:r>
            <w:r>
              <w:rPr>
                <w:sz w:val="24"/>
              </w:rPr>
              <w:t>程。</w:t>
            </w:r>
          </w:p>
        </w:tc>
        <w:tc>
          <w:tcPr>
            <w:tcW w:w="6470" w:type="dxa"/>
            <w:tcBorders>
              <w:top w:val="nil"/>
            </w:tcBorders>
          </w:tcPr>
          <w:p>
            <w:pPr>
              <w:pStyle w:val="TableParagraph"/>
              <w:numPr>
                <w:ilvl w:val="0"/>
                <w:numId w:val="32"/>
              </w:numPr>
              <w:tabs>
                <w:tab w:pos="829" w:val="left" w:leader="none"/>
              </w:tabs>
              <w:spacing w:line="240" w:lineRule="auto" w:before="78" w:after="0"/>
              <w:ind w:left="828" w:right="0" w:hanging="721"/>
              <w:jc w:val="left"/>
              <w:rPr>
                <w:sz w:val="24"/>
              </w:rPr>
            </w:pPr>
            <w:r>
              <w:rPr>
                <w:sz w:val="24"/>
              </w:rPr>
              <w:t>能够创建并维护职业组合</w:t>
            </w:r>
          </w:p>
          <w:p>
            <w:pPr>
              <w:pStyle w:val="TableParagraph"/>
              <w:numPr>
                <w:ilvl w:val="0"/>
                <w:numId w:val="32"/>
              </w:numPr>
              <w:tabs>
                <w:tab w:pos="829" w:val="left" w:leader="none"/>
              </w:tabs>
              <w:spacing w:line="242" w:lineRule="auto" w:before="64" w:after="0"/>
              <w:ind w:left="108" w:right="97" w:firstLine="0"/>
              <w:jc w:val="left"/>
              <w:rPr>
                <w:sz w:val="24"/>
              </w:rPr>
            </w:pPr>
            <w:r>
              <w:rPr>
                <w:spacing w:val="-1"/>
                <w:sz w:val="24"/>
              </w:rPr>
              <w:t>理解冒险精神和积极态度对我们职业生涯构建过程的</w:t>
            </w:r>
            <w:r>
              <w:rPr>
                <w:sz w:val="24"/>
              </w:rPr>
              <w:t>重要性</w:t>
            </w:r>
          </w:p>
          <w:p>
            <w:pPr>
              <w:pStyle w:val="TableParagraph"/>
              <w:numPr>
                <w:ilvl w:val="0"/>
                <w:numId w:val="32"/>
              </w:numPr>
              <w:tabs>
                <w:tab w:pos="829" w:val="left" w:leader="none"/>
              </w:tabs>
              <w:spacing w:line="242" w:lineRule="auto" w:before="63" w:after="0"/>
              <w:ind w:left="108" w:right="97" w:firstLine="0"/>
              <w:jc w:val="left"/>
              <w:rPr>
                <w:sz w:val="24"/>
              </w:rPr>
            </w:pPr>
            <w:r>
              <w:rPr>
                <w:spacing w:val="-1"/>
                <w:sz w:val="24"/>
              </w:rPr>
              <w:t>知道如何计划和采取策略或在过渡期时创造新的生涯</w:t>
            </w:r>
            <w:r>
              <w:rPr>
                <w:sz w:val="24"/>
              </w:rPr>
              <w:t>场景，例如开始一个家庭、退休或失业等</w:t>
            </w:r>
          </w:p>
        </w:tc>
      </w:tr>
    </w:tbl>
    <w:p>
      <w:pPr>
        <w:spacing w:after="0" w:line="242" w:lineRule="auto"/>
        <w:jc w:val="left"/>
        <w:rPr>
          <w:sz w:val="24"/>
        </w:rPr>
        <w:sectPr>
          <w:pgSz w:w="11910" w:h="16840"/>
          <w:pgMar w:header="878" w:footer="1160" w:top="1300" w:bottom="1380" w:left="480" w:right="220"/>
        </w:sectPr>
      </w:pPr>
    </w:p>
    <w:p>
      <w:pPr>
        <w:pStyle w:val="BodyText"/>
        <w:spacing w:before="8"/>
        <w:rPr>
          <w:sz w:val="10"/>
        </w:rPr>
      </w:pPr>
    </w:p>
    <w:p>
      <w:pPr>
        <w:pStyle w:val="BodyText"/>
        <w:spacing w:line="364" w:lineRule="auto" w:before="74"/>
        <w:ind w:left="1320" w:right="1575" w:firstLine="480"/>
        <w:jc w:val="both"/>
      </w:pPr>
      <w:r>
        <w:rPr>
          <w:spacing w:val="-9"/>
        </w:rPr>
        <w:t>此外，澳大利亚在《</w:t>
      </w:r>
      <w:r>
        <w:rPr>
          <w:rFonts w:ascii="Times New Roman" w:hAnsi="Times New Roman" w:eastAsia="Times New Roman"/>
        </w:rPr>
        <w:t>2002 </w:t>
      </w:r>
      <w:r>
        <w:rPr>
          <w:spacing w:val="-10"/>
        </w:rPr>
        <w:t>年的未来就业能力》文件中，也提到了相关的“生涯规划素养”。该文件认为当前社会上一致认可的生涯规划素养主要有 </w:t>
      </w:r>
      <w:r>
        <w:rPr>
          <w:rFonts w:ascii="Times New Roman" w:hAnsi="Times New Roman" w:eastAsia="Times New Roman"/>
        </w:rPr>
        <w:t>8 </w:t>
      </w:r>
      <w:r>
        <w:rPr>
          <w:spacing w:val="-16"/>
        </w:rPr>
        <w:t>个，分</w:t>
      </w:r>
      <w:r>
        <w:rPr>
          <w:spacing w:val="-11"/>
        </w:rPr>
        <w:t>别是：学习能力、沟通能力、问题解决能力、团队互助能力、技术能力、主动性</w:t>
      </w:r>
      <w:r>
        <w:rPr>
          <w:spacing w:val="-4"/>
        </w:rPr>
        <w:t>和事业性、计划和组织能力、自我管理能力。</w:t>
      </w:r>
      <w:r>
        <w:rPr>
          <w:rFonts w:ascii="Times New Roman" w:hAnsi="Times New Roman" w:eastAsia="Times New Roman"/>
          <w:position w:val="8"/>
          <w:sz w:val="15"/>
        </w:rPr>
        <w:t>[</w:t>
      </w:r>
      <w:hyperlink w:history="true" w:anchor="_bookmark142">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4"/>
        </w:rPr>
        <w:t>另外，该文件还要求个体具备检</w:t>
      </w:r>
      <w:r>
        <w:rPr>
          <w:spacing w:val="-11"/>
        </w:rPr>
        <w:t>索、描述和解释生涯发展信息的能力，将职业生涯发展的相关知识应用于实践的</w:t>
      </w:r>
      <w:r>
        <w:rPr/>
        <w:t>能力，基于研究而识别、选择和开发问题的能力。</w:t>
      </w:r>
    </w:p>
    <w:p>
      <w:pPr>
        <w:pStyle w:val="BodyText"/>
        <w:spacing w:line="364" w:lineRule="auto" w:before="3"/>
        <w:ind w:left="1320" w:right="1563" w:firstLine="480"/>
        <w:jc w:val="both"/>
      </w:pPr>
      <w:r>
        <w:rPr>
          <w:spacing w:val="-3"/>
        </w:rPr>
        <w:t>加拿大的《生活</w:t>
      </w:r>
      <w:r>
        <w:rPr>
          <w:rFonts w:ascii="Times New Roman" w:eastAsia="Times New Roman"/>
        </w:rPr>
        <w:t>/</w:t>
      </w:r>
      <w:r>
        <w:rPr>
          <w:spacing w:val="-3"/>
        </w:rPr>
        <w:t>工作设计蓝图》</w:t>
      </w:r>
      <w:r>
        <w:rPr/>
        <w:t>（</w:t>
      </w:r>
      <w:r>
        <w:rPr>
          <w:rFonts w:ascii="Times New Roman" w:eastAsia="Times New Roman"/>
        </w:rPr>
        <w:t>The Blueprint for </w:t>
      </w:r>
      <w:r>
        <w:rPr>
          <w:rFonts w:ascii="Times New Roman" w:eastAsia="Times New Roman"/>
          <w:spacing w:val="-3"/>
        </w:rPr>
        <w:t>Life/Work </w:t>
      </w:r>
      <w:r>
        <w:rPr>
          <w:rFonts w:ascii="Times New Roman" w:eastAsia="Times New Roman"/>
        </w:rPr>
        <w:t>Design</w:t>
      </w:r>
      <w:r>
        <w:rPr/>
        <w:t>）也是</w:t>
      </w:r>
      <w:r>
        <w:rPr>
          <w:spacing w:val="-3"/>
        </w:rPr>
        <w:t>基于素养的方法建立的。该蓝图的核心部分是 </w:t>
      </w:r>
      <w:r>
        <w:rPr>
          <w:rFonts w:ascii="Times New Roman" w:eastAsia="Times New Roman"/>
        </w:rPr>
        <w:t>3 </w:t>
      </w:r>
      <w:r>
        <w:rPr>
          <w:spacing w:val="-11"/>
        </w:rPr>
        <w:t>个领域的 </w:t>
      </w:r>
      <w:r>
        <w:rPr>
          <w:rFonts w:ascii="Times New Roman" w:eastAsia="Times New Roman"/>
          <w:spacing w:val="-3"/>
        </w:rPr>
        <w:t>11 </w:t>
      </w:r>
      <w:r>
        <w:rPr/>
        <w:t>个生涯规划素养。</w:t>
      </w:r>
      <w:r>
        <w:rPr>
          <w:spacing w:val="-6"/>
        </w:rPr>
        <w:t>这些素养将有助于个体的生涯发展，有利于个体参与正在进行的生活或工作建设</w:t>
      </w:r>
      <w:r>
        <w:rPr>
          <w:spacing w:val="-12"/>
        </w:rPr>
        <w:t>过程。在这个模型中，没有终点的概念，旨在帮助个体实现完满的生活和获得成长。</w:t>
      </w:r>
      <w:r>
        <w:rPr>
          <w:rFonts w:ascii="Times New Roman" w:eastAsia="Times New Roman"/>
          <w:spacing w:val="-12"/>
          <w:position w:val="8"/>
          <w:sz w:val="15"/>
        </w:rPr>
        <w:t>[</w:t>
      </w:r>
      <w:hyperlink w:history="true" w:anchor="_bookmark143">
        <w:r>
          <w:rPr>
            <w:rFonts w:ascii="Times New Roman" w:eastAsia="Times New Roman"/>
            <w:spacing w:val="-12"/>
            <w:position w:val="8"/>
            <w:sz w:val="15"/>
          </w:rPr>
          <w:t>2</w:t>
        </w:r>
      </w:hyperlink>
      <w:r>
        <w:rPr>
          <w:rFonts w:ascii="Times New Roman" w:eastAsia="Times New Roman"/>
          <w:spacing w:val="-12"/>
          <w:position w:val="8"/>
          <w:sz w:val="15"/>
        </w:rPr>
        <w:t>]</w:t>
      </w:r>
      <w:r>
        <w:rPr>
          <w:spacing w:val="-18"/>
        </w:rPr>
        <w:t>具体而言，见下表 </w:t>
      </w:r>
      <w:r>
        <w:rPr>
          <w:rFonts w:ascii="Times New Roman" w:eastAsia="Times New Roman"/>
        </w:rPr>
        <w:t>2.5 </w:t>
      </w:r>
      <w:r>
        <w:rPr/>
        <w:t>所示：</w:t>
      </w:r>
    </w:p>
    <w:p>
      <w:pPr>
        <w:pStyle w:val="BodyText"/>
        <w:spacing w:before="159"/>
        <w:ind w:left="2589"/>
        <w:jc w:val="both"/>
      </w:pPr>
      <w:r>
        <w:rPr/>
        <w:t>表 </w:t>
      </w:r>
      <w:r>
        <w:rPr>
          <w:rFonts w:ascii="Times New Roman" w:eastAsia="Times New Roman"/>
        </w:rPr>
        <w:t>2.5 </w:t>
      </w:r>
      <w:r>
        <w:rPr/>
        <w:t>加拿大《生活</w:t>
      </w:r>
      <w:r>
        <w:rPr>
          <w:rFonts w:ascii="Times New Roman" w:eastAsia="Times New Roman"/>
        </w:rPr>
        <w:t>/</w:t>
      </w:r>
      <w:r>
        <w:rPr/>
        <w:t>工作设计蓝图》中的生涯规划素养</w:t>
      </w:r>
    </w:p>
    <w:p>
      <w:pPr>
        <w:pStyle w:val="BodyText"/>
        <w:spacing w:before="3"/>
        <w:rPr>
          <w:sz w:val="8"/>
        </w:rPr>
      </w:pPr>
      <w:r>
        <w:rPr/>
        <w:drawing>
          <wp:anchor distT="0" distB="0" distL="0" distR="0" allowOverlap="1" layoutInCell="1" locked="0" behindDoc="0" simplePos="0" relativeHeight="54">
            <wp:simplePos x="0" y="0"/>
            <wp:positionH relativeFrom="page">
              <wp:posOffset>1551432</wp:posOffset>
            </wp:positionH>
            <wp:positionV relativeFrom="paragraph">
              <wp:posOffset>91936</wp:posOffset>
            </wp:positionV>
            <wp:extent cx="4426255" cy="4030979"/>
            <wp:effectExtent l="0" t="0" r="0" b="0"/>
            <wp:wrapTopAndBottom/>
            <wp:docPr id="27" name="image9.jpeg"/>
            <wp:cNvGraphicFramePr>
              <a:graphicFrameLocks noChangeAspect="1"/>
            </wp:cNvGraphicFramePr>
            <a:graphic>
              <a:graphicData uri="http://schemas.openxmlformats.org/drawingml/2006/picture">
                <pic:pic>
                  <pic:nvPicPr>
                    <pic:cNvPr id="28" name="image9.jpeg"/>
                    <pic:cNvPicPr/>
                  </pic:nvPicPr>
                  <pic:blipFill>
                    <a:blip r:embed="rId44" cstate="print"/>
                    <a:stretch>
                      <a:fillRect/>
                    </a:stretch>
                  </pic:blipFill>
                  <pic:spPr>
                    <a:xfrm>
                      <a:off x="0" y="0"/>
                      <a:ext cx="4426255" cy="4030979"/>
                    </a:xfrm>
                    <a:prstGeom prst="rect">
                      <a:avLst/>
                    </a:prstGeom>
                  </pic:spPr>
                </pic:pic>
              </a:graphicData>
            </a:graphic>
          </wp:anchor>
        </w:drawing>
      </w:r>
      <w:r>
        <w:rPr/>
        <w:pict>
          <v:shape style="position:absolute;margin-left:90pt;margin-top:339.952118pt;width:144pt;height:.1pt;mso-position-horizontal-relative:page;mso-position-vertical-relative:paragraph;z-index:-251601920;mso-wrap-distance-left:0;mso-wrap-distance-right:0" coordorigin="1800,6799" coordsize="2880,0" path="m1800,6799l4680,6799e" filled="false" stroked="true" strokeweight="0pt" strokecolor="#000000">
            <v:path arrowok="t"/>
            <v:stroke dashstyle="solid"/>
            <w10:wrap type="topAndBottom"/>
          </v:shape>
        </w:pict>
      </w:r>
    </w:p>
    <w:p>
      <w:pPr>
        <w:pStyle w:val="BodyText"/>
        <w:spacing w:before="7"/>
        <w:rPr>
          <w:sz w:val="18"/>
        </w:rPr>
      </w:pPr>
    </w:p>
    <w:p>
      <w:pPr>
        <w:spacing w:line="386" w:lineRule="auto" w:before="97"/>
        <w:ind w:left="1320" w:right="1652" w:firstLine="0"/>
        <w:jc w:val="left"/>
        <w:rPr>
          <w:rFonts w:ascii="Times New Roman"/>
          <w:sz w:val="18"/>
        </w:rPr>
      </w:pPr>
      <w:bookmarkStart w:name="_bookmark142" w:id="182"/>
      <w:bookmarkEnd w:id="182"/>
      <w:r>
        <w:rPr/>
      </w:r>
      <w:r>
        <w:rPr>
          <w:rFonts w:ascii="Times New Roman"/>
          <w:position w:val="7"/>
          <w:sz w:val="13"/>
        </w:rPr>
        <w:t>[1] </w:t>
      </w:r>
      <w:r>
        <w:rPr>
          <w:rFonts w:ascii="Times New Roman"/>
          <w:sz w:val="18"/>
        </w:rPr>
        <w:t>Australian Government.Core Skill For Work Development Framework. [EB/OL]..</w:t>
      </w:r>
      <w:hyperlink r:id="rId45">
        <w:r>
          <w:rPr>
            <w:rFonts w:ascii="Times New Roman"/>
            <w:sz w:val="18"/>
          </w:rPr>
          <w:t>www.innovation.gov.au/</w:t>
        </w:r>
      </w:hyperlink>
      <w:r>
        <w:rPr>
          <w:rFonts w:ascii="Times New Roman"/>
          <w:sz w:val="18"/>
        </w:rPr>
        <w:t> csfw.2016-11-9.</w:t>
      </w:r>
    </w:p>
    <w:p>
      <w:pPr>
        <w:spacing w:line="215" w:lineRule="exact" w:before="0"/>
        <w:ind w:left="1320" w:right="0" w:firstLine="0"/>
        <w:jc w:val="left"/>
        <w:rPr>
          <w:rFonts w:ascii="Times New Roman"/>
          <w:sz w:val="18"/>
        </w:rPr>
      </w:pPr>
      <w:bookmarkStart w:name="_bookmark143" w:id="183"/>
      <w:bookmarkEnd w:id="183"/>
      <w:r>
        <w:rPr/>
      </w:r>
      <w:r>
        <w:rPr>
          <w:rFonts w:ascii="Times New Roman"/>
          <w:position w:val="7"/>
          <w:sz w:val="13"/>
        </w:rPr>
        <w:t>[2] </w:t>
      </w:r>
      <w:r>
        <w:rPr>
          <w:rFonts w:ascii="Times New Roman"/>
          <w:sz w:val="18"/>
        </w:rPr>
        <w:t>Ivan Hodgetts.Rethinking Career Education in Schools Foundations for a New Zealand framework.[EB/</w:t>
      </w:r>
    </w:p>
    <w:p>
      <w:pPr>
        <w:spacing w:before="126"/>
        <w:ind w:left="1320" w:right="0" w:firstLine="0"/>
        <w:jc w:val="left"/>
        <w:rPr>
          <w:rFonts w:ascii="Times New Roman"/>
          <w:sz w:val="18"/>
        </w:rPr>
      </w:pPr>
      <w:r>
        <w:rPr>
          <w:rFonts w:ascii="Times New Roman"/>
          <w:sz w:val="18"/>
        </w:rPr>
        <w:t>OL]</w:t>
      </w:r>
      <w:hyperlink r:id="rId46">
        <w:r>
          <w:rPr>
            <w:rFonts w:ascii="Times New Roman"/>
            <w:sz w:val="18"/>
          </w:rPr>
          <w:t>.http://nzcurriculum.tki.org.nz/Curriculum-resources/Career-education.2016-5-8.</w:t>
        </w:r>
      </w:hyperlink>
    </w:p>
    <w:p>
      <w:pPr>
        <w:spacing w:after="0"/>
        <w:jc w:val="left"/>
        <w:rPr>
          <w:rFonts w:ascii="Times New Roman"/>
          <w:sz w:val="18"/>
        </w:rPr>
        <w:sectPr>
          <w:pgSz w:w="11910" w:h="16840"/>
          <w:pgMar w:header="878" w:footer="1160" w:top="1300" w:bottom="1380" w:left="480" w:right="220"/>
        </w:sectPr>
      </w:pPr>
    </w:p>
    <w:p>
      <w:pPr>
        <w:pStyle w:val="BodyText"/>
        <w:spacing w:before="9"/>
        <w:rPr>
          <w:rFonts w:ascii="Times New Roman"/>
          <w:sz w:val="11"/>
        </w:rPr>
      </w:pPr>
    </w:p>
    <w:p>
      <w:pPr>
        <w:pStyle w:val="ListParagraph"/>
        <w:numPr>
          <w:ilvl w:val="3"/>
          <w:numId w:val="2"/>
        </w:numPr>
        <w:tabs>
          <w:tab w:pos="2100" w:val="left" w:leader="none"/>
        </w:tabs>
        <w:spacing w:line="240" w:lineRule="auto" w:before="74" w:after="0"/>
        <w:ind w:left="2100" w:right="0" w:hanging="780"/>
        <w:jc w:val="left"/>
        <w:rPr>
          <w:sz w:val="24"/>
        </w:rPr>
      </w:pPr>
      <w:r>
        <w:rPr>
          <w:sz w:val="24"/>
        </w:rPr>
        <w:t>发达国家生涯规划教育实施目标分析</w:t>
      </w:r>
    </w:p>
    <w:p>
      <w:pPr>
        <w:pStyle w:val="BodyText"/>
        <w:spacing w:line="364" w:lineRule="auto" w:before="161"/>
        <w:ind w:left="1320" w:right="1577" w:firstLine="480"/>
      </w:pPr>
      <w:r>
        <w:rPr>
          <w:spacing w:val="-10"/>
        </w:rPr>
        <w:t>首先，上述发达国家的生涯规划教育目标基本上是一脉相承的。新西兰生涯</w:t>
      </w:r>
      <w:r>
        <w:rPr>
          <w:spacing w:val="-5"/>
        </w:rPr>
        <w:t>规划教育中的生涯规划素养框架是以澳大利亚的《生涯发展蓝图》为依据的。该</w:t>
      </w:r>
    </w:p>
    <w:p>
      <w:pPr>
        <w:pStyle w:val="BodyText"/>
        <w:spacing w:line="364" w:lineRule="auto" w:before="1"/>
        <w:ind w:left="1320" w:right="1365"/>
      </w:pPr>
      <w:r>
        <w:rPr>
          <w:spacing w:val="-11"/>
        </w:rPr>
        <w:t>《生涯发展蓝图》是于 </w:t>
      </w:r>
      <w:r>
        <w:rPr>
          <w:rFonts w:ascii="Times New Roman" w:hAnsi="Times New Roman" w:eastAsia="Times New Roman"/>
        </w:rPr>
        <w:t>2003 </w:t>
      </w:r>
      <w:r>
        <w:rPr>
          <w:spacing w:val="-30"/>
        </w:rPr>
        <w:t>至 </w:t>
      </w:r>
      <w:r>
        <w:rPr>
          <w:rFonts w:ascii="Times New Roman" w:hAnsi="Times New Roman" w:eastAsia="Times New Roman"/>
        </w:rPr>
        <w:t>2008 </w:t>
      </w:r>
      <w:r>
        <w:rPr>
          <w:spacing w:val="-3"/>
        </w:rPr>
        <w:t>年期间逐渐明晰了生涯规划素养的内涵，认</w:t>
      </w:r>
      <w:r>
        <w:rPr>
          <w:spacing w:val="-8"/>
        </w:rPr>
        <w:t>为生涯规划素养比技术技能和能力更重要。该框架认为生涯规划素养是“促进生</w:t>
      </w:r>
      <w:r>
        <w:rPr>
          <w:spacing w:val="4"/>
        </w:rPr>
        <w:t>涯进步的技能、知识和态度”，并且会随着时间的推移而不断发展和增强。</w:t>
      </w:r>
      <w:r>
        <w:rPr>
          <w:rFonts w:ascii="Times New Roman" w:hAnsi="Times New Roman" w:eastAsia="Times New Roman"/>
          <w:position w:val="8"/>
          <w:sz w:val="15"/>
        </w:rPr>
        <w:t>[</w:t>
      </w:r>
      <w:hyperlink w:history="true" w:anchor="_bookmark144">
        <w:r>
          <w:rPr>
            <w:rFonts w:ascii="Times New Roman" w:hAnsi="Times New Roman" w:eastAsia="Times New Roman"/>
            <w:position w:val="8"/>
            <w:sz w:val="15"/>
          </w:rPr>
          <w:t>1</w:t>
        </w:r>
      </w:hyperlink>
      <w:r>
        <w:rPr>
          <w:rFonts w:ascii="Times New Roman" w:hAnsi="Times New Roman" w:eastAsia="Times New Roman"/>
          <w:position w:val="8"/>
          <w:sz w:val="15"/>
        </w:rPr>
        <w:t>] </w:t>
      </w:r>
      <w:r>
        <w:rPr>
          <w:spacing w:val="-3"/>
        </w:rPr>
        <w:t>另一方面，澳大利亚的《生涯发展蓝图》是以加拿大 </w:t>
      </w:r>
      <w:r>
        <w:rPr>
          <w:rFonts w:ascii="Times New Roman" w:hAnsi="Times New Roman" w:eastAsia="Times New Roman"/>
        </w:rPr>
        <w:t>1998 </w:t>
      </w:r>
      <w:r>
        <w:rPr/>
        <w:t>年开发的《生活和工</w:t>
      </w:r>
      <w:r>
        <w:rPr>
          <w:spacing w:val="-10"/>
        </w:rPr>
        <w:t>作设计蓝图》为标准的，而这一个框架也是参考了美国的“国家生涯发展指导框</w:t>
      </w:r>
      <w:r>
        <w:rPr>
          <w:spacing w:val="-11"/>
        </w:rPr>
        <w:t>架”。加拿大的蓝图关注个体发展，它确定的一系列能力着重强调了在规划生活</w:t>
      </w:r>
      <w:r>
        <w:rPr>
          <w:spacing w:val="-16"/>
        </w:rPr>
        <w:t>和工作中的目的性和积极主动性。新西兰、澳大利亚和加拿大的生涯规划素养也</w:t>
      </w:r>
      <w:r>
        <w:rPr>
          <w:spacing w:val="-20"/>
        </w:rPr>
        <w:t>与欧洲国家使用的生涯规划素养密切相关。欧洲国家将生涯规划素养称为生涯规</w:t>
      </w:r>
      <w:r>
        <w:rPr>
          <w:spacing w:val="-14"/>
        </w:rPr>
        <w:t>划技能，并将其界定为“为个体和团体提供结构化的方式来收集、分析、综合和</w:t>
      </w:r>
      <w:r>
        <w:rPr>
          <w:spacing w:val="-15"/>
        </w:rPr>
        <w:t>组织自我、教育和职业信息，以及制定和实施决策的技能和转换的一系列能力”。</w:t>
      </w:r>
    </w:p>
    <w:p>
      <w:pPr>
        <w:spacing w:before="27"/>
        <w:ind w:left="1320" w:right="0" w:firstLine="0"/>
        <w:jc w:val="left"/>
        <w:rPr>
          <w:rFonts w:ascii="Times New Roman"/>
          <w:sz w:val="15"/>
        </w:rPr>
      </w:pPr>
      <w:r>
        <w:rPr>
          <w:rFonts w:ascii="Times New Roman"/>
          <w:w w:val="105"/>
          <w:sz w:val="15"/>
        </w:rPr>
        <w:t>[</w:t>
      </w:r>
      <w:hyperlink w:history="true" w:anchor="_bookmark145">
        <w:r>
          <w:rPr>
            <w:rFonts w:ascii="Times New Roman"/>
            <w:w w:val="105"/>
            <w:sz w:val="15"/>
          </w:rPr>
          <w:t>2</w:t>
        </w:r>
      </w:hyperlink>
      <w:r>
        <w:rPr>
          <w:rFonts w:ascii="Times New Roman"/>
          <w:w w:val="105"/>
          <w:sz w:val="15"/>
        </w:rPr>
        <w:t>]</w:t>
      </w:r>
    </w:p>
    <w:p>
      <w:pPr>
        <w:pStyle w:val="BodyText"/>
        <w:spacing w:before="10"/>
        <w:rPr>
          <w:rFonts w:ascii="Times New Roman"/>
          <w:sz w:val="23"/>
        </w:rPr>
      </w:pPr>
    </w:p>
    <w:p>
      <w:pPr>
        <w:pStyle w:val="BodyText"/>
        <w:spacing w:line="364" w:lineRule="auto"/>
        <w:ind w:left="1320" w:right="1455" w:firstLine="480"/>
      </w:pPr>
      <w:r>
        <w:rPr>
          <w:spacing w:val="-8"/>
        </w:rPr>
        <w:t>其次，从上述国家的生涯规划教育实施目标领域来看，美国、新西兰、澳大</w:t>
      </w:r>
      <w:r>
        <w:rPr>
          <w:spacing w:val="-11"/>
        </w:rPr>
        <w:t>利亚、加拿大都将“生涯规划素养”分为三个维度进行讨论。综合来看，这些国</w:t>
      </w:r>
      <w:r>
        <w:rPr>
          <w:spacing w:val="-15"/>
        </w:rPr>
        <w:t>家大致侧重自主发展、生涯机会探索、生涯规划与管理。第一，自主发展，即要</w:t>
      </w:r>
      <w:r>
        <w:rPr>
          <w:spacing w:val="-18"/>
        </w:rPr>
        <w:t>求个体在充分认识自我的基础上，建立一个积极的自我概念，有效运用人际沟通</w:t>
      </w:r>
      <w:r>
        <w:rPr>
          <w:spacing w:val="-17"/>
        </w:rPr>
        <w:t>的技巧与他人交往、互动，并且意识到成长和变化是生活、工作、学习中的一部</w:t>
      </w:r>
      <w:r>
        <w:rPr>
          <w:spacing w:val="-11"/>
        </w:rPr>
        <w:t>分，应具备灵活性与适应性；第二，生涯机会探索，即个体应充分了解生活、社会、工作、学习之间的关系，在探索这些方面的过程中积极与他人交往、互动， </w:t>
      </w:r>
      <w:r>
        <w:rPr>
          <w:spacing w:val="-14"/>
        </w:rPr>
        <w:t>促进个人能力的发展，了解自身可能的生涯道路；第三，生涯规划与管理，即个</w:t>
      </w:r>
      <w:r>
        <w:rPr>
          <w:spacing w:val="-21"/>
        </w:rPr>
        <w:t>体应能够制定合理的学习、工作、生活等方面的计划，并且持续监督计划的进度， </w:t>
      </w:r>
      <w:r>
        <w:rPr/>
        <w:t>根据实际情况做出调整，不断完善个人计划。</w:t>
      </w:r>
    </w:p>
    <w:p>
      <w:pPr>
        <w:pStyle w:val="BodyText"/>
        <w:spacing w:line="364" w:lineRule="auto" w:before="6"/>
        <w:ind w:left="1320" w:right="1577" w:firstLine="480"/>
      </w:pPr>
      <w:r>
        <w:rPr>
          <w:spacing w:val="-10"/>
        </w:rPr>
        <w:t>再次，上述各国生涯规划教育的实施目标虽表述不一，但均强调个体发展的“生涯规划素养”。各国生涯规划教育的实施目标对学生的知识、能力和态度等</w:t>
      </w:r>
    </w:p>
    <w:p>
      <w:pPr>
        <w:pStyle w:val="BodyText"/>
        <w:rPr>
          <w:sz w:val="21"/>
        </w:rPr>
      </w:pPr>
    </w:p>
    <w:p>
      <w:pPr>
        <w:spacing w:line="386" w:lineRule="auto" w:before="100"/>
        <w:ind w:left="1320" w:right="1879" w:firstLine="0"/>
        <w:jc w:val="left"/>
        <w:rPr>
          <w:rFonts w:ascii="Times New Roman"/>
          <w:sz w:val="18"/>
        </w:rPr>
      </w:pPr>
      <w:bookmarkStart w:name="_bookmark144" w:id="184"/>
      <w:bookmarkEnd w:id="184"/>
      <w:r>
        <w:rPr/>
      </w:r>
      <w:r>
        <w:rPr>
          <w:rFonts w:ascii="Times New Roman"/>
          <w:position w:val="7"/>
          <w:sz w:val="13"/>
        </w:rPr>
        <w:t>[1] </w:t>
      </w:r>
      <w:r>
        <w:rPr>
          <w:rFonts w:ascii="Times New Roman"/>
          <w:sz w:val="18"/>
        </w:rPr>
        <w:t>Karen Vaughan.The potential of career management competencies for renewed focus and direction in career education.[J].The New Zealand Annual Review of Education.2011:24-51.</w:t>
      </w:r>
    </w:p>
    <w:p>
      <w:pPr>
        <w:spacing w:line="215" w:lineRule="exact" w:before="0"/>
        <w:ind w:left="1320" w:right="0" w:firstLine="0"/>
        <w:jc w:val="left"/>
        <w:rPr>
          <w:rFonts w:ascii="Times New Roman"/>
          <w:sz w:val="18"/>
        </w:rPr>
      </w:pPr>
      <w:bookmarkStart w:name="_bookmark145" w:id="185"/>
      <w:bookmarkEnd w:id="185"/>
      <w:r>
        <w:rPr/>
      </w:r>
      <w:r>
        <w:rPr>
          <w:rFonts w:ascii="Times New Roman"/>
          <w:position w:val="7"/>
          <w:sz w:val="13"/>
        </w:rPr>
        <w:t>[2] </w:t>
      </w:r>
      <w:r>
        <w:rPr>
          <w:rFonts w:ascii="Times New Roman"/>
          <w:sz w:val="18"/>
        </w:rPr>
        <w:t>Karen Vaughan.The potential of career management competencies for renewed focus and direction in career</w:t>
      </w:r>
    </w:p>
    <w:p>
      <w:pPr>
        <w:spacing w:before="127"/>
        <w:ind w:left="1320" w:right="0" w:firstLine="0"/>
        <w:jc w:val="left"/>
        <w:rPr>
          <w:rFonts w:ascii="Times New Roman"/>
          <w:sz w:val="18"/>
        </w:rPr>
      </w:pPr>
      <w:r>
        <w:rPr>
          <w:rFonts w:ascii="Times New Roman"/>
          <w:sz w:val="18"/>
        </w:rPr>
        <w:t>education.[J].The New Zealand Annual Review of Education.2011:24-51.</w:t>
      </w:r>
    </w:p>
    <w:p>
      <w:pPr>
        <w:spacing w:after="0"/>
        <w:jc w:val="left"/>
        <w:rPr>
          <w:rFonts w:ascii="Times New Roman"/>
          <w:sz w:val="18"/>
        </w:rPr>
        <w:sectPr>
          <w:headerReference w:type="default" r:id="rId47"/>
          <w:footerReference w:type="default" r:id="rId48"/>
          <w:pgSz w:w="11910" w:h="16840"/>
          <w:pgMar w:header="878" w:footer="1264" w:top="1300" w:bottom="1460" w:left="480" w:right="220"/>
        </w:sectPr>
      </w:pPr>
    </w:p>
    <w:p>
      <w:pPr>
        <w:pStyle w:val="BodyText"/>
        <w:spacing w:before="6"/>
        <w:rPr>
          <w:rFonts w:ascii="Times New Roman"/>
          <w:sz w:val="12"/>
        </w:rPr>
      </w:pPr>
    </w:p>
    <w:p>
      <w:pPr>
        <w:pStyle w:val="BodyText"/>
        <w:spacing w:line="364" w:lineRule="auto" w:before="66"/>
        <w:ind w:left="1320" w:right="1572"/>
        <w:jc w:val="both"/>
      </w:pPr>
      <w:r>
        <w:rPr>
          <w:spacing w:val="-6"/>
        </w:rPr>
        <w:t>方面的要求并不局限于生涯规划教育领域，把与生涯发展有关的知识内容加以简</w:t>
      </w:r>
      <w:r>
        <w:rPr>
          <w:spacing w:val="-10"/>
        </w:rPr>
        <w:t>单组织，而是超越了学科知识的领域，跨学科关注了更为上位的统领性能力，这</w:t>
      </w:r>
      <w:r>
        <w:rPr>
          <w:spacing w:val="-9"/>
        </w:rPr>
        <w:t>正是当前各个国家、地区和国际组织探讨的跨学科核心素养的重要组成部分。发</w:t>
      </w:r>
      <w:r>
        <w:rPr>
          <w:spacing w:val="-10"/>
        </w:rPr>
        <w:t>达国家从认知、技能和态度三个层面将生涯规划素养进行分类，把这三个层面融</w:t>
      </w:r>
      <w:r>
        <w:rPr>
          <w:spacing w:val="-7"/>
        </w:rPr>
        <w:t>合于某一项素养的各个指标中，其间没有明显界限。如澳大利亚在第一个一级指</w:t>
      </w:r>
      <w:r>
        <w:rPr>
          <w:spacing w:val="-8"/>
        </w:rPr>
        <w:t>标“个人规划”之一、二级指标中，既有“自我意识”</w:t>
      </w:r>
      <w:r>
        <w:rPr>
          <w:spacing w:val="-10"/>
        </w:rPr>
        <w:t>（</w:t>
      </w:r>
      <w:r>
        <w:rPr/>
        <w:t>认知</w:t>
      </w:r>
      <w:r>
        <w:rPr>
          <w:spacing w:val="-9"/>
        </w:rPr>
        <w:t>）</w:t>
      </w:r>
      <w:r>
        <w:rPr>
          <w:spacing w:val="-6"/>
        </w:rPr>
        <w:t>，又有“与他人</w:t>
      </w:r>
      <w:r>
        <w:rPr>
          <w:spacing w:val="-11"/>
        </w:rPr>
        <w:t>互动”的技能，还有“了解积极的人际关系的价值”之“态度”，认知、技能与</w:t>
      </w:r>
      <w:r>
        <w:rPr/>
        <w:t>态度三者之间相互交融、相互渗透在同个素养指标中。</w:t>
      </w:r>
    </w:p>
    <w:p>
      <w:pPr>
        <w:pStyle w:val="BodyText"/>
        <w:spacing w:line="364" w:lineRule="auto" w:before="5"/>
        <w:ind w:left="1320" w:right="1577" w:firstLine="480"/>
        <w:jc w:val="both"/>
      </w:pPr>
      <w:r>
        <w:rPr>
          <w:spacing w:val="-11"/>
        </w:rPr>
        <w:t>当代社会，信息化与全球化的高度发展，各国对未来人才的要求存在共同之</w:t>
      </w:r>
      <w:r>
        <w:rPr>
          <w:spacing w:val="-9"/>
        </w:rPr>
        <w:t>处。本研究从这些国家中提炼了生涯规划教育的核心素养，即生涯规划素养，它</w:t>
      </w:r>
      <w:r>
        <w:rPr/>
        <w:t>主要包括：</w:t>
      </w:r>
    </w:p>
    <w:p>
      <w:pPr>
        <w:pStyle w:val="BodyText"/>
        <w:spacing w:line="364" w:lineRule="auto" w:before="2"/>
        <w:ind w:left="1320" w:right="1577" w:firstLine="480"/>
        <w:jc w:val="both"/>
      </w:pPr>
      <w:r>
        <w:rPr>
          <w:spacing w:val="-12"/>
        </w:rPr>
        <w:t>第一，终身学习能力。这是一个相对宽泛的概念，这些国家的生涯规划教育</w:t>
      </w:r>
      <w:r>
        <w:rPr>
          <w:spacing w:val="-6"/>
        </w:rPr>
        <w:t>文件中虽未明确指出终身学习能力的内涵，但其目标中均蕴含需具备终身学习的</w:t>
      </w:r>
      <w:r>
        <w:rPr>
          <w:spacing w:val="-10"/>
        </w:rPr>
        <w:t>意识和能力，让学生做一个终身学习者以适应社会的变化及带来的挑战。另一方</w:t>
      </w:r>
      <w:r>
        <w:rPr>
          <w:spacing w:val="-11"/>
        </w:rPr>
        <w:t>面，这也是开展生涯规划教育的根本目的，即让每个学生具备终身规划与管理自</w:t>
      </w:r>
      <w:r>
        <w:rPr>
          <w:spacing w:val="-10"/>
        </w:rPr>
        <w:t>己的学习、工作和生活的意识和能力以适应社会变化带来的挑战，最大限度地自我发展，实现学业的成功和工作的成功。学生作为一个终身学习者，无论将来面</w:t>
      </w:r>
      <w:r>
        <w:rPr/>
        <w:t>对日益复杂的世界和急剧变化的社会，面对生活和工作中各种角色的变化和转换，都能够从容不迫地面对。</w:t>
      </w:r>
    </w:p>
    <w:p>
      <w:pPr>
        <w:pStyle w:val="BodyText"/>
        <w:spacing w:line="364" w:lineRule="auto" w:before="4"/>
        <w:ind w:left="1320" w:right="1485" w:firstLine="480"/>
      </w:pPr>
      <w:r>
        <w:rPr>
          <w:spacing w:val="-11"/>
        </w:rPr>
        <w:t>第二，沟通能力。即要求学生积极与他人互动，通过有效沟通建立良好的人</w:t>
      </w:r>
      <w:r>
        <w:rPr>
          <w:spacing w:val="-12"/>
        </w:rPr>
        <w:t>际关系，提高人际交往技能。在多元化和多样性的社会中，个体面对不同人群， </w:t>
      </w:r>
      <w:r>
        <w:rPr>
          <w:spacing w:val="-7"/>
        </w:rPr>
        <w:t>会选择适当的沟通方式，运用恰当的语言与不同群体进行交流是必备的能力。在</w:t>
      </w:r>
      <w:r>
        <w:rPr>
          <w:spacing w:val="-12"/>
        </w:rPr>
        <w:t>澳大利亚需要学生需要掌握的“未来就业能力”中的第一项就是沟通能力，将有效沟通能力视为学生今后获得成功的不可或缺的因素。</w:t>
      </w:r>
    </w:p>
    <w:p>
      <w:pPr>
        <w:pStyle w:val="BodyText"/>
        <w:spacing w:line="364" w:lineRule="auto" w:before="3"/>
        <w:ind w:left="1320" w:right="1577" w:firstLine="480"/>
        <w:jc w:val="both"/>
      </w:pPr>
      <w:r>
        <w:rPr>
          <w:spacing w:val="-12"/>
        </w:rPr>
        <w:t>第三，信息与技术能力。发达国家的生涯规划教育目标都重视学生的信息与</w:t>
      </w:r>
      <w:r>
        <w:rPr>
          <w:spacing w:val="-9"/>
        </w:rPr>
        <w:t>技术素养，要求学生能够掌握信息获取的途径和方法，搜集、筛选、分析各种信</w:t>
      </w:r>
      <w:r>
        <w:rPr>
          <w:spacing w:val="-12"/>
        </w:rPr>
        <w:t>息。美国的“国家生涯发展指南”中还要求学生在运用信息时要考虑信息的准确</w:t>
      </w:r>
      <w:r>
        <w:rPr/>
        <w:t>性、适用性，审视其是否带有偏见。</w:t>
      </w:r>
    </w:p>
    <w:p>
      <w:pPr>
        <w:pStyle w:val="BodyText"/>
        <w:spacing w:before="3"/>
        <w:ind w:left="865" w:right="525"/>
        <w:jc w:val="center"/>
      </w:pPr>
      <w:r>
        <w:rPr/>
        <w:t>第四，自主规划能力。这一点包括自主性、批判性思考和规划能力三个方面，</w:t>
      </w:r>
    </w:p>
    <w:p>
      <w:pPr>
        <w:spacing w:after="0"/>
        <w:jc w:val="center"/>
        <w:sectPr>
          <w:headerReference w:type="default" r:id="rId49"/>
          <w:footerReference w:type="default" r:id="rId50"/>
          <w:pgSz w:w="11910" w:h="16840"/>
          <w:pgMar w:header="878" w:footer="1191" w:top="1300" w:bottom="1380" w:left="480" w:right="220"/>
          <w:pgNumType w:start="41"/>
        </w:sectPr>
      </w:pPr>
    </w:p>
    <w:p>
      <w:pPr>
        <w:pStyle w:val="BodyText"/>
        <w:spacing w:before="3"/>
        <w:rPr>
          <w:sz w:val="11"/>
        </w:rPr>
      </w:pPr>
    </w:p>
    <w:p>
      <w:pPr>
        <w:pStyle w:val="BodyText"/>
        <w:spacing w:line="364" w:lineRule="auto" w:before="66"/>
        <w:ind w:left="1320" w:right="1577"/>
        <w:jc w:val="both"/>
      </w:pPr>
      <w:bookmarkStart w:name="_bookmark146" w:id="186"/>
      <w:bookmarkEnd w:id="186"/>
      <w:r>
        <w:rPr/>
      </w:r>
      <w:r>
        <w:rPr>
          <w:spacing w:val="-7"/>
        </w:rPr>
        <w:t>即学生需要充分认识自我，了解生活、学习、工作及其相互关系，在掌握基本的</w:t>
      </w:r>
      <w:r>
        <w:rPr>
          <w:spacing w:val="-6"/>
        </w:rPr>
        <w:t>就业技能和相关生涯信息的基础上，对生涯发展道路进行思考，做出有益于生涯</w:t>
      </w:r>
      <w:r>
        <w:rPr>
          <w:spacing w:val="-11"/>
        </w:rPr>
        <w:t>发展的决策，确立生涯目标，制定并执行生涯计划，还能经常回顾和反思自己的</w:t>
      </w:r>
      <w:r>
        <w:rPr/>
        <w:t>计划，不断对其进行调整以确保实现生涯目标。</w:t>
      </w:r>
    </w:p>
    <w:p>
      <w:pPr>
        <w:pStyle w:val="BodyText"/>
        <w:spacing w:line="364" w:lineRule="auto" w:before="2"/>
        <w:ind w:left="1320" w:right="1577" w:firstLine="480"/>
        <w:jc w:val="both"/>
      </w:pPr>
      <w:r>
        <w:rPr>
          <w:spacing w:val="-12"/>
        </w:rPr>
        <w:t>第五，适应能力。当前社会是不断变化的，个体也将伴随着改变获得成长与</w:t>
      </w:r>
      <w:r>
        <w:rPr>
          <w:spacing w:val="-10"/>
        </w:rPr>
        <w:t>发展，个体需要意识到生活和工作角色也处于变化之中，个体需要“将成长和改</w:t>
      </w:r>
      <w:r>
        <w:rPr>
          <w:spacing w:val="-8"/>
        </w:rPr>
        <w:t>变融入到生涯发展中”。这也从侧面说明了个体具备“适应性与灵活性”这一核心素养的必要性。只有个体积极适应这些变化，能够灵活地应对发生的改变，才</w:t>
      </w:r>
      <w:r>
        <w:rPr/>
        <w:t>能将变化融入个人的生涯中，使其促进个体的发展。</w:t>
      </w:r>
    </w:p>
    <w:p>
      <w:pPr>
        <w:pStyle w:val="BodyText"/>
        <w:spacing w:before="6"/>
        <w:rPr>
          <w:sz w:val="23"/>
        </w:rPr>
      </w:pPr>
    </w:p>
    <w:p>
      <w:pPr>
        <w:pStyle w:val="ListParagraph"/>
        <w:numPr>
          <w:ilvl w:val="2"/>
          <w:numId w:val="33"/>
        </w:numPr>
        <w:tabs>
          <w:tab w:pos="1920" w:val="left" w:leader="none"/>
        </w:tabs>
        <w:spacing w:line="240" w:lineRule="auto" w:before="0" w:after="0"/>
        <w:ind w:left="1920" w:right="0" w:hanging="600"/>
        <w:jc w:val="both"/>
        <w:rPr>
          <w:sz w:val="24"/>
        </w:rPr>
      </w:pPr>
      <w:r>
        <w:rPr>
          <w:sz w:val="24"/>
        </w:rPr>
        <w:t>实施内容：注重连贯性、系统性和实践性</w:t>
      </w:r>
    </w:p>
    <w:p>
      <w:pPr>
        <w:pStyle w:val="BodyText"/>
        <w:spacing w:before="7"/>
        <w:rPr>
          <w:sz w:val="35"/>
        </w:rPr>
      </w:pPr>
    </w:p>
    <w:p>
      <w:pPr>
        <w:pStyle w:val="ListParagraph"/>
        <w:numPr>
          <w:ilvl w:val="3"/>
          <w:numId w:val="33"/>
        </w:numPr>
        <w:tabs>
          <w:tab w:pos="2100" w:val="left" w:leader="none"/>
        </w:tabs>
        <w:spacing w:line="240" w:lineRule="auto" w:before="1" w:after="0"/>
        <w:ind w:left="2100" w:right="0" w:hanging="780"/>
        <w:jc w:val="both"/>
        <w:rPr>
          <w:sz w:val="24"/>
        </w:rPr>
      </w:pPr>
      <w:r>
        <w:rPr>
          <w:sz w:val="24"/>
        </w:rPr>
        <w:t>实施内容的连贯性</w:t>
      </w:r>
    </w:p>
    <w:p>
      <w:pPr>
        <w:pStyle w:val="BodyText"/>
        <w:spacing w:line="364" w:lineRule="auto" w:before="160"/>
        <w:ind w:left="1320" w:right="1575" w:firstLine="480"/>
        <w:jc w:val="both"/>
      </w:pPr>
      <w:r>
        <w:rPr>
          <w:spacing w:val="-5"/>
        </w:rPr>
        <w:t>美国教育总署署长马兰在提出生涯规划教育的理念与构思时指出，人一生的</w:t>
      </w:r>
      <w:r>
        <w:rPr>
          <w:spacing w:val="-7"/>
        </w:rPr>
        <w:t>教育都可谓是为生涯规划教育服务的。他把生涯规划教育视为所有学生课程学习</w:t>
      </w:r>
      <w:r>
        <w:rPr>
          <w:spacing w:val="-1"/>
        </w:rPr>
        <w:t>的重要内容，并建议小学、中学、大学一以贯之。美国工艺教育学会曾在 </w:t>
      </w:r>
      <w:r>
        <w:rPr>
          <w:rFonts w:ascii="Times New Roman" w:eastAsia="Times New Roman"/>
        </w:rPr>
        <w:t>1973 </w:t>
      </w:r>
      <w:r>
        <w:rPr>
          <w:spacing w:val="-10"/>
        </w:rPr>
        <w:t>年发文指出，生涯规划教育是一项整体的教育计划，包含了学校课程中每一项训</w:t>
      </w:r>
      <w:r>
        <w:rPr>
          <w:spacing w:val="-6"/>
        </w:rPr>
        <w:t>练。</w:t>
      </w:r>
      <w:hyperlink w:history="true" w:anchor="_bookmark147">
        <w:r>
          <w:rPr>
            <w:rFonts w:ascii="Times New Roman" w:eastAsia="Times New Roman"/>
            <w:position w:val="8"/>
            <w:sz w:val="15"/>
          </w:rPr>
          <w:t>[1</w:t>
        </w:r>
      </w:hyperlink>
      <w:r>
        <w:rPr>
          <w:rFonts w:ascii="Times New Roman" w:eastAsia="Times New Roman"/>
          <w:position w:val="8"/>
          <w:sz w:val="15"/>
        </w:rPr>
        <w:t>]</w:t>
      </w:r>
      <w:r>
        <w:rPr>
          <w:spacing w:val="-5"/>
        </w:rPr>
        <w:t>因此，西方不少发达国家依据生涯发展的相关理念，将生涯规划教育的实</w:t>
      </w:r>
      <w:r>
        <w:rPr/>
        <w:t>施贯穿于学生学习的全过程，为学生提供连贯的生涯规划教育。</w:t>
      </w:r>
    </w:p>
    <w:p>
      <w:pPr>
        <w:pStyle w:val="BodyText"/>
        <w:spacing w:line="364" w:lineRule="auto" w:before="4"/>
        <w:ind w:left="1320" w:right="1575" w:firstLine="480"/>
        <w:jc w:val="both"/>
      </w:pPr>
      <w:r>
        <w:rPr>
          <w:spacing w:val="-7"/>
        </w:rPr>
        <w:t>“生涯规划教育是一种持续性教育”是美国中小学生涯规划教育内容设置的</w:t>
      </w:r>
      <w:r>
        <w:rPr>
          <w:spacing w:val="-10"/>
        </w:rPr>
        <w:t>重要方针之一。因此，美国的生涯规划教育从儿童早期开始，一直延续到中学甚至中学，大致分 </w:t>
      </w:r>
      <w:r>
        <w:rPr>
          <w:rFonts w:ascii="Times New Roman" w:hAnsi="Times New Roman" w:eastAsia="Times New Roman"/>
        </w:rPr>
        <w:t>3 </w:t>
      </w:r>
      <w:r>
        <w:rPr/>
        <w:t>个阶段：</w:t>
      </w:r>
      <w:r>
        <w:rPr>
          <w:rFonts w:ascii="Times New Roman" w:hAnsi="Times New Roman" w:eastAsia="Times New Roman"/>
        </w:rPr>
        <w:t>1-6 </w:t>
      </w:r>
      <w:r>
        <w:rPr/>
        <w:t>年级是学生了解生涯的阶段，</w:t>
      </w:r>
      <w:r>
        <w:rPr>
          <w:rFonts w:ascii="Times New Roman" w:hAnsi="Times New Roman" w:eastAsia="Times New Roman"/>
        </w:rPr>
        <w:t>7-10 </w:t>
      </w:r>
      <w:r>
        <w:rPr>
          <w:spacing w:val="-3"/>
        </w:rPr>
        <w:t>年级学生开始</w:t>
      </w:r>
      <w:r>
        <w:rPr/>
        <w:t>进行生涯探索，</w:t>
      </w:r>
      <w:r>
        <w:rPr>
          <w:rFonts w:ascii="Times New Roman" w:hAnsi="Times New Roman" w:eastAsia="Times New Roman"/>
        </w:rPr>
        <w:t>10-12 </w:t>
      </w:r>
      <w:r>
        <w:rPr>
          <w:spacing w:val="-1"/>
        </w:rPr>
        <w:t>年级作为生涯抉择阶段，进而向学生实施连贯的生涯规划</w:t>
      </w:r>
      <w:r>
        <w:rPr>
          <w:spacing w:val="-2"/>
        </w:rPr>
        <w:t>教育内容。</w:t>
      </w:r>
      <w:hyperlink w:history="true" w:anchor="_bookmark148">
        <w:r>
          <w:rPr>
            <w:rFonts w:ascii="Times New Roman" w:hAnsi="Times New Roman" w:eastAsia="Times New Roman"/>
            <w:position w:val="8"/>
            <w:sz w:val="15"/>
          </w:rPr>
          <w:t>[2</w:t>
        </w:r>
      </w:hyperlink>
      <w:r>
        <w:rPr>
          <w:rFonts w:ascii="Times New Roman" w:hAnsi="Times New Roman" w:eastAsia="Times New Roman"/>
          <w:position w:val="8"/>
          <w:sz w:val="15"/>
        </w:rPr>
        <w:t>]</w:t>
      </w:r>
      <w:r>
        <w:rPr>
          <w:spacing w:val="-5"/>
        </w:rPr>
        <w:t>中学毕业后，学生或进入劳动力市场，或在社区学院、学院和大学</w:t>
      </w:r>
      <w:r>
        <w:rPr/>
        <w:t>里继续深造。</w:t>
      </w:r>
    </w:p>
    <w:p>
      <w:pPr>
        <w:pStyle w:val="BodyText"/>
        <w:spacing w:line="364" w:lineRule="auto" w:before="3"/>
        <w:ind w:left="1320" w:right="1577" w:firstLine="480"/>
        <w:jc w:val="both"/>
      </w:pPr>
      <w:r>
        <w:rPr>
          <w:spacing w:val="-5"/>
        </w:rPr>
        <w:t>新西兰的生涯规划教育从学前教育阶段一直持续到高等教育。在学前教育阶</w:t>
      </w:r>
      <w:r>
        <w:rPr>
          <w:spacing w:val="-12"/>
        </w:rPr>
        <w:t>段，该国以“探索世界”为学前教育课程标准目标之一，鼓励孩子积极感知、探</w:t>
      </w:r>
      <w:r>
        <w:rPr>
          <w:spacing w:val="-9"/>
        </w:rPr>
        <w:t>索自然与社会，形成对实物及真实世界的初步认识。例如，幼儿园为了让孩子提</w:t>
      </w:r>
    </w:p>
    <w:p>
      <w:pPr>
        <w:pStyle w:val="BodyText"/>
        <w:spacing w:before="2"/>
        <w:rPr>
          <w:sz w:val="17"/>
        </w:rPr>
      </w:pPr>
      <w:r>
        <w:rPr/>
        <w:pict>
          <v:shape style="position:absolute;margin-left:90pt;margin-top:12.970235pt;width:144pt;height:.1pt;mso-position-horizontal-relative:page;mso-position-vertical-relative:paragraph;z-index:-251600896;mso-wrap-distance-left:0;mso-wrap-distance-right:0" coordorigin="1800,259" coordsize="2880,0" path="m1800,259l4680,259e" filled="false" stroked="true" strokeweight="0pt" strokecolor="#000000">
            <v:path arrowok="t"/>
            <v:stroke dashstyle="solid"/>
            <w10:wrap type="topAndBottom"/>
          </v:shape>
        </w:pict>
      </w:r>
    </w:p>
    <w:p>
      <w:pPr>
        <w:spacing w:before="98"/>
        <w:ind w:left="1320" w:right="0" w:firstLine="0"/>
        <w:jc w:val="left"/>
        <w:rPr>
          <w:rFonts w:ascii="Times New Roman" w:eastAsia="Times New Roman"/>
          <w:sz w:val="18"/>
        </w:rPr>
      </w:pPr>
      <w:bookmarkStart w:name="_bookmark147" w:id="187"/>
      <w:bookmarkEnd w:id="187"/>
      <w:r>
        <w:rPr/>
      </w:r>
      <w:r>
        <w:rPr>
          <w:rFonts w:ascii="Times New Roman" w:eastAsia="Times New Roman"/>
          <w:position w:val="7"/>
          <w:sz w:val="13"/>
        </w:rPr>
        <w:t>[1] </w:t>
      </w:r>
      <w:r>
        <w:rPr>
          <w:sz w:val="18"/>
        </w:rPr>
        <w:t>邓宏宝</w:t>
      </w:r>
      <w:r>
        <w:rPr>
          <w:rFonts w:ascii="Times New Roman" w:eastAsia="Times New Roman"/>
          <w:sz w:val="18"/>
        </w:rPr>
        <w:t>.</w:t>
      </w:r>
      <w:r>
        <w:rPr>
          <w:sz w:val="18"/>
        </w:rPr>
        <w:t>国外中学生生涯教育课程实施：经验与启示</w:t>
      </w:r>
      <w:r>
        <w:rPr>
          <w:rFonts w:ascii="Times New Roman" w:eastAsia="Times New Roman"/>
          <w:sz w:val="18"/>
        </w:rPr>
        <w:t>.[J].</w:t>
      </w:r>
      <w:r>
        <w:rPr>
          <w:sz w:val="18"/>
        </w:rPr>
        <w:t>外国中小学教育，</w:t>
      </w:r>
      <w:r>
        <w:rPr>
          <w:rFonts w:ascii="Times New Roman" w:eastAsia="Times New Roman"/>
          <w:sz w:val="18"/>
        </w:rPr>
        <w:t>2013</w:t>
      </w:r>
      <w:r>
        <w:rPr>
          <w:sz w:val="18"/>
        </w:rPr>
        <w:t>（</w:t>
      </w:r>
      <w:r>
        <w:rPr>
          <w:rFonts w:ascii="Times New Roman" w:eastAsia="Times New Roman"/>
          <w:sz w:val="18"/>
        </w:rPr>
        <w:t>10</w:t>
      </w:r>
      <w:r>
        <w:rPr>
          <w:sz w:val="18"/>
        </w:rPr>
        <w:t>）：</w:t>
      </w:r>
      <w:r>
        <w:rPr>
          <w:rFonts w:ascii="Times New Roman" w:eastAsia="Times New Roman"/>
          <w:sz w:val="18"/>
        </w:rPr>
        <w:t>26.</w:t>
      </w:r>
    </w:p>
    <w:p>
      <w:pPr>
        <w:spacing w:before="128"/>
        <w:ind w:left="1319" w:right="0" w:firstLine="0"/>
        <w:jc w:val="left"/>
        <w:rPr>
          <w:rFonts w:ascii="Times New Roman" w:eastAsia="Times New Roman"/>
          <w:sz w:val="18"/>
        </w:rPr>
      </w:pPr>
      <w:bookmarkStart w:name="_bookmark148" w:id="188"/>
      <w:bookmarkEnd w:id="188"/>
      <w:r>
        <w:rPr/>
      </w:r>
      <w:r>
        <w:rPr>
          <w:rFonts w:ascii="Times New Roman" w:eastAsia="Times New Roman"/>
          <w:position w:val="7"/>
          <w:sz w:val="13"/>
        </w:rPr>
        <w:t>[2] </w:t>
      </w:r>
      <w:r>
        <w:rPr>
          <w:sz w:val="18"/>
        </w:rPr>
        <w:t>于珍</w:t>
      </w:r>
      <w:r>
        <w:rPr>
          <w:rFonts w:ascii="Times New Roman" w:eastAsia="Times New Roman"/>
          <w:sz w:val="18"/>
        </w:rPr>
        <w:t>.</w:t>
      </w:r>
      <w:r>
        <w:rPr>
          <w:sz w:val="18"/>
        </w:rPr>
        <w:t>中小学生涯教育：来自美国的经验与启示</w:t>
      </w:r>
      <w:r>
        <w:rPr>
          <w:rFonts w:ascii="Times New Roman" w:eastAsia="Times New Roman"/>
          <w:sz w:val="18"/>
        </w:rPr>
        <w:t>.[J].</w:t>
      </w:r>
      <w:r>
        <w:rPr>
          <w:sz w:val="18"/>
        </w:rPr>
        <w:t>外国中小学教育，</w:t>
      </w:r>
      <w:r>
        <w:rPr>
          <w:rFonts w:ascii="Times New Roman" w:eastAsia="Times New Roman"/>
          <w:sz w:val="18"/>
        </w:rPr>
        <w:t>2008</w:t>
      </w:r>
      <w:r>
        <w:rPr>
          <w:sz w:val="18"/>
        </w:rPr>
        <w:t>（</w:t>
      </w:r>
      <w:r>
        <w:rPr>
          <w:rFonts w:ascii="Times New Roman" w:eastAsia="Times New Roman"/>
          <w:sz w:val="18"/>
        </w:rPr>
        <w:t>3</w:t>
      </w:r>
      <w:r>
        <w:rPr>
          <w:sz w:val="18"/>
        </w:rPr>
        <w:t>）：</w:t>
      </w:r>
      <w:r>
        <w:rPr>
          <w:rFonts w:ascii="Times New Roman" w:eastAsia="Times New Roman"/>
          <w:sz w:val="18"/>
        </w:rPr>
        <w:t>52-53.</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before="66"/>
        <w:ind w:left="1320"/>
      </w:pPr>
      <w:r>
        <w:rPr/>
        <w:t>前掌握生活技能，会给孩子提供微波炉、电磁炉等家电的模拟设备，让孩童探索。</w:t>
      </w:r>
    </w:p>
    <w:p>
      <w:pPr>
        <w:pStyle w:val="BodyText"/>
        <w:spacing w:before="160"/>
        <w:ind w:left="1320"/>
      </w:pPr>
      <w:r>
        <w:rPr>
          <w:rFonts w:ascii="Times New Roman" w:eastAsia="Times New Roman"/>
          <w:position w:val="8"/>
          <w:sz w:val="15"/>
        </w:rPr>
        <w:t>[</w:t>
      </w:r>
      <w:hyperlink w:history="true" w:anchor="_bookmark149">
        <w:r>
          <w:rPr>
            <w:rFonts w:ascii="Times New Roman" w:eastAsia="Times New Roman"/>
            <w:position w:val="8"/>
            <w:sz w:val="15"/>
          </w:rPr>
          <w:t>1</w:t>
        </w:r>
      </w:hyperlink>
      <w:r>
        <w:rPr>
          <w:rFonts w:ascii="Times New Roman" w:eastAsia="Times New Roman"/>
          <w:position w:val="8"/>
          <w:sz w:val="15"/>
        </w:rPr>
        <w:t>]</w:t>
      </w:r>
      <w:r>
        <w:rPr/>
        <w:t>基础教育阶段，学校生涯规划教育渗透于学校的课程中，或专设独立的生涯相</w:t>
      </w:r>
    </w:p>
    <w:p>
      <w:pPr>
        <w:pStyle w:val="BodyText"/>
        <w:spacing w:line="364" w:lineRule="auto" w:before="161"/>
        <w:ind w:left="1320" w:right="1577"/>
        <w:rPr>
          <w:rFonts w:ascii="Times New Roman" w:eastAsia="Times New Roman"/>
          <w:sz w:val="15"/>
        </w:rPr>
      </w:pPr>
      <w:r>
        <w:rPr>
          <w:spacing w:val="-11"/>
        </w:rPr>
        <w:t>关课程；高等教育阶段，生涯规划教育作为学生必修课程，由学校就业辅导中心</w:t>
      </w:r>
      <w:r>
        <w:rPr/>
        <w:t>为学生的就业提供切实的参考意见。</w:t>
      </w:r>
      <w:r>
        <w:rPr>
          <w:rFonts w:ascii="Times New Roman" w:eastAsia="Times New Roman"/>
          <w:position w:val="8"/>
          <w:sz w:val="15"/>
        </w:rPr>
        <w:t>[</w:t>
      </w:r>
      <w:hyperlink w:history="true" w:anchor="_bookmark150">
        <w:r>
          <w:rPr>
            <w:rFonts w:ascii="Times New Roman" w:eastAsia="Times New Roman"/>
            <w:position w:val="8"/>
            <w:sz w:val="15"/>
          </w:rPr>
          <w:t>2</w:t>
        </w:r>
      </w:hyperlink>
      <w:r>
        <w:rPr>
          <w:rFonts w:ascii="Times New Roman" w:eastAsia="Times New Roman"/>
          <w:position w:val="8"/>
          <w:sz w:val="15"/>
        </w:rPr>
        <w:t>]</w:t>
      </w:r>
    </w:p>
    <w:p>
      <w:pPr>
        <w:pStyle w:val="BodyText"/>
        <w:spacing w:line="364" w:lineRule="auto" w:before="1"/>
        <w:ind w:left="1319" w:right="1485" w:firstLine="480"/>
        <w:rPr>
          <w:rFonts w:ascii="Times New Roman" w:hAnsi="Times New Roman" w:eastAsia="Times New Roman"/>
          <w:sz w:val="15"/>
        </w:rPr>
      </w:pPr>
      <w:r>
        <w:rPr>
          <w:spacing w:val="-3"/>
        </w:rPr>
        <w:t>加拿大已经形成从小学到大学的相对完善的“生涯规划教育链”。</w:t>
      </w:r>
      <w:r>
        <w:rPr>
          <w:rFonts w:ascii="Times New Roman" w:hAnsi="Times New Roman" w:eastAsia="Times New Roman"/>
          <w:position w:val="8"/>
          <w:sz w:val="15"/>
        </w:rPr>
        <w:t>[</w:t>
      </w:r>
      <w:hyperlink w:history="true" w:anchor="_bookmark151">
        <w:r>
          <w:rPr>
            <w:rFonts w:ascii="Times New Roman" w:hAnsi="Times New Roman" w:eastAsia="Times New Roman"/>
            <w:position w:val="8"/>
            <w:sz w:val="15"/>
          </w:rPr>
          <w:t>3</w:t>
        </w:r>
      </w:hyperlink>
      <w:r>
        <w:rPr>
          <w:rFonts w:ascii="Times New Roman" w:hAnsi="Times New Roman" w:eastAsia="Times New Roman"/>
          <w:position w:val="8"/>
          <w:sz w:val="15"/>
        </w:rPr>
        <w:t>]</w:t>
      </w:r>
      <w:r>
        <w:rPr/>
        <w:t>以安大</w:t>
      </w:r>
      <w:r>
        <w:rPr>
          <w:spacing w:val="-1"/>
        </w:rPr>
        <w:t>略省的生涯规划教育为例，在其发布的《九、十年级生涯教育与指导》和《十、</w:t>
      </w:r>
      <w:r>
        <w:rPr>
          <w:spacing w:val="-10"/>
        </w:rPr>
        <w:t>十一年级生涯规划教育与指导》文件中，为 </w:t>
      </w:r>
      <w:r>
        <w:rPr>
          <w:rFonts w:ascii="Times New Roman" w:hAnsi="Times New Roman" w:eastAsia="Times New Roman"/>
        </w:rPr>
        <w:t>9</w:t>
      </w:r>
      <w:r>
        <w:rPr/>
        <w:t>—</w:t>
      </w:r>
      <w:r>
        <w:rPr>
          <w:rFonts w:ascii="Times New Roman" w:hAnsi="Times New Roman" w:eastAsia="Times New Roman"/>
        </w:rPr>
        <w:t>12 </w:t>
      </w:r>
      <w:r>
        <w:rPr/>
        <w:t>年级的学生设置了连贯的生涯</w:t>
      </w:r>
      <w:r>
        <w:rPr>
          <w:spacing w:val="-7"/>
        </w:rPr>
        <w:t>规划教育：九年级开设了“学习策略 </w:t>
      </w:r>
      <w:r>
        <w:rPr>
          <w:rFonts w:ascii="Times New Roman" w:hAnsi="Times New Roman" w:eastAsia="Times New Roman"/>
          <w:spacing w:val="-3"/>
        </w:rPr>
        <w:t>1</w:t>
      </w:r>
      <w:r>
        <w:rPr>
          <w:spacing w:val="-4"/>
        </w:rPr>
        <w:t>：在中学中获得成功的技能”课程；十年</w:t>
      </w:r>
      <w:r>
        <w:rPr>
          <w:spacing w:val="-10"/>
        </w:rPr>
        <w:t>级是“职场生涯研究”和“发现职场”；十一年级“设计你的未来”和“领导与</w:t>
      </w:r>
      <w:r>
        <w:rPr>
          <w:spacing w:val="-13"/>
        </w:rPr>
        <w:t>同伴支持”、十二年级的“高级学习策略：在中学后获得成功的技能”和“驾驭职场”。</w:t>
      </w:r>
      <w:r>
        <w:rPr>
          <w:rFonts w:ascii="Times New Roman" w:hAnsi="Times New Roman" w:eastAsia="Times New Roman"/>
          <w:spacing w:val="-13"/>
          <w:position w:val="8"/>
          <w:sz w:val="15"/>
        </w:rPr>
        <w:t>[</w:t>
      </w:r>
      <w:hyperlink w:history="true" w:anchor="_bookmark152">
        <w:r>
          <w:rPr>
            <w:rFonts w:ascii="Times New Roman" w:hAnsi="Times New Roman" w:eastAsia="Times New Roman"/>
            <w:spacing w:val="-13"/>
            <w:position w:val="8"/>
            <w:sz w:val="15"/>
          </w:rPr>
          <w:t>4</w:t>
        </w:r>
      </w:hyperlink>
      <w:r>
        <w:rPr>
          <w:rFonts w:ascii="Times New Roman" w:hAnsi="Times New Roman" w:eastAsia="Times New Roman"/>
          <w:spacing w:val="-13"/>
          <w:position w:val="8"/>
          <w:sz w:val="15"/>
        </w:rPr>
        <w:t>]</w:t>
      </w:r>
    </w:p>
    <w:p>
      <w:pPr>
        <w:pStyle w:val="ListParagraph"/>
        <w:numPr>
          <w:ilvl w:val="3"/>
          <w:numId w:val="33"/>
        </w:numPr>
        <w:tabs>
          <w:tab w:pos="2100" w:val="left" w:leader="none"/>
        </w:tabs>
        <w:spacing w:line="240" w:lineRule="auto" w:before="4" w:after="0"/>
        <w:ind w:left="2100" w:right="0" w:hanging="781"/>
        <w:jc w:val="left"/>
        <w:rPr>
          <w:sz w:val="24"/>
        </w:rPr>
      </w:pPr>
      <w:r>
        <w:rPr>
          <w:sz w:val="24"/>
        </w:rPr>
        <w:t>实施内容的系统性</w:t>
      </w:r>
    </w:p>
    <w:p>
      <w:pPr>
        <w:pStyle w:val="BodyText"/>
        <w:spacing w:line="364" w:lineRule="auto" w:before="161"/>
        <w:ind w:left="1319" w:right="1457" w:firstLine="480"/>
      </w:pPr>
      <w:r>
        <w:rPr>
          <w:spacing w:val="-6"/>
        </w:rPr>
        <w:t>生涯规划教育贯穿于人漫长的一生，在人生发展的不同阶段承担不同的发展</w:t>
      </w:r>
      <w:r>
        <w:rPr>
          <w:spacing w:val="-10"/>
        </w:rPr>
        <w:t>任务。建立个体对生命价值、职业价值的认识，实现个人兴趣、潜能和特质的最</w:t>
      </w:r>
      <w:r>
        <w:rPr>
          <w:spacing w:val="-11"/>
        </w:rPr>
        <w:t>大发挥，这些都是生涯规划教育的重要任务。因此，生涯规划教育的内容不仅要</w:t>
      </w:r>
      <w:r>
        <w:rPr>
          <w:spacing w:val="-16"/>
        </w:rPr>
        <w:t>考虑社会和国家的现实需求，还应兼顾个体的认知、学习、工作、社会、闲暇生</w:t>
      </w:r>
      <w:r>
        <w:rPr>
          <w:spacing w:val="-21"/>
        </w:rPr>
        <w:t>活所必备的知识与技能。因而，生涯规划教育内容涉及个体生涯发展的方方面面， </w:t>
      </w:r>
      <w:r>
        <w:rPr/>
        <w:t>十分广泛，但它不是杂乱无章的堆砌，而是一个相对完整的体系。</w:t>
      </w:r>
    </w:p>
    <w:p>
      <w:pPr>
        <w:pStyle w:val="BodyText"/>
        <w:spacing w:line="364" w:lineRule="auto" w:before="3"/>
        <w:ind w:left="1319" w:right="1455" w:firstLine="480"/>
      </w:pPr>
      <w:r>
        <w:rPr>
          <w:spacing w:val="-4"/>
        </w:rPr>
        <w:t>美国的生涯规划教育为每一阶段的学生设置了系统的内容：第一阶段是生涯</w:t>
      </w:r>
      <w:r>
        <w:rPr>
          <w:spacing w:val="-16"/>
        </w:rPr>
        <w:t>了解阶段，意在唤醒儿童的生涯意识，让儿童对自我、社会、职业有初步的认识； </w:t>
      </w:r>
      <w:r>
        <w:rPr>
          <w:spacing w:val="-14"/>
        </w:rPr>
        <w:t>第二阶段属于生涯探索阶段，学生要对相关的职业知识，职业选择进行探索了解； </w:t>
      </w:r>
      <w:r>
        <w:rPr>
          <w:spacing w:val="-7"/>
        </w:rPr>
        <w:t>第三阶段是生涯准备与决策阶段，这一阶段要帮助学生就中学后的教育和生涯规</w:t>
      </w:r>
      <w:r>
        <w:rPr>
          <w:spacing w:val="-13"/>
        </w:rPr>
        <w:t>划作出有质量的决策，要求学生选择特定的职业群集中学习，发展学生的求职技</w:t>
      </w:r>
      <w:r>
        <w:rPr>
          <w:spacing w:val="-17"/>
        </w:rPr>
        <w:t>能、面试技巧等。这一阶段学生的生涯发展有三种重要的选择：毕业后寻找就业； </w:t>
      </w:r>
      <w:r>
        <w:rPr>
          <w:spacing w:val="-5"/>
        </w:rPr>
        <w:t>接受职业与技术培训或为就业当学徒；进入大学为就业准备，高中阶段的生涯规</w:t>
      </w:r>
    </w:p>
    <w:p>
      <w:pPr>
        <w:pStyle w:val="BodyText"/>
        <w:spacing w:before="11"/>
        <w:rPr>
          <w:sz w:val="18"/>
        </w:rPr>
      </w:pPr>
      <w:r>
        <w:rPr/>
        <w:pict>
          <v:shape style="position:absolute;margin-left:90pt;margin-top:14.038945pt;width:144pt;height:.1pt;mso-position-horizontal-relative:page;mso-position-vertical-relative:paragraph;z-index:-251599872;mso-wrap-distance-left:0;mso-wrap-distance-right:0" coordorigin="1800,281" coordsize="2880,0" path="m1800,281l4680,281e" filled="false" stroked="true" strokeweight="0pt" strokecolor="#000000">
            <v:path arrowok="t"/>
            <v:stroke dashstyle="solid"/>
            <w10:wrap type="topAndBottom"/>
          </v:shape>
        </w:pict>
      </w:r>
    </w:p>
    <w:p>
      <w:pPr>
        <w:spacing w:before="99"/>
        <w:ind w:left="1320" w:right="0" w:firstLine="0"/>
        <w:jc w:val="left"/>
        <w:rPr>
          <w:rFonts w:ascii="Times New Roman" w:eastAsia="Times New Roman"/>
          <w:sz w:val="18"/>
        </w:rPr>
      </w:pPr>
      <w:bookmarkStart w:name="_bookmark149" w:id="189"/>
      <w:bookmarkEnd w:id="189"/>
      <w:r>
        <w:rPr/>
      </w:r>
      <w:r>
        <w:rPr>
          <w:rFonts w:ascii="Times New Roman" w:eastAsia="Times New Roman"/>
          <w:position w:val="7"/>
          <w:sz w:val="13"/>
        </w:rPr>
        <w:t>[1] </w:t>
      </w:r>
      <w:r>
        <w:rPr>
          <w:sz w:val="18"/>
        </w:rPr>
        <w:t>朱凌云</w:t>
      </w:r>
      <w:r>
        <w:rPr>
          <w:rFonts w:ascii="Times New Roman" w:eastAsia="Times New Roman"/>
          <w:sz w:val="18"/>
        </w:rPr>
        <w:t>.</w:t>
      </w:r>
      <w:r>
        <w:rPr>
          <w:sz w:val="18"/>
        </w:rPr>
        <w:t>新西兰中小学生涯教育的特点</w:t>
      </w:r>
      <w:r>
        <w:rPr>
          <w:rFonts w:ascii="Times New Roman" w:eastAsia="Times New Roman"/>
          <w:sz w:val="18"/>
        </w:rPr>
        <w:t>.[J].</w:t>
      </w:r>
      <w:r>
        <w:rPr>
          <w:sz w:val="18"/>
        </w:rPr>
        <w:t>外国教育研究，</w:t>
      </w:r>
      <w:r>
        <w:rPr>
          <w:rFonts w:ascii="Times New Roman" w:eastAsia="Times New Roman"/>
          <w:sz w:val="18"/>
        </w:rPr>
        <w:t>2013</w:t>
      </w:r>
      <w:r>
        <w:rPr>
          <w:sz w:val="18"/>
        </w:rPr>
        <w:t>（</w:t>
      </w:r>
      <w:r>
        <w:rPr>
          <w:rFonts w:ascii="Times New Roman" w:eastAsia="Times New Roman"/>
          <w:sz w:val="18"/>
        </w:rPr>
        <w:t>8</w:t>
      </w:r>
      <w:r>
        <w:rPr>
          <w:sz w:val="18"/>
        </w:rPr>
        <w:t>）：</w:t>
      </w:r>
      <w:r>
        <w:rPr>
          <w:rFonts w:ascii="Times New Roman" w:eastAsia="Times New Roman"/>
          <w:sz w:val="18"/>
        </w:rPr>
        <w:t>20-21.</w:t>
      </w:r>
    </w:p>
    <w:p>
      <w:pPr>
        <w:spacing w:before="127"/>
        <w:ind w:left="1320" w:right="0" w:firstLine="0"/>
        <w:jc w:val="left"/>
        <w:rPr>
          <w:rFonts w:ascii="Times New Roman" w:eastAsia="Times New Roman"/>
          <w:sz w:val="18"/>
        </w:rPr>
      </w:pPr>
      <w:bookmarkStart w:name="_bookmark150" w:id="190"/>
      <w:bookmarkEnd w:id="190"/>
      <w:r>
        <w:rPr/>
      </w:r>
      <w:r>
        <w:rPr>
          <w:rFonts w:ascii="Times New Roman" w:eastAsia="Times New Roman"/>
          <w:position w:val="7"/>
          <w:sz w:val="13"/>
        </w:rPr>
        <w:t>[2] </w:t>
      </w:r>
      <w:r>
        <w:rPr>
          <w:sz w:val="18"/>
        </w:rPr>
        <w:t>李彬龙</w:t>
      </w:r>
      <w:r>
        <w:rPr>
          <w:rFonts w:ascii="Times New Roman" w:eastAsia="Times New Roman"/>
          <w:sz w:val="18"/>
        </w:rPr>
        <w:t>.</w:t>
      </w:r>
      <w:r>
        <w:rPr>
          <w:sz w:val="18"/>
        </w:rPr>
        <w:t>新西兰生涯教育标准研究</w:t>
      </w:r>
      <w:r>
        <w:rPr>
          <w:rFonts w:ascii="Times New Roman" w:eastAsia="Times New Roman"/>
          <w:sz w:val="18"/>
        </w:rPr>
        <w:t>.[D].</w:t>
      </w:r>
      <w:r>
        <w:rPr>
          <w:sz w:val="18"/>
        </w:rPr>
        <w:t>上海：华东师范大学硕士论文，</w:t>
      </w:r>
      <w:r>
        <w:rPr>
          <w:rFonts w:ascii="Times New Roman" w:eastAsia="Times New Roman"/>
          <w:sz w:val="18"/>
        </w:rPr>
        <w:t>2014</w:t>
      </w:r>
      <w:r>
        <w:rPr>
          <w:sz w:val="18"/>
        </w:rPr>
        <w:t>：</w:t>
      </w:r>
      <w:r>
        <w:rPr>
          <w:rFonts w:ascii="Times New Roman" w:eastAsia="Times New Roman"/>
          <w:sz w:val="18"/>
        </w:rPr>
        <w:t>27.</w:t>
      </w:r>
    </w:p>
    <w:p>
      <w:pPr>
        <w:spacing w:before="126"/>
        <w:ind w:left="1319" w:right="0" w:firstLine="0"/>
        <w:jc w:val="left"/>
        <w:rPr>
          <w:rFonts w:ascii="Times New Roman" w:eastAsia="Times New Roman"/>
          <w:sz w:val="18"/>
        </w:rPr>
      </w:pPr>
      <w:bookmarkStart w:name="_bookmark151" w:id="191"/>
      <w:bookmarkEnd w:id="191"/>
      <w:r>
        <w:rPr/>
      </w:r>
      <w:r>
        <w:rPr>
          <w:rFonts w:ascii="Times New Roman" w:eastAsia="Times New Roman"/>
          <w:position w:val="7"/>
          <w:sz w:val="13"/>
        </w:rPr>
        <w:t>[3] </w:t>
      </w:r>
      <w:r>
        <w:rPr>
          <w:sz w:val="18"/>
        </w:rPr>
        <w:t>张晓露</w:t>
      </w:r>
      <w:r>
        <w:rPr>
          <w:rFonts w:ascii="Times New Roman" w:eastAsia="Times New Roman"/>
          <w:sz w:val="18"/>
        </w:rPr>
        <w:t>.</w:t>
      </w:r>
      <w:r>
        <w:rPr>
          <w:sz w:val="18"/>
        </w:rPr>
        <w:t>加拿大：从小学到大学的职业生涯教育链</w:t>
      </w:r>
      <w:r>
        <w:rPr>
          <w:rFonts w:ascii="Times New Roman" w:eastAsia="Times New Roman"/>
          <w:sz w:val="18"/>
        </w:rPr>
        <w:t>[J].</w:t>
      </w:r>
      <w:r>
        <w:rPr>
          <w:sz w:val="18"/>
        </w:rPr>
        <w:t>上海教育，</w:t>
      </w:r>
      <w:r>
        <w:rPr>
          <w:rFonts w:ascii="Times New Roman" w:eastAsia="Times New Roman"/>
          <w:sz w:val="18"/>
        </w:rPr>
        <w:t>2014</w:t>
      </w:r>
      <w:r>
        <w:rPr>
          <w:sz w:val="18"/>
        </w:rPr>
        <w:t>（</w:t>
      </w:r>
      <w:r>
        <w:rPr>
          <w:rFonts w:ascii="Times New Roman" w:eastAsia="Times New Roman"/>
          <w:sz w:val="18"/>
        </w:rPr>
        <w:t>29</w:t>
      </w:r>
      <w:r>
        <w:rPr>
          <w:sz w:val="18"/>
        </w:rPr>
        <w:t>）：</w:t>
      </w:r>
      <w:r>
        <w:rPr>
          <w:rFonts w:ascii="Times New Roman" w:eastAsia="Times New Roman"/>
          <w:sz w:val="18"/>
        </w:rPr>
        <w:t>31-35.</w:t>
      </w:r>
    </w:p>
    <w:p>
      <w:pPr>
        <w:spacing w:line="386" w:lineRule="auto" w:before="127"/>
        <w:ind w:left="1319" w:right="2132" w:firstLine="0"/>
        <w:jc w:val="left"/>
        <w:rPr>
          <w:rFonts w:ascii="Times New Roman"/>
          <w:sz w:val="18"/>
        </w:rPr>
      </w:pPr>
      <w:bookmarkStart w:name="_bookmark152" w:id="192"/>
      <w:bookmarkEnd w:id="192"/>
      <w:r>
        <w:rPr/>
      </w:r>
      <w:r>
        <w:rPr>
          <w:rFonts w:ascii="Times New Roman"/>
          <w:position w:val="7"/>
          <w:sz w:val="13"/>
        </w:rPr>
        <w:t>[4] </w:t>
      </w:r>
      <w:r>
        <w:rPr>
          <w:rFonts w:ascii="Times New Roman"/>
          <w:sz w:val="18"/>
        </w:rPr>
        <w:t>Ontario Ministry of Educaiton.The Ontario Curriculum Guidance Grades and 12.Guidance and Career Education.[EB/OL].</w:t>
      </w:r>
      <w:hyperlink r:id="rId51">
        <w:r>
          <w:rPr>
            <w:rFonts w:ascii="Times New Roman"/>
            <w:sz w:val="18"/>
          </w:rPr>
          <w:t>http://www.edu.gov.on.ca/eng/curriculum/secondary/guidance1112currb.pdf.2007-1-4.</w:t>
        </w:r>
      </w:hyperlink>
    </w:p>
    <w:p>
      <w:pPr>
        <w:spacing w:after="0" w:line="386" w:lineRule="auto"/>
        <w:jc w:val="left"/>
        <w:rPr>
          <w:rFonts w:ascii="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before="66"/>
        <w:ind w:left="1320"/>
      </w:pPr>
      <w:r>
        <w:rPr/>
        <w:t>划教育始终要为学生的这些转变或者选择提供支持。</w:t>
      </w:r>
    </w:p>
    <w:p>
      <w:pPr>
        <w:pStyle w:val="BodyText"/>
        <w:spacing w:line="364" w:lineRule="auto" w:before="160"/>
        <w:ind w:left="1320" w:right="1455" w:firstLine="480"/>
        <w:rPr>
          <w:rFonts w:ascii="Times New Roman" w:eastAsia="Times New Roman"/>
          <w:sz w:val="15"/>
        </w:rPr>
      </w:pPr>
      <w:r>
        <w:rPr>
          <w:spacing w:val="-5"/>
        </w:rPr>
        <w:t>英国的生涯规划教育实施目标主要侧重自我发展、生涯探索和生涯管理三个</w:t>
      </w:r>
      <w:r>
        <w:rPr>
          <w:spacing w:val="-16"/>
        </w:rPr>
        <w:t>方面，其具体实施内容也呈现出一定的系统性，首先进行自我认知，再认识职业， </w:t>
      </w:r>
      <w:r>
        <w:rPr>
          <w:spacing w:val="-3"/>
        </w:rPr>
        <w:t>探索技能，最终实现个体从学校到工作的过渡，如下表 </w:t>
      </w:r>
      <w:r>
        <w:rPr>
          <w:rFonts w:ascii="Times New Roman" w:eastAsia="Times New Roman"/>
        </w:rPr>
        <w:t>2.6 </w:t>
      </w:r>
      <w:r>
        <w:rPr/>
        <w:t>所示：</w:t>
      </w:r>
      <w:r>
        <w:rPr>
          <w:rFonts w:ascii="Times New Roman" w:eastAsia="Times New Roman"/>
          <w:position w:val="8"/>
          <w:sz w:val="15"/>
        </w:rPr>
        <w:t>[</w:t>
      </w:r>
      <w:hyperlink w:history="true" w:anchor="_bookmark153">
        <w:r>
          <w:rPr>
            <w:rFonts w:ascii="Times New Roman" w:eastAsia="Times New Roman"/>
            <w:position w:val="8"/>
            <w:sz w:val="15"/>
          </w:rPr>
          <w:t>1</w:t>
        </w:r>
      </w:hyperlink>
      <w:r>
        <w:rPr>
          <w:rFonts w:ascii="Times New Roman" w:eastAsia="Times New Roman"/>
          <w:position w:val="8"/>
          <w:sz w:val="15"/>
        </w:rPr>
        <w:t>]</w:t>
      </w:r>
    </w:p>
    <w:p>
      <w:pPr>
        <w:pStyle w:val="BodyText"/>
        <w:spacing w:before="48"/>
        <w:ind w:left="3530"/>
      </w:pPr>
      <w:r>
        <w:rPr/>
        <w:t>表 </w:t>
      </w:r>
      <w:r>
        <w:rPr>
          <w:rFonts w:ascii="Times New Roman" w:eastAsia="Times New Roman"/>
        </w:rPr>
        <w:t>2.6 </w:t>
      </w:r>
      <w:r>
        <w:rPr/>
        <w:t>英国生涯规划教育实施内容</w:t>
      </w:r>
    </w:p>
    <w:p>
      <w:pPr>
        <w:pStyle w:val="BodyText"/>
        <w:spacing w:before="12"/>
        <w:rPr>
          <w:sz w:val="17"/>
        </w:rPr>
      </w:pPr>
      <w:r>
        <w:rPr/>
        <w:drawing>
          <wp:anchor distT="0" distB="0" distL="0" distR="0" allowOverlap="1" layoutInCell="1" locked="0" behindDoc="0" simplePos="0" relativeHeight="58">
            <wp:simplePos x="0" y="0"/>
            <wp:positionH relativeFrom="page">
              <wp:posOffset>1455419</wp:posOffset>
            </wp:positionH>
            <wp:positionV relativeFrom="paragraph">
              <wp:posOffset>170707</wp:posOffset>
            </wp:positionV>
            <wp:extent cx="4644223" cy="4441698"/>
            <wp:effectExtent l="0" t="0" r="0" b="0"/>
            <wp:wrapTopAndBottom/>
            <wp:docPr id="37" name="image10.jpeg"/>
            <wp:cNvGraphicFramePr>
              <a:graphicFrameLocks noChangeAspect="1"/>
            </wp:cNvGraphicFramePr>
            <a:graphic>
              <a:graphicData uri="http://schemas.openxmlformats.org/drawingml/2006/picture">
                <pic:pic>
                  <pic:nvPicPr>
                    <pic:cNvPr id="38" name="image10.jpeg"/>
                    <pic:cNvPicPr/>
                  </pic:nvPicPr>
                  <pic:blipFill>
                    <a:blip r:embed="rId52" cstate="print"/>
                    <a:stretch>
                      <a:fillRect/>
                    </a:stretch>
                  </pic:blipFill>
                  <pic:spPr>
                    <a:xfrm>
                      <a:off x="0" y="0"/>
                      <a:ext cx="4644223" cy="4441698"/>
                    </a:xfrm>
                    <a:prstGeom prst="rect">
                      <a:avLst/>
                    </a:prstGeom>
                  </pic:spPr>
                </pic:pic>
              </a:graphicData>
            </a:graphic>
          </wp:anchor>
        </w:drawing>
      </w:r>
    </w:p>
    <w:p>
      <w:pPr>
        <w:pStyle w:val="BodyText"/>
        <w:spacing w:before="2"/>
      </w:pPr>
    </w:p>
    <w:p>
      <w:pPr>
        <w:pStyle w:val="BodyText"/>
        <w:spacing w:line="364" w:lineRule="auto" w:before="1"/>
        <w:ind w:left="1320" w:right="1570" w:firstLine="480"/>
        <w:jc w:val="both"/>
      </w:pPr>
      <w:r>
        <w:rPr>
          <w:spacing w:val="-6"/>
        </w:rPr>
        <w:t>加拿大安大略省的生涯规划教育</w:t>
      </w:r>
      <w:r>
        <w:rPr/>
        <w:t>（</w:t>
      </w:r>
      <w:r>
        <w:rPr>
          <w:spacing w:val="-12"/>
        </w:rPr>
        <w:t>即“教育和生涯</w:t>
      </w:r>
      <w:r>
        <w:rPr>
          <w:rFonts w:ascii="Times New Roman" w:hAnsi="Times New Roman" w:eastAsia="Times New Roman"/>
        </w:rPr>
        <w:t>/</w:t>
      </w:r>
      <w:r>
        <w:rPr>
          <w:spacing w:val="-5"/>
        </w:rPr>
        <w:t>生活计划”，</w:t>
      </w:r>
      <w:r>
        <w:rPr>
          <w:rFonts w:ascii="Times New Roman" w:hAnsi="Times New Roman" w:eastAsia="Times New Roman"/>
          <w:spacing w:val="-14"/>
        </w:rPr>
        <w:t>education </w:t>
      </w:r>
      <w:r>
        <w:rPr>
          <w:rFonts w:ascii="Times New Roman" w:hAnsi="Times New Roman" w:eastAsia="Times New Roman"/>
          <w:spacing w:val="-6"/>
        </w:rPr>
        <w:t>and </w:t>
      </w:r>
      <w:r>
        <w:rPr>
          <w:rFonts w:ascii="Times New Roman" w:hAnsi="Times New Roman" w:eastAsia="Times New Roman"/>
        </w:rPr>
        <w:t>career/life planning</w:t>
      </w:r>
      <w:r>
        <w:rPr/>
        <w:t>）</w:t>
      </w:r>
      <w:r>
        <w:rPr>
          <w:spacing w:val="-3"/>
        </w:rPr>
        <w:t>是学校的一项综合的项目和活动。学生从幼儿园到 </w:t>
      </w:r>
      <w:r>
        <w:rPr>
          <w:rFonts w:ascii="Times New Roman" w:hAnsi="Times New Roman" w:eastAsia="Times New Roman"/>
        </w:rPr>
        <w:t>12 </w:t>
      </w:r>
      <w:r>
        <w:rPr/>
        <w:t>年级</w:t>
      </w:r>
      <w:r>
        <w:rPr>
          <w:spacing w:val="-7"/>
        </w:rPr>
        <w:t>的学习内容包括四个领域：认识自己、探索机会、做出决策与制定目标、实现目</w:t>
      </w:r>
      <w:r>
        <w:rPr>
          <w:spacing w:val="-9"/>
        </w:rPr>
        <w:t>标并实现过渡，它们分别回答了“我是谁”，“我的机会是什么”，“我想要成</w:t>
      </w:r>
      <w:r>
        <w:rPr>
          <w:spacing w:val="-12"/>
        </w:rPr>
        <w:t>为谁”，“实现目标的计划是什么”四个问题，这四个问题相互交织，构成了学</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12"/>
        </w:rPr>
      </w:pPr>
      <w:r>
        <w:rPr/>
        <w:pict>
          <v:shape style="position:absolute;margin-left:90pt;margin-top:9.837382pt;width:144pt;height:.1pt;mso-position-horizontal-relative:page;mso-position-vertical-relative:paragraph;z-index:-251597824;mso-wrap-distance-left:0;mso-wrap-distance-right:0" coordorigin="1800,197" coordsize="2880,0" path="m1800,197l4680,197e" filled="false" stroked="true" strokeweight="0pt" strokecolor="#000000">
            <v:path arrowok="t"/>
            <v:stroke dashstyle="solid"/>
            <w10:wrap type="topAndBottom"/>
          </v:shape>
        </w:pict>
      </w:r>
    </w:p>
    <w:p>
      <w:pPr>
        <w:spacing w:before="99"/>
        <w:ind w:left="1320" w:right="0" w:firstLine="0"/>
        <w:jc w:val="left"/>
        <w:rPr>
          <w:rFonts w:ascii="Times New Roman" w:eastAsia="Times New Roman"/>
          <w:sz w:val="18"/>
        </w:rPr>
      </w:pPr>
      <w:bookmarkStart w:name="_bookmark153" w:id="193"/>
      <w:bookmarkEnd w:id="193"/>
      <w:r>
        <w:rPr/>
      </w:r>
      <w:r>
        <w:rPr>
          <w:rFonts w:ascii="Times New Roman" w:eastAsia="Times New Roman"/>
          <w:position w:val="7"/>
          <w:sz w:val="13"/>
        </w:rPr>
        <w:t>[1] </w:t>
      </w:r>
      <w:r>
        <w:rPr>
          <w:sz w:val="18"/>
        </w:rPr>
        <w:t>罗汉书</w:t>
      </w:r>
      <w:r>
        <w:rPr>
          <w:rFonts w:ascii="Times New Roman" w:eastAsia="Times New Roman"/>
          <w:sz w:val="18"/>
        </w:rPr>
        <w:t>.</w:t>
      </w:r>
      <w:r>
        <w:rPr>
          <w:sz w:val="18"/>
        </w:rPr>
        <w:t>职业生涯教育的国际经验剖析</w:t>
      </w:r>
      <w:r>
        <w:rPr>
          <w:rFonts w:ascii="Times New Roman" w:eastAsia="Times New Roman"/>
          <w:sz w:val="18"/>
        </w:rPr>
        <w:t>.[J].</w:t>
      </w:r>
      <w:r>
        <w:rPr>
          <w:sz w:val="18"/>
        </w:rPr>
        <w:t>教育发展研究，</w:t>
      </w:r>
      <w:r>
        <w:rPr>
          <w:rFonts w:ascii="Times New Roman" w:eastAsia="Times New Roman"/>
          <w:sz w:val="18"/>
        </w:rPr>
        <w:t>2005</w:t>
      </w:r>
      <w:r>
        <w:rPr>
          <w:sz w:val="18"/>
        </w:rPr>
        <w:t>（</w:t>
      </w:r>
      <w:r>
        <w:rPr>
          <w:rFonts w:ascii="Times New Roman" w:eastAsia="Times New Roman"/>
          <w:sz w:val="18"/>
        </w:rPr>
        <w:t>7</w:t>
      </w:r>
      <w:r>
        <w:rPr>
          <w:sz w:val="18"/>
        </w:rPr>
        <w:t>）：</w:t>
      </w:r>
      <w:r>
        <w:rPr>
          <w:rFonts w:ascii="Times New Roman" w:eastAsia="Times New Roman"/>
          <w:sz w:val="18"/>
        </w:rPr>
        <w:t>45.</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3"/>
        <w:rPr>
          <w:rFonts w:ascii="Times New Roman"/>
          <w:sz w:val="11"/>
        </w:rPr>
      </w:pPr>
    </w:p>
    <w:p>
      <w:pPr>
        <w:pStyle w:val="BodyText"/>
        <w:spacing w:before="80"/>
        <w:ind w:left="1320"/>
        <w:rPr>
          <w:rFonts w:ascii="Times New Roman" w:eastAsia="Times New Roman"/>
          <w:sz w:val="15"/>
        </w:rPr>
      </w:pPr>
      <w:r>
        <w:rPr/>
        <w:drawing>
          <wp:anchor distT="0" distB="0" distL="0" distR="0" allowOverlap="1" layoutInCell="1" locked="0" behindDoc="0" simplePos="0" relativeHeight="60">
            <wp:simplePos x="0" y="0"/>
            <wp:positionH relativeFrom="page">
              <wp:posOffset>1818132</wp:posOffset>
            </wp:positionH>
            <wp:positionV relativeFrom="paragraph">
              <wp:posOffset>319925</wp:posOffset>
            </wp:positionV>
            <wp:extent cx="4078752" cy="3078479"/>
            <wp:effectExtent l="0" t="0" r="0" b="0"/>
            <wp:wrapTopAndBottom/>
            <wp:docPr id="39" name="image11.jpeg"/>
            <wp:cNvGraphicFramePr>
              <a:graphicFrameLocks noChangeAspect="1"/>
            </wp:cNvGraphicFramePr>
            <a:graphic>
              <a:graphicData uri="http://schemas.openxmlformats.org/drawingml/2006/picture">
                <pic:pic>
                  <pic:nvPicPr>
                    <pic:cNvPr id="40" name="image11.jpeg"/>
                    <pic:cNvPicPr/>
                  </pic:nvPicPr>
                  <pic:blipFill>
                    <a:blip r:embed="rId53" cstate="print"/>
                    <a:stretch>
                      <a:fillRect/>
                    </a:stretch>
                  </pic:blipFill>
                  <pic:spPr>
                    <a:xfrm>
                      <a:off x="0" y="0"/>
                      <a:ext cx="4078752" cy="3078479"/>
                    </a:xfrm>
                    <a:prstGeom prst="rect">
                      <a:avLst/>
                    </a:prstGeom>
                  </pic:spPr>
                </pic:pic>
              </a:graphicData>
            </a:graphic>
          </wp:anchor>
        </w:drawing>
      </w:r>
      <w:r>
        <w:rPr/>
        <w:t>校生涯规划教育实施内容的系统，如图 </w:t>
      </w:r>
      <w:r>
        <w:rPr>
          <w:rFonts w:ascii="Times New Roman" w:eastAsia="Times New Roman"/>
        </w:rPr>
        <w:t>2.5 </w:t>
      </w:r>
      <w:r>
        <w:rPr/>
        <w:t>所示：</w:t>
      </w:r>
      <w:r>
        <w:rPr>
          <w:rFonts w:ascii="Times New Roman" w:eastAsia="Times New Roman"/>
          <w:position w:val="8"/>
          <w:sz w:val="15"/>
        </w:rPr>
        <w:t>[</w:t>
      </w:r>
      <w:hyperlink w:history="true" w:anchor="_bookmark154">
        <w:r>
          <w:rPr>
            <w:rFonts w:ascii="Times New Roman" w:eastAsia="Times New Roman"/>
            <w:position w:val="8"/>
            <w:sz w:val="15"/>
          </w:rPr>
          <w:t>1</w:t>
        </w:r>
      </w:hyperlink>
      <w:r>
        <w:rPr>
          <w:rFonts w:ascii="Times New Roman" w:eastAsia="Times New Roman"/>
          <w:position w:val="8"/>
          <w:sz w:val="15"/>
        </w:rPr>
        <w:t>]</w:t>
      </w:r>
    </w:p>
    <w:p>
      <w:pPr>
        <w:pStyle w:val="BodyText"/>
        <w:rPr>
          <w:rFonts w:ascii="Times New Roman"/>
          <w:sz w:val="26"/>
        </w:rPr>
      </w:pPr>
    </w:p>
    <w:p>
      <w:pPr>
        <w:pStyle w:val="BodyText"/>
        <w:spacing w:before="153"/>
        <w:ind w:left="944" w:right="525"/>
        <w:jc w:val="center"/>
      </w:pPr>
      <w:r>
        <w:rPr/>
        <w:t>图 </w:t>
      </w:r>
      <w:r>
        <w:rPr>
          <w:rFonts w:ascii="Times New Roman" w:eastAsia="Times New Roman"/>
        </w:rPr>
        <w:t>2.1 </w:t>
      </w:r>
      <w:r>
        <w:rPr/>
        <w:t>加拿大安大略省生涯规划教育的学习领域</w:t>
      </w:r>
    </w:p>
    <w:p>
      <w:pPr>
        <w:pStyle w:val="BodyText"/>
        <w:rPr>
          <w:sz w:val="21"/>
        </w:rPr>
      </w:pPr>
    </w:p>
    <w:p>
      <w:pPr>
        <w:pStyle w:val="BodyText"/>
        <w:spacing w:line="364" w:lineRule="auto" w:before="66"/>
        <w:ind w:left="1320" w:right="1450" w:firstLine="480"/>
      </w:pPr>
      <w:r>
        <w:rPr>
          <w:spacing w:val="-6"/>
        </w:rPr>
        <w:t>这四个领域在不同的学习阶段各有侧重。例如，低年级学生主要是积极地了</w:t>
      </w:r>
      <w:r>
        <w:rPr>
          <w:spacing w:val="-11"/>
        </w:rPr>
        <w:t>解自己和探索周围的世界，即了解“我是谁”，教师要帮助这一阶段的学生了解</w:t>
      </w:r>
      <w:r>
        <w:rPr>
          <w:spacing w:val="-16"/>
        </w:rPr>
        <w:t>自己喜欢做的事情和擅长做的事情，以及处于不同活动中的感受，引导学生朝着他们的拥有天赋和充满激情的方向发展，将他们带入“探索机会”的学习领域。</w:t>
      </w:r>
      <w:r>
        <w:rPr>
          <w:spacing w:val="-17"/>
        </w:rPr>
        <w:t>学生通过参与不同的活动，自觉进行反思，深入了解自己。随着年龄的增加，学</w:t>
      </w:r>
      <w:r>
        <w:rPr>
          <w:spacing w:val="-15"/>
        </w:rPr>
        <w:t>生将要思考“我想要成为谁”、“实现目标的计划是什么”的问题。</w:t>
      </w:r>
      <w:r>
        <w:rPr>
          <w:rFonts w:ascii="Times New Roman" w:hAnsi="Times New Roman" w:eastAsia="Times New Roman"/>
        </w:rPr>
        <w:t>7-12</w:t>
      </w:r>
      <w:r>
        <w:rPr>
          <w:rFonts w:ascii="Times New Roman" w:hAnsi="Times New Roman" w:eastAsia="Times New Roman"/>
          <w:spacing w:val="1"/>
        </w:rPr>
        <w:t> </w:t>
      </w:r>
      <w:r>
        <w:rPr/>
        <w:t>年级的</w:t>
      </w:r>
      <w:r>
        <w:rPr>
          <w:spacing w:val="-12"/>
        </w:rPr>
        <w:t>学生基于 </w:t>
      </w:r>
      <w:r>
        <w:rPr>
          <w:rFonts w:ascii="Times New Roman" w:hAnsi="Times New Roman" w:eastAsia="Times New Roman"/>
        </w:rPr>
        <w:t>6</w:t>
      </w:r>
      <w:r>
        <w:rPr>
          <w:rFonts w:ascii="Times New Roman" w:hAnsi="Times New Roman" w:eastAsia="Times New Roman"/>
          <w:spacing w:val="2"/>
        </w:rPr>
        <w:t> </w:t>
      </w:r>
      <w:r>
        <w:rPr>
          <w:spacing w:val="-7"/>
        </w:rPr>
        <w:t>年级阶段前的“关于我”</w:t>
      </w:r>
      <w:r>
        <w:rPr>
          <w:spacing w:val="-14"/>
        </w:rPr>
        <w:t>（</w:t>
      </w:r>
      <w:r>
        <w:rPr>
          <w:rFonts w:ascii="Times New Roman" w:hAnsi="Times New Roman" w:eastAsia="Times New Roman"/>
          <w:spacing w:val="-14"/>
        </w:rPr>
        <w:t>all</w:t>
      </w:r>
      <w:r>
        <w:rPr>
          <w:rFonts w:ascii="Times New Roman" w:hAnsi="Times New Roman" w:eastAsia="Times New Roman"/>
          <w:spacing w:val="2"/>
        </w:rPr>
        <w:t> </w:t>
      </w:r>
      <w:r>
        <w:rPr>
          <w:rFonts w:ascii="Times New Roman" w:hAnsi="Times New Roman" w:eastAsia="Times New Roman"/>
        </w:rPr>
        <w:t>about</w:t>
      </w:r>
      <w:r>
        <w:rPr>
          <w:rFonts w:ascii="Times New Roman" w:hAnsi="Times New Roman" w:eastAsia="Times New Roman"/>
          <w:spacing w:val="2"/>
        </w:rPr>
        <w:t> </w:t>
      </w:r>
      <w:r>
        <w:rPr>
          <w:rFonts w:ascii="Times New Roman" w:hAnsi="Times New Roman" w:eastAsia="Times New Roman"/>
          <w:spacing w:val="-12"/>
        </w:rPr>
        <w:t>me</w:t>
      </w:r>
      <w:r>
        <w:rPr>
          <w:spacing w:val="-12"/>
        </w:rPr>
        <w:t>）</w:t>
      </w:r>
      <w:r>
        <w:rPr>
          <w:spacing w:val="-10"/>
        </w:rPr>
        <w:t>的档案，以及对教育、工作、</w:t>
      </w:r>
      <w:r>
        <w:rPr>
          <w:spacing w:val="-11"/>
        </w:rPr>
        <w:t>闲暇、社区生活中兴趣、技能和热情事物的思考，能够初步制定个人生涯道路计划。</w:t>
      </w:r>
    </w:p>
    <w:p>
      <w:pPr>
        <w:pStyle w:val="BodyText"/>
        <w:spacing w:line="364" w:lineRule="auto" w:before="6"/>
        <w:ind w:left="1320" w:right="1577" w:firstLine="480"/>
        <w:jc w:val="both"/>
      </w:pPr>
      <w:r>
        <w:rPr>
          <w:spacing w:val="-6"/>
        </w:rPr>
        <w:t>生涯规划教育的实施内容是为目标服务的。结合前文所述的生涯规划教育实施目标的领域，本研究通过目标来窥视各国的生涯规划教育内容，如表格 </w:t>
      </w:r>
      <w:r>
        <w:rPr>
          <w:rFonts w:ascii="Times New Roman" w:eastAsia="Times New Roman"/>
        </w:rPr>
        <w:t>2.6 </w:t>
      </w:r>
      <w:r>
        <w:rPr>
          <w:spacing w:val="-16"/>
        </w:rPr>
        <w:t>所</w:t>
      </w:r>
      <w:r>
        <w:rPr/>
        <w:t>示：</w:t>
      </w:r>
    </w:p>
    <w:p>
      <w:pPr>
        <w:pStyle w:val="BodyText"/>
        <w:rPr>
          <w:sz w:val="20"/>
        </w:rPr>
      </w:pPr>
    </w:p>
    <w:p>
      <w:pPr>
        <w:pStyle w:val="BodyText"/>
        <w:rPr>
          <w:sz w:val="20"/>
        </w:rPr>
      </w:pPr>
    </w:p>
    <w:p>
      <w:pPr>
        <w:pStyle w:val="BodyText"/>
        <w:spacing w:before="6"/>
        <w:rPr>
          <w:sz w:val="16"/>
        </w:rPr>
      </w:pPr>
      <w:r>
        <w:rPr/>
        <w:pict>
          <v:shape style="position:absolute;margin-left:90pt;margin-top:12.508144pt;width:144pt;height:.1pt;mso-position-horizontal-relative:page;mso-position-vertical-relative:paragraph;z-index:-251595776;mso-wrap-distance-left:0;mso-wrap-distance-right:0" coordorigin="1800,250" coordsize="2880,0" path="m1800,250l4680,250e" filled="false" stroked="true" strokeweight="0pt" strokecolor="#000000">
            <v:path arrowok="t"/>
            <v:stroke dashstyle="solid"/>
            <w10:wrap type="topAndBottom"/>
          </v:shape>
        </w:pict>
      </w:r>
    </w:p>
    <w:p>
      <w:pPr>
        <w:spacing w:line="374" w:lineRule="auto" w:before="96"/>
        <w:ind w:left="1320" w:right="1597" w:firstLine="0"/>
        <w:jc w:val="left"/>
        <w:rPr>
          <w:rFonts w:ascii="Times New Roman"/>
          <w:sz w:val="18"/>
        </w:rPr>
      </w:pPr>
      <w:bookmarkStart w:name="_bookmark154" w:id="194"/>
      <w:bookmarkEnd w:id="194"/>
      <w:r>
        <w:rPr/>
      </w:r>
      <w:r>
        <w:rPr>
          <w:rFonts w:ascii="Times New Roman"/>
          <w:position w:val="7"/>
          <w:sz w:val="13"/>
        </w:rPr>
        <w:t>[1] </w:t>
      </w:r>
      <w:r>
        <w:rPr>
          <w:rFonts w:ascii="Times New Roman"/>
          <w:sz w:val="18"/>
        </w:rPr>
        <w:t>The Ontario Public Service.Creating Pathways  to  Success-an  education  and  career/life  planning  program for ontario schools.[EB/OL].</w:t>
      </w:r>
      <w:hyperlink r:id="rId54">
        <w:r>
          <w:rPr>
            <w:rFonts w:ascii="Times New Roman"/>
            <w:sz w:val="18"/>
          </w:rPr>
          <w:t>http://www.edu.gov.on.ca/eng/document/policy/cps/CreatingPathwaysSuccess.pdf.</w:t>
        </w:r>
      </w:hyperlink>
      <w:r>
        <w:rPr>
          <w:rFonts w:ascii="Times New Roman"/>
          <w:sz w:val="18"/>
        </w:rPr>
        <w:t> 2017-2-14.</w:t>
      </w:r>
    </w:p>
    <w:p>
      <w:pPr>
        <w:spacing w:after="0" w:line="374" w:lineRule="auto"/>
        <w:jc w:val="left"/>
        <w:rPr>
          <w:rFonts w:ascii="Times New Roman"/>
          <w:sz w:val="18"/>
        </w:rPr>
        <w:sectPr>
          <w:pgSz w:w="11910" w:h="16840"/>
          <w:pgMar w:header="878" w:footer="1191" w:top="1300" w:bottom="1380" w:left="480" w:right="220"/>
        </w:sectPr>
      </w:pPr>
    </w:p>
    <w:p>
      <w:pPr>
        <w:pStyle w:val="BodyText"/>
        <w:spacing w:before="9"/>
        <w:rPr>
          <w:rFonts w:ascii="Times New Roman"/>
          <w:sz w:val="11"/>
        </w:rPr>
      </w:pPr>
    </w:p>
    <w:p>
      <w:pPr>
        <w:pStyle w:val="BodyText"/>
        <w:spacing w:before="74"/>
        <w:ind w:right="261"/>
        <w:jc w:val="center"/>
      </w:pPr>
      <w:r>
        <w:rPr/>
        <w:t>表 </w:t>
      </w:r>
      <w:r>
        <w:rPr>
          <w:rFonts w:ascii="Times New Roman" w:eastAsia="Times New Roman"/>
        </w:rPr>
        <w:t>2.6 </w:t>
      </w:r>
      <w:r>
        <w:rPr/>
        <w:t>美国、新西兰、澳大利亚、加拿大四国的生涯规划教</w:t>
      </w:r>
    </w:p>
    <w:p>
      <w:pPr>
        <w:pStyle w:val="BodyText"/>
        <w:spacing w:before="7"/>
        <w:rPr>
          <w:sz w:val="13"/>
        </w:rPr>
      </w:pPr>
      <w:r>
        <w:rPr/>
        <w:drawing>
          <wp:anchor distT="0" distB="0" distL="0" distR="0" allowOverlap="1" layoutInCell="1" locked="0" behindDoc="0" simplePos="0" relativeHeight="62">
            <wp:simplePos x="0" y="0"/>
            <wp:positionH relativeFrom="page">
              <wp:posOffset>1493519</wp:posOffset>
            </wp:positionH>
            <wp:positionV relativeFrom="paragraph">
              <wp:posOffset>135304</wp:posOffset>
            </wp:positionV>
            <wp:extent cx="4561332" cy="2209800"/>
            <wp:effectExtent l="0" t="0" r="0" b="0"/>
            <wp:wrapTopAndBottom/>
            <wp:docPr id="41" name="image12.jpeg"/>
            <wp:cNvGraphicFramePr>
              <a:graphicFrameLocks noChangeAspect="1"/>
            </wp:cNvGraphicFramePr>
            <a:graphic>
              <a:graphicData uri="http://schemas.openxmlformats.org/drawingml/2006/picture">
                <pic:pic>
                  <pic:nvPicPr>
                    <pic:cNvPr id="42" name="image12.jpeg"/>
                    <pic:cNvPicPr/>
                  </pic:nvPicPr>
                  <pic:blipFill>
                    <a:blip r:embed="rId55" cstate="print"/>
                    <a:stretch>
                      <a:fillRect/>
                    </a:stretch>
                  </pic:blipFill>
                  <pic:spPr>
                    <a:xfrm>
                      <a:off x="0" y="0"/>
                      <a:ext cx="4561332" cy="2209800"/>
                    </a:xfrm>
                    <a:prstGeom prst="rect">
                      <a:avLst/>
                    </a:prstGeom>
                  </pic:spPr>
                </pic:pic>
              </a:graphicData>
            </a:graphic>
          </wp:anchor>
        </w:drawing>
      </w:r>
    </w:p>
    <w:p>
      <w:pPr>
        <w:pStyle w:val="BodyText"/>
        <w:rPr>
          <w:sz w:val="26"/>
        </w:rPr>
      </w:pPr>
    </w:p>
    <w:p>
      <w:pPr>
        <w:pStyle w:val="BodyText"/>
        <w:spacing w:before="10"/>
      </w:pPr>
    </w:p>
    <w:p>
      <w:pPr>
        <w:pStyle w:val="BodyText"/>
        <w:spacing w:line="364" w:lineRule="auto"/>
        <w:ind w:left="1320" w:right="1575" w:firstLine="480"/>
        <w:jc w:val="both"/>
      </w:pPr>
      <w:r>
        <w:rPr>
          <w:spacing w:val="-9"/>
        </w:rPr>
        <w:t>综上所述，生涯规划教育内容大致包括了个体的生活领域、学习领域、职业</w:t>
      </w:r>
      <w:r>
        <w:rPr>
          <w:spacing w:val="-4"/>
        </w:rPr>
        <w:t>领域以及自我认知领域四个部分 </w:t>
      </w:r>
      <w:r>
        <w:rPr>
          <w:rFonts w:ascii="Times New Roman" w:eastAsia="Times New Roman"/>
        </w:rPr>
        <w:t>4 </w:t>
      </w:r>
      <w:r>
        <w:rPr/>
        <w:t>个内容：（</w:t>
      </w:r>
      <w:r>
        <w:rPr>
          <w:rFonts w:ascii="Times New Roman" w:eastAsia="Times New Roman"/>
        </w:rPr>
        <w:t>1</w:t>
      </w:r>
      <w:r>
        <w:rPr/>
        <w:t>）</w:t>
      </w:r>
      <w:r>
        <w:rPr>
          <w:spacing w:val="-1"/>
        </w:rPr>
        <w:t>学习如何生活：从自然人成长</w:t>
      </w:r>
      <w:r>
        <w:rPr/>
        <w:t>为社会人；学习照顾自己的生活；学会参与社会活动；（</w:t>
      </w:r>
      <w:r>
        <w:rPr>
          <w:rFonts w:ascii="Times New Roman" w:eastAsia="Times New Roman"/>
        </w:rPr>
        <w:t>2</w:t>
      </w:r>
      <w:r>
        <w:rPr/>
        <w:t>）</w:t>
      </w:r>
      <w:r>
        <w:rPr>
          <w:spacing w:val="-2"/>
        </w:rPr>
        <w:t>学习如何学习：利</w:t>
      </w:r>
      <w:r>
        <w:rPr/>
        <w:t>用学校教育使自身潜能获得发展，掌握自我学习的方法；（</w:t>
      </w:r>
      <w:r>
        <w:rPr>
          <w:rFonts w:ascii="Times New Roman" w:eastAsia="Times New Roman"/>
        </w:rPr>
        <w:t>3</w:t>
      </w:r>
      <w:r>
        <w:rPr/>
        <w:t>）学习如何谋生， 习得一技之长，掌握现代社会生存所需的技能；（</w:t>
      </w:r>
      <w:r>
        <w:rPr>
          <w:rFonts w:ascii="Times New Roman" w:eastAsia="Times New Roman"/>
        </w:rPr>
        <w:t>4</w:t>
      </w:r>
      <w:r>
        <w:rPr/>
        <w:t>）</w:t>
      </w:r>
      <w:r>
        <w:rPr>
          <w:spacing w:val="-1"/>
        </w:rPr>
        <w:t>学习如何爱，在自我完善</w:t>
      </w:r>
      <w:r>
        <w:rPr>
          <w:spacing w:val="-4"/>
        </w:rPr>
        <w:t>与自我现中，促进社会的和谐与发展，从而缔造一个有意义的人生。</w:t>
      </w:r>
      <w:r>
        <w:rPr>
          <w:rFonts w:ascii="Times New Roman" w:eastAsia="Times New Roman"/>
          <w:position w:val="8"/>
          <w:sz w:val="15"/>
        </w:rPr>
        <w:t>[</w:t>
      </w:r>
      <w:hyperlink w:history="true" w:anchor="_bookmark155">
        <w:r>
          <w:rPr>
            <w:rFonts w:ascii="Times New Roman" w:eastAsia="Times New Roman"/>
            <w:position w:val="8"/>
            <w:sz w:val="15"/>
          </w:rPr>
          <w:t>1</w:t>
        </w:r>
      </w:hyperlink>
      <w:r>
        <w:rPr>
          <w:rFonts w:ascii="Times New Roman" w:eastAsia="Times New Roman"/>
          <w:position w:val="8"/>
          <w:sz w:val="15"/>
        </w:rPr>
        <w:t>]</w:t>
      </w:r>
      <w:r>
        <w:rPr>
          <w:spacing w:val="-4"/>
        </w:rPr>
        <w:t>这四个部</w:t>
      </w:r>
      <w:r>
        <w:rPr>
          <w:spacing w:val="-6"/>
        </w:rPr>
        <w:t>分又围绕生涯规划教育实施目标的三个方面，即前文归纳的自主发展、生涯机会</w:t>
      </w:r>
      <w:r>
        <w:rPr>
          <w:spacing w:val="-7"/>
        </w:rPr>
        <w:t>探索以及生涯规划与管理加以展开，这些内容有序地贯穿于个体生涯发展的不同</w:t>
      </w:r>
      <w:r>
        <w:rPr/>
        <w:t>阶段，形成了一个有序而完整的生涯规划教育内容体系。</w:t>
      </w:r>
    </w:p>
    <w:p>
      <w:pPr>
        <w:pStyle w:val="ListParagraph"/>
        <w:numPr>
          <w:ilvl w:val="3"/>
          <w:numId w:val="33"/>
        </w:numPr>
        <w:tabs>
          <w:tab w:pos="2100" w:val="left" w:leader="none"/>
        </w:tabs>
        <w:spacing w:line="240" w:lineRule="auto" w:before="6" w:after="0"/>
        <w:ind w:left="2100" w:right="0" w:hanging="780"/>
        <w:jc w:val="both"/>
        <w:rPr>
          <w:sz w:val="24"/>
        </w:rPr>
      </w:pPr>
      <w:r>
        <w:rPr>
          <w:sz w:val="24"/>
        </w:rPr>
        <w:t>实施内容的实践性</w:t>
      </w:r>
    </w:p>
    <w:p>
      <w:pPr>
        <w:pStyle w:val="BodyText"/>
        <w:spacing w:line="364" w:lineRule="auto" w:before="160"/>
        <w:ind w:left="1320" w:right="1577" w:firstLine="480"/>
        <w:jc w:val="both"/>
      </w:pPr>
      <w:r>
        <w:rPr>
          <w:spacing w:val="-7"/>
        </w:rPr>
        <w:t>生涯规划教育并非简单传授知识的过程，而是人类为追求生命质量而展开的</w:t>
      </w:r>
      <w:r>
        <w:rPr>
          <w:spacing w:val="-8"/>
        </w:rPr>
        <w:t>实践性的探索活动。在上述发达国家的生涯规划教育内容中，清晰可见，其教育内容富有较强的实践性，强调学生对生涯机会的探索与行动，让学生在实践中发</w:t>
      </w:r>
      <w:r>
        <w:rPr>
          <w:spacing w:val="-12"/>
        </w:rPr>
        <w:t>展认知，形成技能。其一，注重学生认知层面的发展，培养学生掌握生涯规划教</w:t>
      </w:r>
      <w:r>
        <w:rPr>
          <w:spacing w:val="-9"/>
        </w:rPr>
        <w:t>育的理论知识，让学生进行自我认知、生涯认知，引导学生进行自我剖析，深入</w:t>
      </w:r>
      <w:r>
        <w:rPr>
          <w:spacing w:val="-7"/>
        </w:rPr>
        <w:t>地了解与分析社会的政治、经济、文化发展情况；其二，生涯规划教育的许多内</w:t>
      </w:r>
      <w:r>
        <w:rPr>
          <w:spacing w:val="-9"/>
        </w:rPr>
        <w:t>容涉及实践活动，学生需要进入职场或者社会进行相关的探索与实践，从而获得</w:t>
      </w:r>
      <w:r>
        <w:rPr/>
        <w:t>直接的实践经验；其三，直接为学生提供相关的职业技能训练。</w:t>
      </w:r>
    </w:p>
    <w:p>
      <w:pPr>
        <w:pStyle w:val="BodyText"/>
        <w:spacing w:before="5"/>
        <w:rPr>
          <w:sz w:val="19"/>
        </w:rPr>
      </w:pPr>
      <w:r>
        <w:rPr/>
        <w:pict>
          <v:shape style="position:absolute;margin-left:90pt;margin-top:14.40375pt;width:144pt;height:.1pt;mso-position-horizontal-relative:page;mso-position-vertical-relative:paragraph;z-index:-251593728;mso-wrap-distance-left:0;mso-wrap-distance-right:0" coordorigin="1800,288" coordsize="2880,0" path="m1800,288l4680,288e" filled="false" stroked="true" strokeweight="0pt" strokecolor="#000000">
            <v:path arrowok="t"/>
            <v:stroke dashstyle="solid"/>
            <w10:wrap type="topAndBottom"/>
          </v:shape>
        </w:pict>
      </w:r>
    </w:p>
    <w:p>
      <w:pPr>
        <w:spacing w:before="99"/>
        <w:ind w:left="1320" w:right="0" w:firstLine="0"/>
        <w:jc w:val="left"/>
        <w:rPr>
          <w:rFonts w:ascii="Times New Roman" w:eastAsia="Times New Roman"/>
          <w:sz w:val="18"/>
        </w:rPr>
      </w:pPr>
      <w:bookmarkStart w:name="_bookmark155" w:id="195"/>
      <w:bookmarkEnd w:id="195"/>
      <w:r>
        <w:rPr/>
      </w:r>
      <w:r>
        <w:rPr>
          <w:rFonts w:ascii="Times New Roman" w:eastAsia="Times New Roman"/>
          <w:position w:val="7"/>
          <w:sz w:val="13"/>
        </w:rPr>
        <w:t>[1] </w:t>
      </w:r>
      <w:r>
        <w:rPr>
          <w:sz w:val="18"/>
        </w:rPr>
        <w:t>尤敬党，吴大同</w:t>
      </w:r>
      <w:r>
        <w:rPr>
          <w:rFonts w:ascii="Times New Roman" w:eastAsia="Times New Roman"/>
          <w:sz w:val="18"/>
        </w:rPr>
        <w:t>.</w:t>
      </w:r>
      <w:r>
        <w:rPr>
          <w:sz w:val="18"/>
        </w:rPr>
        <w:t>生涯教育论</w:t>
      </w:r>
      <w:r>
        <w:rPr>
          <w:rFonts w:ascii="Times New Roman" w:eastAsia="Times New Roman"/>
          <w:sz w:val="18"/>
        </w:rPr>
        <w:t>.[J].</w:t>
      </w:r>
      <w:r>
        <w:rPr>
          <w:sz w:val="18"/>
        </w:rPr>
        <w:t>江苏教育学院学报（社会科学版），</w:t>
      </w:r>
      <w:r>
        <w:rPr>
          <w:rFonts w:ascii="Times New Roman" w:eastAsia="Times New Roman"/>
          <w:sz w:val="18"/>
        </w:rPr>
        <w:t>2003</w:t>
      </w:r>
      <w:r>
        <w:rPr>
          <w:sz w:val="18"/>
        </w:rPr>
        <w:t>（</w:t>
      </w:r>
      <w:r>
        <w:rPr>
          <w:rFonts w:ascii="Times New Roman" w:eastAsia="Times New Roman"/>
          <w:sz w:val="18"/>
        </w:rPr>
        <w:t>1</w:t>
      </w:r>
      <w:r>
        <w:rPr>
          <w:sz w:val="18"/>
        </w:rPr>
        <w:t>）：</w:t>
      </w:r>
      <w:r>
        <w:rPr>
          <w:rFonts w:ascii="Times New Roman" w:eastAsia="Times New Roman"/>
          <w:sz w:val="18"/>
        </w:rPr>
        <w:t>14-15.</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9"/>
        <w:rPr>
          <w:rFonts w:ascii="Times New Roman"/>
          <w:sz w:val="11"/>
        </w:rPr>
      </w:pPr>
    </w:p>
    <w:p>
      <w:pPr>
        <w:pStyle w:val="BodyText"/>
        <w:spacing w:line="364" w:lineRule="auto" w:before="74"/>
        <w:ind w:left="1320" w:right="1455" w:firstLine="480"/>
      </w:pPr>
      <w:bookmarkStart w:name="_bookmark156" w:id="196"/>
      <w:bookmarkEnd w:id="196"/>
      <w:r>
        <w:rPr/>
      </w:r>
      <w:r>
        <w:rPr>
          <w:spacing w:val="-4"/>
        </w:rPr>
        <w:t>以美国德克萨斯州为例，德克萨斯州为 </w:t>
      </w:r>
      <w:r>
        <w:rPr>
          <w:rFonts w:ascii="Times New Roman" w:hAnsi="Times New Roman" w:eastAsia="Times New Roman"/>
          <w:spacing w:val="-4"/>
        </w:rPr>
        <w:t>11</w:t>
      </w:r>
      <w:r>
        <w:rPr/>
        <w:t>、</w:t>
      </w:r>
      <w:r>
        <w:rPr>
          <w:rFonts w:ascii="Times New Roman" w:hAnsi="Times New Roman" w:eastAsia="Times New Roman"/>
        </w:rPr>
        <w:t>12 </w:t>
      </w:r>
      <w:r>
        <w:rPr/>
        <w:t>年级的学生提供了具有实践</w:t>
      </w:r>
      <w:r>
        <w:rPr>
          <w:spacing w:val="-12"/>
        </w:rPr>
        <w:t>性的生涯规划教育内容：“基于项目的学习”；“生涯准备 </w:t>
      </w:r>
      <w:r>
        <w:rPr>
          <w:rFonts w:ascii="Times New Roman" w:hAnsi="Times New Roman" w:eastAsia="Times New Roman"/>
        </w:rPr>
        <w:t>1</w:t>
      </w:r>
      <w:r>
        <w:rPr>
          <w:spacing w:val="-19"/>
        </w:rPr>
        <w:t>”；“生涯准备 </w:t>
      </w:r>
      <w:r>
        <w:rPr>
          <w:rFonts w:ascii="Times New Roman" w:hAnsi="Times New Roman" w:eastAsia="Times New Roman"/>
        </w:rPr>
        <w:t>2</w:t>
      </w:r>
      <w:r>
        <w:rPr>
          <w:spacing w:val="-66"/>
        </w:rPr>
        <w:t>”。</w:t>
      </w:r>
      <w:r>
        <w:rPr>
          <w:spacing w:val="-10"/>
        </w:rPr>
        <w:t>首先，“基于项目的学习”旨在提高学生的问题解决能力，学生需要结合自身职</w:t>
      </w:r>
      <w:r>
        <w:rPr>
          <w:spacing w:val="-15"/>
        </w:rPr>
        <w:t>业兴趣选择一个合适的主题进行研究，学校为学生提供专业辅导以帮助其完成研</w:t>
      </w:r>
      <w:r>
        <w:rPr>
          <w:spacing w:val="-10"/>
        </w:rPr>
        <w:t>究。学生运用科学的方法进行深入的调查研究，分析并得出结论，最后展示其研究成果。学生在这个过程中将有机会在各种不同的环境中充分学习、巩固、应用和迁移他们的知识和技能。”</w:t>
      </w:r>
      <w:r>
        <w:rPr>
          <w:rFonts w:ascii="Times New Roman" w:hAnsi="Times New Roman" w:eastAsia="Times New Roman"/>
          <w:spacing w:val="-10"/>
          <w:position w:val="8"/>
          <w:sz w:val="15"/>
        </w:rPr>
        <w:t>[</w:t>
      </w:r>
      <w:hyperlink w:history="true" w:anchor="_bookmark157">
        <w:r>
          <w:rPr>
            <w:rFonts w:ascii="Times New Roman" w:hAnsi="Times New Roman" w:eastAsia="Times New Roman"/>
            <w:spacing w:val="-10"/>
            <w:position w:val="8"/>
            <w:sz w:val="15"/>
          </w:rPr>
          <w:t>1</w:t>
        </w:r>
      </w:hyperlink>
      <w:r>
        <w:rPr>
          <w:rFonts w:ascii="Times New Roman" w:hAnsi="Times New Roman" w:eastAsia="Times New Roman"/>
          <w:spacing w:val="-10"/>
          <w:position w:val="8"/>
          <w:sz w:val="15"/>
        </w:rPr>
        <w:t>]</w:t>
      </w:r>
      <w:r>
        <w:rPr>
          <w:spacing w:val="-17"/>
        </w:rPr>
        <w:t>“生涯准备 </w:t>
      </w:r>
      <w:r>
        <w:rPr>
          <w:rFonts w:ascii="Times New Roman" w:hAnsi="Times New Roman" w:eastAsia="Times New Roman"/>
        </w:rPr>
        <w:t>1</w:t>
      </w:r>
      <w:r>
        <w:rPr/>
        <w:t>”为学生提供各种机会，实践学习</w:t>
      </w:r>
      <w:r>
        <w:rPr>
          <w:spacing w:val="-9"/>
        </w:rPr>
        <w:t>经验，在课堂教学指导与职场中的就业指导相结合思想的引导下，培养学生具备</w:t>
      </w:r>
      <w:r>
        <w:rPr>
          <w:spacing w:val="4"/>
        </w:rPr>
        <w:t>广泛的技能以适应不断变化的职场。</w:t>
      </w:r>
      <w:r>
        <w:rPr>
          <w:rFonts w:ascii="Times New Roman" w:hAnsi="Times New Roman" w:eastAsia="Times New Roman"/>
          <w:position w:val="8"/>
          <w:sz w:val="15"/>
        </w:rPr>
        <w:t>[</w:t>
      </w:r>
      <w:hyperlink w:history="true" w:anchor="_bookmark158">
        <w:r>
          <w:rPr>
            <w:rFonts w:ascii="Times New Roman" w:hAnsi="Times New Roman" w:eastAsia="Times New Roman"/>
            <w:position w:val="8"/>
            <w:sz w:val="15"/>
          </w:rPr>
          <w:t>2</w:t>
        </w:r>
      </w:hyperlink>
      <w:r>
        <w:rPr>
          <w:rFonts w:ascii="Times New Roman" w:hAnsi="Times New Roman" w:eastAsia="Times New Roman"/>
          <w:position w:val="8"/>
          <w:sz w:val="15"/>
        </w:rPr>
        <w:t>]</w:t>
      </w:r>
      <w:r>
        <w:rPr>
          <w:spacing w:val="3"/>
        </w:rPr>
        <w:t>学生可以接受到就业技能方面的一些培</w:t>
      </w:r>
      <w:r>
        <w:rPr>
          <w:spacing w:val="-19"/>
        </w:rPr>
        <w:t>训，包括面试技巧、沟通技巧、财政和预算训练、人际关系的建立与维护等。“生</w:t>
      </w:r>
      <w:r>
        <w:rPr>
          <w:spacing w:val="-30"/>
        </w:rPr>
        <w:t>涯准备 </w:t>
      </w:r>
      <w:r>
        <w:rPr>
          <w:rFonts w:ascii="Times New Roman" w:hAnsi="Times New Roman" w:eastAsia="Times New Roman"/>
          <w:spacing w:val="-9"/>
        </w:rPr>
        <w:t>2</w:t>
      </w:r>
      <w:r>
        <w:rPr>
          <w:spacing w:val="-5"/>
        </w:rPr>
        <w:t>”中，通过课堂教学以及在职场中积累的工作经验提升自身必备的知识</w:t>
      </w:r>
      <w:r>
        <w:rPr>
          <w:spacing w:val="-11"/>
        </w:rPr>
        <w:t>和技能，包括终身学习能力、就业能力、管理能力、职业道德知识、安全意识和</w:t>
      </w:r>
      <w:r>
        <w:rPr>
          <w:spacing w:val="-15"/>
        </w:rPr>
        <w:t>团队合作能力。“生涯准备 </w:t>
      </w:r>
      <w:r>
        <w:rPr>
          <w:rFonts w:ascii="Times New Roman" w:hAnsi="Times New Roman" w:eastAsia="Times New Roman"/>
        </w:rPr>
        <w:t>1</w:t>
      </w:r>
      <w:r>
        <w:rPr>
          <w:spacing w:val="-7"/>
        </w:rPr>
        <w:t>”和“生涯准备 </w:t>
      </w:r>
      <w:r>
        <w:rPr>
          <w:rFonts w:ascii="Times New Roman" w:hAnsi="Times New Roman" w:eastAsia="Times New Roman"/>
        </w:rPr>
        <w:t>2</w:t>
      </w:r>
      <w:r>
        <w:rPr/>
        <w:t>”课程均致力于帮助学生达到学业标准，为学生未来的成功做准备。</w:t>
      </w:r>
    </w:p>
    <w:p>
      <w:pPr>
        <w:pStyle w:val="BodyText"/>
        <w:spacing w:line="364" w:lineRule="auto" w:before="9"/>
        <w:ind w:left="1320" w:right="1455" w:firstLine="420"/>
        <w:rPr>
          <w:rFonts w:ascii="Times New Roman" w:hAnsi="Times New Roman" w:eastAsia="Times New Roman"/>
          <w:sz w:val="15"/>
        </w:rPr>
      </w:pPr>
      <w:r>
        <w:rPr>
          <w:spacing w:val="-3"/>
        </w:rPr>
        <w:t>在澳大利亚的南威尔士州，学校为学生提供了实践性较强的生涯规划教育内</w:t>
      </w:r>
      <w:r>
        <w:rPr>
          <w:spacing w:val="-11"/>
        </w:rPr>
        <w:t>容，大致包括：事业规划，即教师帮助学生形成、把握、管理有关就业的各种想</w:t>
      </w:r>
      <w:r>
        <w:rPr>
          <w:spacing w:val="-10"/>
        </w:rPr>
        <w:t>法，确保学生得到个别指导，从而做出关于自己事业的各种决定；职业教育，即</w:t>
      </w:r>
      <w:r>
        <w:rPr>
          <w:spacing w:val="-14"/>
        </w:rPr>
        <w:t>学校创造条件帮助学生了解工作场所情况，获得必备的技能，提高能力，使学生</w:t>
      </w:r>
      <w:r>
        <w:rPr>
          <w:spacing w:val="-22"/>
        </w:rPr>
        <w:t>成为能够创造财富的社会公民；学生发展途径调查：通过“从学校走上工作岗位” </w:t>
      </w:r>
      <w:r>
        <w:rPr>
          <w:spacing w:val="-7"/>
        </w:rPr>
        <w:t>计划让学生获得经验，习得技巧，增强信心；就业资源和咨询；工作经验和工作场所见习；职业与创业培训；就业咨询服务。</w:t>
      </w:r>
      <w:r>
        <w:rPr>
          <w:rFonts w:ascii="Times New Roman" w:hAnsi="Times New Roman" w:eastAsia="Times New Roman"/>
          <w:spacing w:val="-7"/>
          <w:position w:val="8"/>
          <w:sz w:val="15"/>
        </w:rPr>
        <w:t>[</w:t>
      </w:r>
      <w:hyperlink w:history="true" w:anchor="_bookmark159">
        <w:r>
          <w:rPr>
            <w:rFonts w:ascii="Times New Roman" w:hAnsi="Times New Roman" w:eastAsia="Times New Roman"/>
            <w:spacing w:val="-7"/>
            <w:position w:val="8"/>
            <w:sz w:val="15"/>
          </w:rPr>
          <w:t>3</w:t>
        </w:r>
      </w:hyperlink>
      <w:r>
        <w:rPr>
          <w:rFonts w:ascii="Times New Roman" w:hAnsi="Times New Roman" w:eastAsia="Times New Roman"/>
          <w:spacing w:val="-7"/>
          <w:position w:val="8"/>
          <w:sz w:val="15"/>
        </w:rPr>
        <w:t>]</w:t>
      </w:r>
    </w:p>
    <w:p>
      <w:pPr>
        <w:pStyle w:val="BodyText"/>
        <w:spacing w:before="3"/>
        <w:rPr>
          <w:rFonts w:ascii="Times New Roman"/>
          <w:sz w:val="26"/>
        </w:rPr>
      </w:pPr>
    </w:p>
    <w:p>
      <w:pPr>
        <w:pStyle w:val="ListParagraph"/>
        <w:numPr>
          <w:ilvl w:val="2"/>
          <w:numId w:val="33"/>
        </w:numPr>
        <w:tabs>
          <w:tab w:pos="1920" w:val="left" w:leader="none"/>
        </w:tabs>
        <w:spacing w:line="240" w:lineRule="auto" w:before="0" w:after="0"/>
        <w:ind w:left="1920" w:right="0" w:hanging="601"/>
        <w:jc w:val="left"/>
        <w:rPr>
          <w:sz w:val="24"/>
        </w:rPr>
      </w:pPr>
      <w:r>
        <w:rPr>
          <w:sz w:val="24"/>
        </w:rPr>
        <w:t>实施方式：强调开展体验式学习</w:t>
      </w:r>
    </w:p>
    <w:p>
      <w:pPr>
        <w:pStyle w:val="BodyText"/>
        <w:spacing w:before="7"/>
        <w:rPr>
          <w:sz w:val="35"/>
        </w:rPr>
      </w:pPr>
    </w:p>
    <w:p>
      <w:pPr>
        <w:pStyle w:val="ListParagraph"/>
        <w:numPr>
          <w:ilvl w:val="3"/>
          <w:numId w:val="33"/>
        </w:numPr>
        <w:tabs>
          <w:tab w:pos="2100" w:val="left" w:leader="none"/>
        </w:tabs>
        <w:spacing w:line="240" w:lineRule="auto" w:before="0" w:after="0"/>
        <w:ind w:left="2100" w:right="0" w:hanging="781"/>
        <w:jc w:val="left"/>
        <w:rPr>
          <w:sz w:val="24"/>
        </w:rPr>
      </w:pPr>
      <w:r>
        <w:rPr>
          <w:sz w:val="24"/>
        </w:rPr>
        <w:t>体验式学习是生涯规划教育实施的重要方式</w:t>
      </w:r>
    </w:p>
    <w:p>
      <w:pPr>
        <w:pStyle w:val="BodyText"/>
        <w:rPr>
          <w:sz w:val="20"/>
        </w:rPr>
      </w:pPr>
    </w:p>
    <w:p>
      <w:pPr>
        <w:pStyle w:val="BodyText"/>
        <w:spacing w:before="8"/>
        <w:rPr>
          <w:sz w:val="18"/>
        </w:rPr>
      </w:pPr>
      <w:r>
        <w:rPr/>
        <w:pict>
          <v:shape style="position:absolute;margin-left:90pt;margin-top:13.925791pt;width:144pt;height:.1pt;mso-position-horizontal-relative:page;mso-position-vertical-relative:paragraph;z-index:-251592704;mso-wrap-distance-left:0;mso-wrap-distance-right:0" coordorigin="1800,279" coordsize="2880,0" path="m1800,279l4680,279e" filled="false" stroked="true" strokeweight="0pt" strokecolor="#000000">
            <v:path arrowok="t"/>
            <v:stroke dashstyle="solid"/>
            <w10:wrap type="topAndBottom"/>
          </v:shape>
        </w:pict>
      </w:r>
    </w:p>
    <w:p>
      <w:pPr>
        <w:spacing w:line="376" w:lineRule="auto" w:before="97"/>
        <w:ind w:left="1320" w:right="1593" w:firstLine="0"/>
        <w:jc w:val="left"/>
        <w:rPr>
          <w:rFonts w:ascii="Times New Roman"/>
          <w:sz w:val="18"/>
        </w:rPr>
      </w:pPr>
      <w:bookmarkStart w:name="_bookmark157" w:id="197"/>
      <w:bookmarkEnd w:id="197"/>
      <w:r>
        <w:rPr/>
      </w:r>
      <w:r>
        <w:rPr>
          <w:rFonts w:ascii="Times New Roman"/>
          <w:position w:val="7"/>
          <w:sz w:val="13"/>
        </w:rPr>
        <w:t>[1] </w:t>
      </w:r>
      <w:r>
        <w:rPr>
          <w:rFonts w:ascii="Times New Roman"/>
          <w:color w:val="333333"/>
          <w:sz w:val="19"/>
        </w:rPr>
        <w:t>State of Texas.</w:t>
      </w:r>
      <w:r>
        <w:rPr>
          <w:rFonts w:ascii="Times New Roman"/>
          <w:sz w:val="18"/>
        </w:rPr>
        <w:t>Chapter 127. Career Development, Subchapter B. High School .[EB/0L].</w:t>
      </w:r>
      <w:hyperlink r:id="rId56">
        <w:r>
          <w:rPr>
            <w:rFonts w:ascii="Times New Roman"/>
            <w:sz w:val="18"/>
          </w:rPr>
          <w:t>http://ritter.tea.st</w:t>
        </w:r>
      </w:hyperlink>
      <w:r>
        <w:rPr>
          <w:rFonts w:ascii="Times New Roman"/>
          <w:sz w:val="18"/>
        </w:rPr>
        <w:t> ate.tx.us/rules/tac/chapter127/ch127b.html.2015-6-10.</w:t>
      </w:r>
    </w:p>
    <w:p>
      <w:pPr>
        <w:spacing w:line="376" w:lineRule="auto" w:before="0"/>
        <w:ind w:left="1320" w:right="1593" w:firstLine="0"/>
        <w:jc w:val="left"/>
        <w:rPr>
          <w:rFonts w:ascii="Times New Roman"/>
          <w:sz w:val="18"/>
        </w:rPr>
      </w:pPr>
      <w:bookmarkStart w:name="_bookmark158" w:id="198"/>
      <w:bookmarkEnd w:id="198"/>
      <w:r>
        <w:rPr/>
      </w:r>
      <w:r>
        <w:rPr>
          <w:rFonts w:ascii="Times New Roman"/>
          <w:position w:val="7"/>
          <w:sz w:val="13"/>
        </w:rPr>
        <w:t>[2] </w:t>
      </w:r>
      <w:r>
        <w:rPr>
          <w:rFonts w:ascii="Times New Roman"/>
          <w:color w:val="333333"/>
          <w:sz w:val="19"/>
        </w:rPr>
        <w:t>State of Texas.</w:t>
      </w:r>
      <w:r>
        <w:rPr>
          <w:rFonts w:ascii="Times New Roman"/>
          <w:sz w:val="18"/>
        </w:rPr>
        <w:t>Chapter 127. Career Development, Subchapter B. High School .[EB/OL].</w:t>
      </w:r>
      <w:hyperlink r:id="rId57">
        <w:r>
          <w:rPr>
            <w:rFonts w:ascii="Times New Roman"/>
            <w:sz w:val="18"/>
          </w:rPr>
          <w:t>http://ritter.tea.s</w:t>
        </w:r>
      </w:hyperlink>
      <w:r>
        <w:rPr>
          <w:rFonts w:ascii="Times New Roman"/>
          <w:sz w:val="18"/>
        </w:rPr>
        <w:t> tate.tx.us/rules/tac/chapter127/ch127b.html.2015-6-10.</w:t>
      </w:r>
    </w:p>
    <w:p>
      <w:pPr>
        <w:spacing w:line="364" w:lineRule="auto" w:before="0"/>
        <w:ind w:left="1320" w:right="1654" w:firstLine="0"/>
        <w:jc w:val="left"/>
        <w:rPr>
          <w:rFonts w:ascii="Times New Roman" w:eastAsia="Times New Roman"/>
          <w:sz w:val="18"/>
        </w:rPr>
      </w:pPr>
      <w:bookmarkStart w:name="_bookmark159" w:id="199"/>
      <w:bookmarkEnd w:id="199"/>
      <w:r>
        <w:rPr/>
      </w:r>
      <w:r>
        <w:rPr>
          <w:rFonts w:ascii="Times New Roman" w:eastAsia="Times New Roman"/>
          <w:position w:val="7"/>
          <w:sz w:val="13"/>
        </w:rPr>
        <w:t>[3] </w:t>
      </w:r>
      <w:r>
        <w:rPr>
          <w:rFonts w:ascii="Times New Roman" w:eastAsia="Times New Roman"/>
          <w:sz w:val="18"/>
        </w:rPr>
        <w:t>NSW</w:t>
      </w:r>
      <w:r>
        <w:rPr>
          <w:rFonts w:ascii="Times New Roman" w:eastAsia="Times New Roman"/>
          <w:spacing w:val="-11"/>
          <w:sz w:val="18"/>
        </w:rPr>
        <w:t> </w:t>
      </w:r>
      <w:r>
        <w:rPr>
          <w:sz w:val="18"/>
        </w:rPr>
        <w:t>公立学校学生的事业发展</w:t>
      </w:r>
      <w:r>
        <w:rPr>
          <w:rFonts w:ascii="Times New Roman" w:eastAsia="Times New Roman"/>
          <w:sz w:val="18"/>
        </w:rPr>
        <w:t>.[EB/OL].https</w:t>
      </w:r>
      <w:hyperlink r:id="rId58">
        <w:r>
          <w:rPr>
            <w:rFonts w:ascii="Times New Roman" w:eastAsia="Times New Roman"/>
            <w:sz w:val="18"/>
          </w:rPr>
          <w:t>://www.det.nsw.edu.au/vetinschools/documents/careerdevelop</w:t>
        </w:r>
      </w:hyperlink>
      <w:r>
        <w:rPr>
          <w:rFonts w:ascii="Times New Roman" w:eastAsia="Times New Roman"/>
          <w:sz w:val="18"/>
        </w:rPr>
        <w:t> ment_brochure/Chi-Careers%20Services.pdf.2017-2-9.</w:t>
      </w:r>
    </w:p>
    <w:p>
      <w:pPr>
        <w:spacing w:after="0" w:line="364" w:lineRule="auto"/>
        <w:jc w:val="left"/>
        <w:rPr>
          <w:rFonts w:ascii="Times New Roman" w:eastAsia="Times New Roman"/>
          <w:sz w:val="18"/>
        </w:rPr>
        <w:sectPr>
          <w:pgSz w:w="11910" w:h="16840"/>
          <w:pgMar w:header="878" w:footer="1191" w:top="1300" w:bottom="1380" w:left="480" w:right="220"/>
        </w:sectPr>
      </w:pPr>
    </w:p>
    <w:p>
      <w:pPr>
        <w:pStyle w:val="BodyText"/>
        <w:spacing w:before="9"/>
        <w:rPr>
          <w:rFonts w:ascii="Times New Roman"/>
          <w:sz w:val="11"/>
        </w:rPr>
      </w:pPr>
    </w:p>
    <w:p>
      <w:pPr>
        <w:pStyle w:val="ListParagraph"/>
        <w:numPr>
          <w:ilvl w:val="4"/>
          <w:numId w:val="33"/>
        </w:numPr>
        <w:tabs>
          <w:tab w:pos="2280" w:val="left" w:leader="none"/>
        </w:tabs>
        <w:spacing w:line="240" w:lineRule="auto" w:before="74" w:after="0"/>
        <w:ind w:left="2280" w:right="0" w:hanging="960"/>
        <w:jc w:val="left"/>
        <w:rPr>
          <w:sz w:val="24"/>
        </w:rPr>
      </w:pPr>
      <w:r>
        <w:rPr>
          <w:sz w:val="24"/>
        </w:rPr>
        <w:t>生涯规划教育与体验式学习的联系</w:t>
      </w:r>
    </w:p>
    <w:p>
      <w:pPr>
        <w:pStyle w:val="BodyText"/>
        <w:spacing w:line="364" w:lineRule="auto" w:before="161"/>
        <w:ind w:left="1320" w:right="1577" w:firstLine="480"/>
      </w:pPr>
      <w:r>
        <w:rPr>
          <w:spacing w:val="-11"/>
        </w:rPr>
        <w:t>本研究认为，可以从生涯规划教育的教学特征及体验式学习的特征来探讨两</w:t>
      </w:r>
      <w:r>
        <w:rPr/>
        <w:t>者的联系。</w:t>
      </w:r>
    </w:p>
    <w:p>
      <w:pPr>
        <w:pStyle w:val="BodyText"/>
        <w:spacing w:line="364" w:lineRule="auto" w:before="1"/>
        <w:ind w:left="1320" w:right="1485" w:firstLine="480"/>
      </w:pPr>
      <w:r>
        <w:rPr>
          <w:spacing w:val="-1"/>
        </w:rPr>
        <w:t>一方面，生涯规划教育的实施目标旨在培养生涯规划教育领域的核心素养， </w:t>
      </w:r>
      <w:r>
        <w:rPr>
          <w:spacing w:val="-11"/>
        </w:rPr>
        <w:t>即“生涯规划素养”。因此，本研究认为基于“生涯规划素养”的生涯规划教育教学应主要彰显以下特征：</w:t>
      </w:r>
    </w:p>
    <w:p>
      <w:pPr>
        <w:pStyle w:val="ListParagraph"/>
        <w:numPr>
          <w:ilvl w:val="5"/>
          <w:numId w:val="33"/>
        </w:numPr>
        <w:tabs>
          <w:tab w:pos="2401" w:val="left" w:leader="none"/>
        </w:tabs>
        <w:spacing w:line="364" w:lineRule="auto" w:before="2" w:after="0"/>
        <w:ind w:left="1320" w:right="1577" w:firstLine="480"/>
        <w:jc w:val="both"/>
        <w:rPr>
          <w:sz w:val="24"/>
        </w:rPr>
      </w:pPr>
      <w:r>
        <w:rPr>
          <w:spacing w:val="-1"/>
          <w:sz w:val="24"/>
        </w:rPr>
        <w:t>统整性。核心素养具有整合性，生涯规划教育的教学应实现知识与技</w:t>
      </w:r>
      <w:r>
        <w:rPr>
          <w:spacing w:val="-10"/>
          <w:sz w:val="24"/>
        </w:rPr>
        <w:t>能的衔接、过程与方法的联接、情感态度价值观的系统整合，也就是说，要将学</w:t>
      </w:r>
      <w:r>
        <w:rPr>
          <w:spacing w:val="-8"/>
          <w:sz w:val="24"/>
        </w:rPr>
        <w:t>生视为一个完整的个体，既要关注学生的认知发展，又不能忽视学生的情绪认知</w:t>
      </w:r>
    </w:p>
    <w:p>
      <w:pPr>
        <w:pStyle w:val="BodyText"/>
        <w:spacing w:before="2"/>
        <w:ind w:left="1320"/>
      </w:pPr>
      <w:r>
        <w:rPr/>
        <w:t>。因此，应该选择能够促进学生整体发展的实施方式进行教学。</w:t>
      </w:r>
    </w:p>
    <w:p>
      <w:pPr>
        <w:pStyle w:val="ListParagraph"/>
        <w:numPr>
          <w:ilvl w:val="5"/>
          <w:numId w:val="33"/>
        </w:numPr>
        <w:tabs>
          <w:tab w:pos="2401" w:val="left" w:leader="none"/>
        </w:tabs>
        <w:spacing w:line="364" w:lineRule="auto" w:before="160" w:after="0"/>
        <w:ind w:left="1320" w:right="1575" w:firstLine="480"/>
        <w:jc w:val="both"/>
        <w:rPr>
          <w:sz w:val="24"/>
        </w:rPr>
      </w:pPr>
      <w:r>
        <w:rPr>
          <w:sz w:val="24"/>
        </w:rPr>
        <w:t>情境性。核心素养与情境息息相关，其形成与发展只能在智力、情感</w:t>
      </w:r>
      <w:r>
        <w:rPr>
          <w:spacing w:val="-7"/>
          <w:sz w:val="24"/>
        </w:rPr>
        <w:t>和道德上的真实情境之中。倘离开真实情境，虽知识技能可能熟练，但断无素养</w:t>
      </w:r>
      <w:r>
        <w:rPr>
          <w:spacing w:val="-6"/>
          <w:sz w:val="24"/>
        </w:rPr>
        <w:t>发展。</w:t>
      </w:r>
      <w:r>
        <w:rPr>
          <w:rFonts w:ascii="Times New Roman" w:eastAsia="Times New Roman"/>
          <w:position w:val="8"/>
          <w:sz w:val="15"/>
        </w:rPr>
        <w:t>[</w:t>
      </w:r>
      <w:hyperlink w:history="true" w:anchor="_bookmark160">
        <w:r>
          <w:rPr>
            <w:rFonts w:ascii="Times New Roman" w:eastAsia="Times New Roman"/>
            <w:position w:val="8"/>
            <w:sz w:val="15"/>
          </w:rPr>
          <w:t>1</w:t>
        </w:r>
      </w:hyperlink>
      <w:r>
        <w:rPr>
          <w:rFonts w:ascii="Times New Roman" w:eastAsia="Times New Roman"/>
          <w:position w:val="8"/>
          <w:sz w:val="15"/>
        </w:rPr>
        <w:t>]</w:t>
      </w:r>
      <w:r>
        <w:rPr>
          <w:spacing w:val="-2"/>
          <w:sz w:val="24"/>
        </w:rPr>
        <w:t>真实的学习只能产生于人们积极参与的情况下，应用能力解决问题的过</w:t>
      </w:r>
      <w:r>
        <w:rPr>
          <w:spacing w:val="-4"/>
          <w:sz w:val="24"/>
        </w:rPr>
        <w:t>程中。</w:t>
      </w:r>
      <w:r>
        <w:rPr>
          <w:rFonts w:ascii="Times New Roman" w:eastAsia="Times New Roman"/>
          <w:position w:val="8"/>
          <w:sz w:val="15"/>
        </w:rPr>
        <w:t>[</w:t>
      </w:r>
      <w:hyperlink w:history="true" w:anchor="_bookmark161">
        <w:r>
          <w:rPr>
            <w:rFonts w:ascii="Times New Roman" w:eastAsia="Times New Roman"/>
            <w:position w:val="8"/>
            <w:sz w:val="15"/>
          </w:rPr>
          <w:t>2</w:t>
        </w:r>
      </w:hyperlink>
      <w:r>
        <w:rPr>
          <w:rFonts w:ascii="Times New Roman" w:eastAsia="Times New Roman"/>
          <w:position w:val="8"/>
          <w:sz w:val="15"/>
        </w:rPr>
        <w:t>]</w:t>
      </w:r>
      <w:r>
        <w:rPr>
          <w:spacing w:val="-4"/>
          <w:sz w:val="24"/>
        </w:rPr>
        <w:t>将知识与真实的、现实世界的情境连接起来去学习，让个体在真实的或</w:t>
      </w:r>
      <w:r>
        <w:rPr>
          <w:spacing w:val="-8"/>
          <w:sz w:val="24"/>
        </w:rPr>
        <w:t>创设的情境中积极参与，综合调动知识、能力、情感等方面的素养，积极解决问</w:t>
      </w:r>
      <w:r>
        <w:rPr>
          <w:spacing w:val="-10"/>
          <w:sz w:val="24"/>
        </w:rPr>
        <w:t>题，这才是真实的学习。正是通过情境和真实的学习，知识才得以创造，素养才</w:t>
      </w:r>
      <w:r>
        <w:rPr>
          <w:spacing w:val="-11"/>
          <w:sz w:val="24"/>
        </w:rPr>
        <w:t>能获得发展。这也启发我们，情境性也应在生涯规划教育实施方式中得到应有的</w:t>
      </w:r>
      <w:r>
        <w:rPr>
          <w:sz w:val="24"/>
        </w:rPr>
        <w:t>重视。</w:t>
      </w:r>
    </w:p>
    <w:p>
      <w:pPr>
        <w:pStyle w:val="ListParagraph"/>
        <w:numPr>
          <w:ilvl w:val="5"/>
          <w:numId w:val="33"/>
        </w:numPr>
        <w:tabs>
          <w:tab w:pos="2401" w:val="left" w:leader="none"/>
        </w:tabs>
        <w:spacing w:line="364" w:lineRule="auto" w:before="5" w:after="0"/>
        <w:ind w:left="1320" w:right="1577" w:firstLine="480"/>
        <w:jc w:val="both"/>
        <w:rPr>
          <w:sz w:val="24"/>
        </w:rPr>
      </w:pPr>
      <w:r>
        <w:rPr>
          <w:spacing w:val="-1"/>
          <w:sz w:val="24"/>
        </w:rPr>
        <w:t>实践性。生涯规划教育是连接学校与工作世界、生活世界的桥梁，其</w:t>
      </w:r>
      <w:r>
        <w:rPr>
          <w:spacing w:val="-5"/>
          <w:sz w:val="24"/>
        </w:rPr>
        <w:t>实施也应注重与学校之外的真实社会生活之间的衔接，不能停留于书本上理论知</w:t>
      </w:r>
      <w:r>
        <w:rPr>
          <w:spacing w:val="-10"/>
          <w:sz w:val="24"/>
        </w:rPr>
        <w:t>识的获得，最终应该让学生具备独立面对社会，走向社会的能力，使学生具备终</w:t>
      </w:r>
      <w:r>
        <w:rPr>
          <w:sz w:val="24"/>
        </w:rPr>
        <w:t>身进行生涯规划的基本素养。</w:t>
      </w:r>
    </w:p>
    <w:p>
      <w:pPr>
        <w:pStyle w:val="BodyText"/>
        <w:spacing w:line="364" w:lineRule="auto" w:before="2"/>
        <w:ind w:left="1319" w:right="1577" w:firstLine="480"/>
        <w:jc w:val="both"/>
      </w:pPr>
      <w:r>
        <w:rPr>
          <w:spacing w:val="-18"/>
        </w:rPr>
        <w:t>另一方面，“体验学习鼻祖”库伯</w:t>
      </w:r>
      <w:r>
        <w:rPr>
          <w:spacing w:val="-5"/>
        </w:rPr>
        <w:t>（</w:t>
      </w:r>
      <w:r>
        <w:rPr>
          <w:rFonts w:ascii="Times New Roman" w:hAnsi="Times New Roman" w:eastAsia="Times New Roman"/>
          <w:spacing w:val="-1"/>
        </w:rPr>
        <w:t>K</w:t>
      </w:r>
      <w:r>
        <w:rPr>
          <w:rFonts w:ascii="Times New Roman" w:hAnsi="Times New Roman" w:eastAsia="Times New Roman"/>
        </w:rPr>
        <w:t>olb</w:t>
      </w:r>
      <w:r>
        <w:rPr>
          <w:spacing w:val="-60"/>
        </w:rPr>
        <w:t>）</w:t>
      </w:r>
      <w:r>
        <w:rPr>
          <w:spacing w:val="-27"/>
        </w:rPr>
        <w:t>指出，“体验式学习”</w:t>
      </w:r>
      <w:r>
        <w:rPr>
          <w:spacing w:val="-3"/>
        </w:rPr>
        <w:t>（</w:t>
      </w:r>
      <w:r>
        <w:rPr>
          <w:rFonts w:ascii="Times New Roman" w:hAnsi="Times New Roman" w:eastAsia="Times New Roman"/>
          <w:spacing w:val="-1"/>
        </w:rPr>
        <w:t>E</w:t>
      </w:r>
      <w:r>
        <w:rPr>
          <w:rFonts w:ascii="Times New Roman" w:hAnsi="Times New Roman" w:eastAsia="Times New Roman"/>
          <w:spacing w:val="2"/>
        </w:rPr>
        <w:t>x</w:t>
      </w:r>
      <w:r>
        <w:rPr>
          <w:rFonts w:ascii="Times New Roman" w:hAnsi="Times New Roman" w:eastAsia="Times New Roman"/>
        </w:rPr>
        <w:t>p</w:t>
      </w:r>
      <w:r>
        <w:rPr>
          <w:rFonts w:ascii="Times New Roman" w:hAnsi="Times New Roman" w:eastAsia="Times New Roman"/>
          <w:spacing w:val="-1"/>
        </w:rPr>
        <w:t>er</w:t>
      </w:r>
      <w:r>
        <w:rPr>
          <w:rFonts w:ascii="Times New Roman" w:hAnsi="Times New Roman" w:eastAsia="Times New Roman"/>
        </w:rPr>
        <w:t>i</w:t>
      </w:r>
      <w:r>
        <w:rPr>
          <w:rFonts w:ascii="Times New Roman" w:hAnsi="Times New Roman" w:eastAsia="Times New Roman"/>
          <w:spacing w:val="-1"/>
        </w:rPr>
        <w:t>e</w:t>
      </w:r>
      <w:r>
        <w:rPr>
          <w:rFonts w:ascii="Times New Roman" w:hAnsi="Times New Roman" w:eastAsia="Times New Roman"/>
        </w:rPr>
        <w:t>nti</w:t>
      </w:r>
      <w:r>
        <w:rPr>
          <w:rFonts w:ascii="Times New Roman" w:hAnsi="Times New Roman" w:eastAsia="Times New Roman"/>
          <w:spacing w:val="-1"/>
        </w:rPr>
        <w:t>a</w:t>
      </w:r>
      <w:r>
        <w:rPr>
          <w:rFonts w:ascii="Times New Roman" w:hAnsi="Times New Roman" w:eastAsia="Times New Roman"/>
        </w:rPr>
        <w:t>l Learning</w:t>
      </w:r>
      <w:r>
        <w:rPr/>
        <w:t>）</w:t>
      </w:r>
      <w:r>
        <w:rPr>
          <w:spacing w:val="-1"/>
        </w:rPr>
        <w:t>即“通过体验的转换创造知识的过程，知识是来源于体验的转换以及</w:t>
      </w:r>
      <w:r>
        <w:rPr>
          <w:spacing w:val="-10"/>
        </w:rPr>
        <w:t>对体验的领会”。体验式学习与认知和行为理论的不同之处在于，认知理论强调</w:t>
      </w:r>
      <w:r>
        <w:rPr>
          <w:spacing w:val="-8"/>
        </w:rPr>
        <w:t>心理过程的作用，而忽视个体学习过程中的主观经验。库伯提出的“体验式学习</w:t>
      </w:r>
    </w:p>
    <w:p>
      <w:pPr>
        <w:pStyle w:val="BodyText"/>
        <w:spacing w:before="7"/>
        <w:rPr>
          <w:sz w:val="15"/>
        </w:rPr>
      </w:pPr>
      <w:r>
        <w:rPr/>
        <w:pict>
          <v:shape style="position:absolute;margin-left:90pt;margin-top:11.948896pt;width:144pt;height:.1pt;mso-position-horizontal-relative:page;mso-position-vertical-relative:paragraph;z-index:-251591680;mso-wrap-distance-left:0;mso-wrap-distance-right:0" coordorigin="1800,239" coordsize="2880,0" path="m1800,239l4680,239e" filled="false" stroked="true" strokeweight="0pt" strokecolor="#000000">
            <v:path arrowok="t"/>
            <v:stroke dashstyle="solid"/>
            <w10:wrap type="topAndBottom"/>
          </v:shape>
        </w:pict>
      </w:r>
    </w:p>
    <w:p>
      <w:pPr>
        <w:spacing w:before="98"/>
        <w:ind w:left="1320" w:right="0" w:firstLine="0"/>
        <w:jc w:val="both"/>
        <w:rPr>
          <w:rFonts w:ascii="Times New Roman" w:eastAsia="Times New Roman"/>
          <w:sz w:val="18"/>
        </w:rPr>
      </w:pPr>
      <w:bookmarkStart w:name="_bookmark160" w:id="200"/>
      <w:bookmarkEnd w:id="200"/>
      <w:r>
        <w:rPr/>
      </w:r>
      <w:r>
        <w:rPr>
          <w:rFonts w:ascii="Times New Roman" w:eastAsia="Times New Roman"/>
          <w:position w:val="7"/>
          <w:sz w:val="13"/>
        </w:rPr>
        <w:t>[1] </w:t>
      </w:r>
      <w:r>
        <w:rPr>
          <w:sz w:val="18"/>
        </w:rPr>
        <w:t>张华</w:t>
      </w:r>
      <w:r>
        <w:rPr>
          <w:rFonts w:ascii="Times New Roman" w:eastAsia="Times New Roman"/>
          <w:sz w:val="18"/>
        </w:rPr>
        <w:t>.</w:t>
      </w:r>
      <w:r>
        <w:rPr>
          <w:sz w:val="18"/>
        </w:rPr>
        <w:t>论核心素养的内涵</w:t>
      </w:r>
      <w:r>
        <w:rPr>
          <w:rFonts w:ascii="Times New Roman" w:eastAsia="Times New Roman"/>
          <w:sz w:val="18"/>
        </w:rPr>
        <w:t>.[J].</w:t>
      </w:r>
      <w:r>
        <w:rPr>
          <w:sz w:val="18"/>
        </w:rPr>
        <w:t>全球教育展望，</w:t>
      </w:r>
      <w:r>
        <w:rPr>
          <w:rFonts w:ascii="Times New Roman" w:eastAsia="Times New Roman"/>
          <w:sz w:val="18"/>
        </w:rPr>
        <w:t>2016</w:t>
      </w:r>
      <w:r>
        <w:rPr>
          <w:sz w:val="18"/>
        </w:rPr>
        <w:t>（</w:t>
      </w:r>
      <w:r>
        <w:rPr>
          <w:rFonts w:ascii="Times New Roman" w:eastAsia="Times New Roman"/>
          <w:sz w:val="18"/>
        </w:rPr>
        <w:t>4</w:t>
      </w:r>
      <w:r>
        <w:rPr>
          <w:sz w:val="18"/>
        </w:rPr>
        <w:t>）：</w:t>
      </w:r>
      <w:r>
        <w:rPr>
          <w:rFonts w:ascii="Times New Roman" w:eastAsia="Times New Roman"/>
          <w:sz w:val="18"/>
        </w:rPr>
        <w:t>20.</w:t>
      </w:r>
    </w:p>
    <w:p>
      <w:pPr>
        <w:spacing w:line="374" w:lineRule="auto" w:before="125"/>
        <w:ind w:left="1320" w:right="1607" w:firstLine="0"/>
        <w:jc w:val="both"/>
        <w:rPr>
          <w:rFonts w:ascii="Times New Roman"/>
          <w:sz w:val="18"/>
        </w:rPr>
      </w:pPr>
      <w:bookmarkStart w:name="_bookmark161" w:id="201"/>
      <w:bookmarkEnd w:id="201"/>
      <w:r>
        <w:rPr/>
      </w:r>
      <w:r>
        <w:rPr>
          <w:rFonts w:ascii="Times New Roman"/>
          <w:position w:val="7"/>
          <w:sz w:val="13"/>
        </w:rPr>
        <w:t>[2] </w:t>
      </w:r>
      <w:r>
        <w:rPr>
          <w:rFonts w:ascii="Times New Roman"/>
          <w:sz w:val="18"/>
        </w:rPr>
        <w:t>P Jarvis,M Gangitano.Empowering  the  21st  Century  Professional  School  Counselor  Chapter  26  .The  Re al Game Series: Helping Students Imagine Their Future.[EB/OL]</w:t>
      </w:r>
      <w:hyperlink r:id="rId59">
        <w:r>
          <w:rPr>
            <w:rFonts w:ascii="Times New Roman"/>
            <w:sz w:val="18"/>
          </w:rPr>
          <w:t>.http://lifework.ca/lifework/Media/lifework%</w:t>
        </w:r>
      </w:hyperlink>
      <w:r>
        <w:rPr>
          <w:rFonts w:ascii="Times New Roman"/>
          <w:sz w:val="18"/>
        </w:rPr>
        <w:t> 20PDF/21stCenturySchoolCounselorChap262008.pdf.2017-2-9.</w:t>
      </w:r>
    </w:p>
    <w:p>
      <w:pPr>
        <w:spacing w:after="0" w:line="374" w:lineRule="auto"/>
        <w:jc w:val="both"/>
        <w:rPr>
          <w:rFonts w:ascii="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19" w:right="1485"/>
      </w:pPr>
      <w:r>
        <w:rPr>
          <w:spacing w:val="-1"/>
        </w:rPr>
        <w:t>”弥补了传统强调认知的学习方式的不足，是一种更为全面的方法，强调体验， </w:t>
      </w:r>
      <w:r>
        <w:rPr>
          <w:spacing w:val="-3"/>
        </w:rPr>
        <w:t>它包括认知、环境因素和情绪。</w:t>
      </w:r>
      <w:hyperlink w:history="true" w:anchor="_bookmark162">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1"/>
        </w:rPr>
        <w:t>体验式学习整合了个体活动的认知、影响和行</w:t>
      </w:r>
      <w:r>
        <w:rPr>
          <w:spacing w:val="-4"/>
        </w:rPr>
        <w:t>为的心理活动方面。</w:t>
      </w:r>
      <w:r>
        <w:rPr>
          <w:rFonts w:ascii="Times New Roman" w:hAnsi="Times New Roman" w:eastAsia="Times New Roman"/>
          <w:position w:val="8"/>
          <w:sz w:val="15"/>
        </w:rPr>
        <w:t>[</w:t>
      </w:r>
      <w:hyperlink w:history="true" w:anchor="_bookmark163">
        <w:r>
          <w:rPr>
            <w:rFonts w:ascii="Times New Roman" w:hAnsi="Times New Roman" w:eastAsia="Times New Roman"/>
            <w:position w:val="8"/>
            <w:sz w:val="15"/>
          </w:rPr>
          <w:t>2</w:t>
        </w:r>
      </w:hyperlink>
      <w:r>
        <w:rPr>
          <w:rFonts w:ascii="Times New Roman" w:hAnsi="Times New Roman" w:eastAsia="Times New Roman"/>
          <w:position w:val="8"/>
          <w:sz w:val="15"/>
        </w:rPr>
        <w:t>]</w:t>
      </w:r>
      <w:r>
        <w:rPr>
          <w:spacing w:val="-4"/>
        </w:rPr>
        <w:t>也就是说，体验式学习关注到了学习者学习过程的所有方</w:t>
      </w:r>
      <w:r>
        <w:rPr>
          <w:spacing w:val="-5"/>
        </w:rPr>
        <w:t>面，将个体作为一个整体，不仅仅关注认知的发展，还涉及到了学习者的情绪、</w:t>
      </w:r>
      <w:r>
        <w:rPr>
          <w:spacing w:val="-9"/>
        </w:rPr>
        <w:t>情感层面，使学习真正进入学习者的内心，发生真实有效的学习。体验式学习大致有以下几个特征：</w:t>
      </w:r>
    </w:p>
    <w:p>
      <w:pPr>
        <w:pStyle w:val="ListParagraph"/>
        <w:numPr>
          <w:ilvl w:val="0"/>
          <w:numId w:val="34"/>
        </w:numPr>
        <w:tabs>
          <w:tab w:pos="2401" w:val="left" w:leader="none"/>
        </w:tabs>
        <w:spacing w:line="364" w:lineRule="auto" w:before="4" w:after="0"/>
        <w:ind w:left="1319" w:right="1577" w:firstLine="480"/>
        <w:jc w:val="both"/>
        <w:rPr>
          <w:sz w:val="24"/>
        </w:rPr>
      </w:pPr>
      <w:r>
        <w:rPr>
          <w:sz w:val="24"/>
        </w:rPr>
        <w:t>情境性。体验式学习需要个体与环境的交往与互动，是一个连续不断</w:t>
      </w:r>
      <w:r>
        <w:rPr>
          <w:spacing w:val="-5"/>
          <w:sz w:val="24"/>
        </w:rPr>
        <w:t>的过程。</w:t>
      </w:r>
      <w:hyperlink w:history="true" w:anchor="_bookmark164">
        <w:r>
          <w:rPr>
            <w:rFonts w:ascii="Times New Roman" w:hAnsi="Times New Roman" w:eastAsia="Times New Roman"/>
            <w:position w:val="8"/>
            <w:sz w:val="15"/>
          </w:rPr>
          <w:t>[3</w:t>
        </w:r>
      </w:hyperlink>
      <w:r>
        <w:rPr>
          <w:rFonts w:ascii="Times New Roman" w:hAnsi="Times New Roman" w:eastAsia="Times New Roman"/>
          <w:position w:val="8"/>
          <w:sz w:val="15"/>
        </w:rPr>
        <w:t>]</w:t>
      </w:r>
      <w:r>
        <w:rPr>
          <w:spacing w:val="-2"/>
          <w:sz w:val="24"/>
        </w:rPr>
        <w:t>个人与环境的交互不仅涉及个体主观的内部环境，也涉及客观的外部</w:t>
      </w:r>
      <w:r>
        <w:rPr>
          <w:spacing w:val="-10"/>
          <w:sz w:val="24"/>
        </w:rPr>
        <w:t>环境。体验式学习非常重视在学习与“真实世界”之间建立联系，从而突破了传统教育的学习空间，不断将其向外部延伸。体验式学习的环境打破了空间的限制</w:t>
      </w:r>
    </w:p>
    <w:p>
      <w:pPr>
        <w:pStyle w:val="BodyText"/>
        <w:spacing w:line="364" w:lineRule="auto" w:before="2"/>
        <w:ind w:left="1319" w:right="1577"/>
        <w:rPr>
          <w:rFonts w:ascii="Times New Roman" w:eastAsia="Times New Roman"/>
          <w:sz w:val="15"/>
        </w:rPr>
      </w:pPr>
      <w:r>
        <w:rPr>
          <w:spacing w:val="-11"/>
        </w:rPr>
        <w:t>，不只是在课堂中，转移到了任何能够将我们汇聚，并使我们一起学习、工作或</w:t>
      </w:r>
      <w:r>
        <w:rPr/>
        <w:t>者表达情感的地方。</w:t>
      </w:r>
      <w:r>
        <w:rPr>
          <w:rFonts w:ascii="Times New Roman" w:eastAsia="Times New Roman"/>
          <w:position w:val="8"/>
          <w:sz w:val="15"/>
        </w:rPr>
        <w:t>[</w:t>
      </w:r>
      <w:hyperlink w:history="true" w:anchor="_bookmark165">
        <w:r>
          <w:rPr>
            <w:rFonts w:ascii="Times New Roman" w:eastAsia="Times New Roman"/>
            <w:position w:val="8"/>
            <w:sz w:val="15"/>
          </w:rPr>
          <w:t>4</w:t>
        </w:r>
      </w:hyperlink>
      <w:r>
        <w:rPr>
          <w:rFonts w:ascii="Times New Roman" w:eastAsia="Times New Roman"/>
          <w:position w:val="8"/>
          <w:sz w:val="15"/>
        </w:rPr>
        <w:t>]</w:t>
      </w:r>
    </w:p>
    <w:p>
      <w:pPr>
        <w:pStyle w:val="ListParagraph"/>
        <w:numPr>
          <w:ilvl w:val="0"/>
          <w:numId w:val="34"/>
        </w:numPr>
        <w:tabs>
          <w:tab w:pos="2401" w:val="left" w:leader="none"/>
        </w:tabs>
        <w:spacing w:line="364" w:lineRule="auto" w:before="1" w:after="0"/>
        <w:ind w:left="1319" w:right="1577" w:firstLine="480"/>
        <w:jc w:val="both"/>
        <w:rPr>
          <w:sz w:val="24"/>
        </w:rPr>
      </w:pPr>
      <w:r>
        <w:rPr>
          <w:sz w:val="24"/>
        </w:rPr>
        <w:t>反思性。反思内省是体验式学习的关键，经历反省与内思的过程，碎</w:t>
      </w:r>
      <w:r>
        <w:rPr>
          <w:spacing w:val="-6"/>
          <w:sz w:val="24"/>
        </w:rPr>
        <w:t>片化的思考才能逐渐拼接成一个完整的部分，才有可能将体验与其他经验加以整</w:t>
      </w:r>
      <w:r>
        <w:rPr>
          <w:spacing w:val="-5"/>
          <w:sz w:val="24"/>
        </w:rPr>
        <w:t>合，从而实现新观点、新认识与新发现的建构。</w:t>
      </w:r>
      <w:hyperlink w:history="true" w:anchor="_bookmark166">
        <w:r>
          <w:rPr>
            <w:rFonts w:ascii="Times New Roman" w:eastAsia="Times New Roman"/>
            <w:position w:val="8"/>
            <w:sz w:val="15"/>
          </w:rPr>
          <w:t>[5</w:t>
        </w:r>
      </w:hyperlink>
      <w:r>
        <w:rPr>
          <w:rFonts w:ascii="Times New Roman" w:eastAsia="Times New Roman"/>
          <w:position w:val="8"/>
          <w:sz w:val="15"/>
        </w:rPr>
        <w:t>]</w:t>
      </w:r>
      <w:r>
        <w:rPr>
          <w:spacing w:val="-2"/>
          <w:sz w:val="24"/>
        </w:rPr>
        <w:t>个体需要经常有意识地对学习</w:t>
      </w:r>
      <w:r>
        <w:rPr>
          <w:sz w:val="24"/>
        </w:rPr>
        <w:t>内容、学习方法等进行反思，进而提炼与升华，使体验产生质的飞跃。</w:t>
      </w:r>
    </w:p>
    <w:p>
      <w:pPr>
        <w:pStyle w:val="ListParagraph"/>
        <w:numPr>
          <w:ilvl w:val="0"/>
          <w:numId w:val="34"/>
        </w:numPr>
        <w:tabs>
          <w:tab w:pos="2401" w:val="left" w:leader="none"/>
        </w:tabs>
        <w:spacing w:line="364" w:lineRule="auto" w:before="3" w:after="0"/>
        <w:ind w:left="1319" w:right="1577" w:firstLine="480"/>
        <w:jc w:val="both"/>
        <w:rPr>
          <w:sz w:val="24"/>
        </w:rPr>
      </w:pPr>
      <w:r>
        <w:rPr>
          <w:sz w:val="24"/>
        </w:rPr>
        <w:t>亲历性。在体验的过程中，学习者需要亲身参与到具体的情境中，并</w:t>
      </w:r>
      <w:r>
        <w:rPr>
          <w:spacing w:val="-9"/>
          <w:sz w:val="24"/>
        </w:rPr>
        <w:t>不断进行观察，展开探究、实践与讨论，最终得出相应的结论。整个过程都需要</w:t>
      </w:r>
      <w:r>
        <w:rPr>
          <w:sz w:val="24"/>
        </w:rPr>
        <w:t>个体亲身参与，全身心地投入体验，并在经历后对体验进行概括与分析。</w:t>
      </w:r>
    </w:p>
    <w:p>
      <w:pPr>
        <w:pStyle w:val="ListParagraph"/>
        <w:numPr>
          <w:ilvl w:val="0"/>
          <w:numId w:val="34"/>
        </w:numPr>
        <w:tabs>
          <w:tab w:pos="2408" w:val="left" w:leader="none"/>
        </w:tabs>
        <w:spacing w:line="364" w:lineRule="auto" w:before="1" w:after="0"/>
        <w:ind w:left="1319" w:right="1577" w:firstLine="480"/>
        <w:jc w:val="both"/>
        <w:rPr>
          <w:sz w:val="24"/>
        </w:rPr>
      </w:pPr>
      <w:r>
        <w:rPr/>
        <w:pict>
          <v:line style="position:absolute;mso-position-horizontal-relative:page;mso-position-vertical-relative:paragraph;z-index:251725824" from="90pt,68.840988pt" to="234pt,68.840988pt" stroked="true" strokeweight="0pt" strokecolor="#000000">
            <v:stroke dashstyle="solid"/>
            <w10:wrap type="none"/>
          </v:line>
        </w:pict>
      </w:r>
      <w:r>
        <w:rPr>
          <w:sz w:val="24"/>
        </w:rPr>
        <w:t>主体性。</w:t>
      </w:r>
      <w:r>
        <w:rPr>
          <w:rFonts w:ascii="Times New Roman" w:eastAsia="Times New Roman"/>
          <w:position w:val="8"/>
          <w:sz w:val="15"/>
        </w:rPr>
        <w:t>[</w:t>
      </w:r>
      <w:hyperlink w:history="true" w:anchor="_bookmark167">
        <w:r>
          <w:rPr>
            <w:rFonts w:ascii="Times New Roman" w:eastAsia="Times New Roman"/>
            <w:position w:val="8"/>
            <w:sz w:val="15"/>
          </w:rPr>
          <w:t>6</w:t>
        </w:r>
      </w:hyperlink>
      <w:r>
        <w:rPr>
          <w:rFonts w:ascii="Times New Roman" w:eastAsia="Times New Roman"/>
          <w:position w:val="8"/>
          <w:sz w:val="15"/>
        </w:rPr>
        <w:t>]</w:t>
      </w:r>
      <w:r>
        <w:rPr>
          <w:sz w:val="24"/>
        </w:rPr>
        <w:t>在体验的活动方式上，要发挥学习者的主体性作用。学习</w:t>
      </w:r>
      <w:r>
        <w:rPr>
          <w:spacing w:val="-9"/>
          <w:sz w:val="24"/>
        </w:rPr>
        <w:t>者是体验式学习的中心，在体验的过程中，教师或指导者需要及时关注学习者的</w:t>
      </w:r>
      <w:r>
        <w:rPr>
          <w:spacing w:val="-10"/>
          <w:sz w:val="24"/>
        </w:rPr>
        <w:t>学习方式、学习者的感受或价值取观，重视引导学习者自我观察、自我反思和自</w:t>
      </w:r>
    </w:p>
    <w:p>
      <w:pPr>
        <w:spacing w:line="386" w:lineRule="auto" w:before="101"/>
        <w:ind w:left="1320" w:right="1659" w:firstLine="0"/>
        <w:jc w:val="left"/>
        <w:rPr>
          <w:rFonts w:ascii="Times New Roman"/>
          <w:sz w:val="18"/>
        </w:rPr>
      </w:pPr>
      <w:bookmarkStart w:name="_bookmark162" w:id="202"/>
      <w:bookmarkEnd w:id="202"/>
      <w:r>
        <w:rPr/>
      </w:r>
      <w:r>
        <w:rPr>
          <w:rFonts w:ascii="Times New Roman"/>
          <w:position w:val="7"/>
          <w:sz w:val="13"/>
        </w:rPr>
        <w:t>[1] </w:t>
      </w:r>
      <w:hyperlink r:id="rId60">
        <w:r>
          <w:rPr>
            <w:rFonts w:ascii="Times New Roman"/>
            <w:sz w:val="18"/>
          </w:rPr>
          <w:t>Kendra Cherry</w:t>
        </w:r>
      </w:hyperlink>
      <w:r>
        <w:rPr>
          <w:rFonts w:ascii="Times New Roman"/>
          <w:sz w:val="18"/>
        </w:rPr>
        <w:t>.Experiential Learning.[EB/OL].https://</w:t>
      </w:r>
      <w:hyperlink r:id="rId61">
        <w:r>
          <w:rPr>
            <w:rFonts w:ascii="Times New Roman"/>
            <w:sz w:val="18"/>
          </w:rPr>
          <w:t>www.verywell.com/experiential-learning-2795154.201</w:t>
        </w:r>
      </w:hyperlink>
      <w:r>
        <w:rPr>
          <w:rFonts w:ascii="Times New Roman"/>
          <w:sz w:val="18"/>
        </w:rPr>
        <w:t> 7.2-9.</w:t>
      </w:r>
    </w:p>
    <w:p>
      <w:pPr>
        <w:spacing w:line="227" w:lineRule="exact" w:before="0"/>
        <w:ind w:left="1320" w:right="0" w:firstLine="0"/>
        <w:jc w:val="left"/>
        <w:rPr>
          <w:rFonts w:ascii="Times New Roman" w:eastAsia="Times New Roman"/>
          <w:sz w:val="18"/>
        </w:rPr>
      </w:pPr>
      <w:bookmarkStart w:name="_bookmark163" w:id="203"/>
      <w:bookmarkEnd w:id="203"/>
      <w:r>
        <w:rPr/>
      </w:r>
      <w:r>
        <w:rPr>
          <w:rFonts w:ascii="Times New Roman" w:eastAsia="Times New Roman"/>
          <w:position w:val="7"/>
          <w:sz w:val="13"/>
        </w:rPr>
        <w:t>[2] </w:t>
      </w:r>
      <w:hyperlink r:id="rId62">
        <w:r>
          <w:rPr>
            <w:rFonts w:ascii="Times New Roman" w:eastAsia="Times New Roman"/>
            <w:sz w:val="18"/>
          </w:rPr>
          <w:t>CH Chiko</w:t>
        </w:r>
      </w:hyperlink>
      <w:r>
        <w:rPr>
          <w:sz w:val="18"/>
        </w:rPr>
        <w:t>，</w:t>
      </w:r>
      <w:hyperlink r:id="rId63">
        <w:r>
          <w:rPr>
            <w:rFonts w:ascii="Times New Roman" w:eastAsia="Times New Roman"/>
            <w:sz w:val="18"/>
          </w:rPr>
          <w:t>SE Marks</w:t>
        </w:r>
      </w:hyperlink>
      <w:r>
        <w:rPr>
          <w:rFonts w:ascii="Times New Roman" w:eastAsia="Times New Roman"/>
          <w:sz w:val="18"/>
        </w:rPr>
        <w:t>.Career Education and Experitential Learning.[EB/OL].</w:t>
      </w:r>
      <w:hyperlink r:id="rId64">
        <w:r>
          <w:rPr>
            <w:rFonts w:ascii="Times New Roman" w:eastAsia="Times New Roman"/>
            <w:sz w:val="18"/>
          </w:rPr>
          <w:t>http://cjc-rcc.ucalgary.ca/cjc/i</w:t>
        </w:r>
      </w:hyperlink>
    </w:p>
    <w:p>
      <w:pPr>
        <w:spacing w:before="120"/>
        <w:ind w:left="1320" w:right="0" w:firstLine="0"/>
        <w:jc w:val="left"/>
        <w:rPr>
          <w:rFonts w:ascii="Times New Roman"/>
          <w:sz w:val="18"/>
        </w:rPr>
      </w:pPr>
      <w:r>
        <w:rPr>
          <w:rFonts w:ascii="Times New Roman"/>
          <w:sz w:val="18"/>
        </w:rPr>
        <w:t>ndex.php/rcc/article/view/1961/1808.2017-2-9.</w:t>
      </w:r>
    </w:p>
    <w:p>
      <w:pPr>
        <w:spacing w:line="367" w:lineRule="auto" w:before="108"/>
        <w:ind w:left="1320" w:right="1485" w:firstLine="0"/>
        <w:jc w:val="left"/>
        <w:rPr>
          <w:rFonts w:ascii="Times New Roman" w:hAnsi="Times New Roman" w:eastAsia="Times New Roman"/>
          <w:sz w:val="18"/>
        </w:rPr>
      </w:pPr>
      <w:bookmarkStart w:name="_bookmark164" w:id="204"/>
      <w:bookmarkEnd w:id="204"/>
      <w:r>
        <w:rPr/>
      </w:r>
      <w:r>
        <w:rPr>
          <w:rFonts w:ascii="Times New Roman" w:hAnsi="Times New Roman" w:eastAsia="Times New Roman"/>
          <w:position w:val="7"/>
          <w:sz w:val="13"/>
        </w:rPr>
        <w:t>[3] </w:t>
      </w:r>
      <w:r>
        <w:rPr>
          <w:rFonts w:ascii="Times New Roman" w:hAnsi="Times New Roman" w:eastAsia="Times New Roman"/>
          <w:sz w:val="18"/>
        </w:rPr>
        <w:t>[</w:t>
      </w:r>
      <w:r>
        <w:rPr>
          <w:sz w:val="18"/>
        </w:rPr>
        <w:t>美</w:t>
      </w:r>
      <w:r>
        <w:rPr>
          <w:rFonts w:ascii="Times New Roman" w:hAnsi="Times New Roman" w:eastAsia="Times New Roman"/>
          <w:sz w:val="18"/>
        </w:rPr>
        <w:t>].</w:t>
      </w:r>
      <w:r>
        <w:rPr>
          <w:sz w:val="18"/>
        </w:rPr>
        <w:t>库伯著，王灿明等译</w:t>
      </w:r>
      <w:r>
        <w:rPr>
          <w:rFonts w:ascii="Times New Roman" w:hAnsi="Times New Roman" w:eastAsia="Times New Roman"/>
          <w:sz w:val="18"/>
        </w:rPr>
        <w:t>.</w:t>
      </w:r>
      <w:r>
        <w:rPr>
          <w:sz w:val="18"/>
        </w:rPr>
        <w:t>体验学习</w:t>
      </w:r>
      <w:r>
        <w:rPr>
          <w:rFonts w:ascii="Times New Roman" w:hAnsi="Times New Roman" w:eastAsia="Times New Roman"/>
          <w:sz w:val="18"/>
        </w:rPr>
        <w:t>——</w:t>
      </w:r>
      <w:r>
        <w:rPr>
          <w:sz w:val="18"/>
        </w:rPr>
        <w:t>让体验成为学习和发展的源泉</w:t>
      </w:r>
      <w:r>
        <w:rPr>
          <w:rFonts w:ascii="Times New Roman" w:hAnsi="Times New Roman" w:eastAsia="Times New Roman"/>
          <w:sz w:val="18"/>
        </w:rPr>
        <w:t>.[M].</w:t>
      </w:r>
      <w:r>
        <w:rPr>
          <w:sz w:val="18"/>
        </w:rPr>
        <w:t>上海：华东师范大学出版社， </w:t>
      </w:r>
      <w:r>
        <w:rPr>
          <w:rFonts w:ascii="Times New Roman" w:hAnsi="Times New Roman" w:eastAsia="Times New Roman"/>
          <w:sz w:val="18"/>
        </w:rPr>
        <w:t>2008:30.</w:t>
      </w:r>
    </w:p>
    <w:p>
      <w:pPr>
        <w:spacing w:line="367" w:lineRule="auto" w:before="0"/>
        <w:ind w:left="1320" w:right="1485" w:firstLine="0"/>
        <w:jc w:val="left"/>
        <w:rPr>
          <w:rFonts w:ascii="Times New Roman" w:hAnsi="Times New Roman" w:eastAsia="Times New Roman"/>
          <w:sz w:val="18"/>
        </w:rPr>
      </w:pPr>
      <w:bookmarkStart w:name="_bookmark165" w:id="205"/>
      <w:bookmarkEnd w:id="205"/>
      <w:r>
        <w:rPr/>
      </w:r>
      <w:r>
        <w:rPr>
          <w:rFonts w:ascii="Times New Roman" w:hAnsi="Times New Roman" w:eastAsia="Times New Roman"/>
          <w:position w:val="7"/>
          <w:sz w:val="13"/>
        </w:rPr>
        <w:t>[4] </w:t>
      </w:r>
      <w:r>
        <w:rPr>
          <w:rFonts w:ascii="Times New Roman" w:hAnsi="Times New Roman" w:eastAsia="Times New Roman"/>
          <w:sz w:val="18"/>
        </w:rPr>
        <w:t>[</w:t>
      </w:r>
      <w:r>
        <w:rPr>
          <w:sz w:val="18"/>
        </w:rPr>
        <w:t>美</w:t>
      </w:r>
      <w:r>
        <w:rPr>
          <w:rFonts w:ascii="Times New Roman" w:hAnsi="Times New Roman" w:eastAsia="Times New Roman"/>
          <w:sz w:val="18"/>
        </w:rPr>
        <w:t>].</w:t>
      </w:r>
      <w:r>
        <w:rPr>
          <w:sz w:val="18"/>
        </w:rPr>
        <w:t>库伯著，王灿明等译</w:t>
      </w:r>
      <w:r>
        <w:rPr>
          <w:rFonts w:ascii="Times New Roman" w:hAnsi="Times New Roman" w:eastAsia="Times New Roman"/>
          <w:sz w:val="18"/>
        </w:rPr>
        <w:t>.</w:t>
      </w:r>
      <w:r>
        <w:rPr>
          <w:sz w:val="18"/>
        </w:rPr>
        <w:t>体验学习</w:t>
      </w:r>
      <w:r>
        <w:rPr>
          <w:rFonts w:ascii="Times New Roman" w:hAnsi="Times New Roman" w:eastAsia="Times New Roman"/>
          <w:sz w:val="18"/>
        </w:rPr>
        <w:t>——</w:t>
      </w:r>
      <w:r>
        <w:rPr>
          <w:sz w:val="18"/>
        </w:rPr>
        <w:t>让体验成为学习和发展的源泉</w:t>
      </w:r>
      <w:r>
        <w:rPr>
          <w:rFonts w:ascii="Times New Roman" w:hAnsi="Times New Roman" w:eastAsia="Times New Roman"/>
          <w:sz w:val="18"/>
        </w:rPr>
        <w:t>.[M].</w:t>
      </w:r>
      <w:r>
        <w:rPr>
          <w:sz w:val="18"/>
        </w:rPr>
        <w:t>上海：华东师范大学出版社， </w:t>
      </w:r>
      <w:r>
        <w:rPr>
          <w:rFonts w:ascii="Times New Roman" w:hAnsi="Times New Roman" w:eastAsia="Times New Roman"/>
          <w:sz w:val="18"/>
        </w:rPr>
        <w:t>2008:7</w:t>
      </w:r>
      <w:r>
        <w:rPr>
          <w:sz w:val="18"/>
        </w:rPr>
        <w:t>（序）</w:t>
      </w:r>
      <w:r>
        <w:rPr>
          <w:rFonts w:ascii="Times New Roman" w:hAnsi="Times New Roman" w:eastAsia="Times New Roman"/>
          <w:sz w:val="18"/>
        </w:rPr>
        <w:t>.</w:t>
      </w:r>
    </w:p>
    <w:p>
      <w:pPr>
        <w:spacing w:before="1"/>
        <w:ind w:left="1320" w:right="0" w:firstLine="0"/>
        <w:jc w:val="left"/>
        <w:rPr>
          <w:rFonts w:ascii="Times New Roman" w:eastAsia="Times New Roman"/>
          <w:sz w:val="18"/>
        </w:rPr>
      </w:pPr>
      <w:bookmarkStart w:name="_bookmark166" w:id="206"/>
      <w:bookmarkEnd w:id="206"/>
      <w:r>
        <w:rPr/>
      </w:r>
      <w:r>
        <w:rPr>
          <w:rFonts w:ascii="Times New Roman" w:eastAsia="Times New Roman"/>
          <w:position w:val="7"/>
          <w:sz w:val="13"/>
        </w:rPr>
        <w:t>[5] </w:t>
      </w:r>
      <w:r>
        <w:rPr>
          <w:sz w:val="18"/>
        </w:rPr>
        <w:t>王灿明</w:t>
      </w:r>
      <w:r>
        <w:rPr>
          <w:rFonts w:ascii="Times New Roman" w:eastAsia="Times New Roman"/>
          <w:sz w:val="18"/>
        </w:rPr>
        <w:t>.</w:t>
      </w:r>
      <w:r>
        <w:rPr>
          <w:sz w:val="18"/>
        </w:rPr>
        <w:t>体验学习解读</w:t>
      </w:r>
      <w:r>
        <w:rPr>
          <w:rFonts w:ascii="Times New Roman" w:eastAsia="Times New Roman"/>
          <w:sz w:val="18"/>
        </w:rPr>
        <w:t>.[J].</w:t>
      </w:r>
      <w:r>
        <w:rPr>
          <w:sz w:val="18"/>
        </w:rPr>
        <w:t>全球教育展望，</w:t>
      </w:r>
      <w:r>
        <w:rPr>
          <w:rFonts w:ascii="Times New Roman" w:eastAsia="Times New Roman"/>
          <w:sz w:val="18"/>
        </w:rPr>
        <w:t>2005</w:t>
      </w:r>
      <w:r>
        <w:rPr>
          <w:sz w:val="18"/>
        </w:rPr>
        <w:t>（</w:t>
      </w:r>
      <w:r>
        <w:rPr>
          <w:rFonts w:ascii="Times New Roman" w:eastAsia="Times New Roman"/>
          <w:sz w:val="18"/>
        </w:rPr>
        <w:t>12</w:t>
      </w:r>
      <w:r>
        <w:rPr>
          <w:sz w:val="18"/>
        </w:rPr>
        <w:t>）：</w:t>
      </w:r>
      <w:r>
        <w:rPr>
          <w:rFonts w:ascii="Times New Roman" w:eastAsia="Times New Roman"/>
          <w:sz w:val="18"/>
        </w:rPr>
        <w:t>16.</w:t>
      </w:r>
    </w:p>
    <w:p>
      <w:pPr>
        <w:spacing w:before="128"/>
        <w:ind w:left="1319" w:right="0" w:firstLine="0"/>
        <w:jc w:val="left"/>
        <w:rPr>
          <w:rFonts w:ascii="Times New Roman" w:eastAsia="Times New Roman"/>
          <w:sz w:val="18"/>
        </w:rPr>
      </w:pPr>
      <w:bookmarkStart w:name="_bookmark167" w:id="207"/>
      <w:bookmarkEnd w:id="207"/>
      <w:r>
        <w:rPr/>
      </w:r>
      <w:r>
        <w:rPr>
          <w:rFonts w:ascii="Times New Roman" w:eastAsia="Times New Roman"/>
          <w:position w:val="7"/>
          <w:sz w:val="13"/>
        </w:rPr>
        <w:t>[6] </w:t>
      </w:r>
      <w:r>
        <w:rPr>
          <w:sz w:val="18"/>
        </w:rPr>
        <w:t>王嘉毅，李志厚</w:t>
      </w:r>
      <w:r>
        <w:rPr>
          <w:rFonts w:ascii="Times New Roman" w:eastAsia="Times New Roman"/>
          <w:sz w:val="18"/>
        </w:rPr>
        <w:t>.</w:t>
      </w:r>
      <w:r>
        <w:rPr>
          <w:sz w:val="18"/>
        </w:rPr>
        <w:t>论体验学习</w:t>
      </w:r>
      <w:r>
        <w:rPr>
          <w:rFonts w:ascii="Times New Roman" w:eastAsia="Times New Roman"/>
          <w:sz w:val="18"/>
        </w:rPr>
        <w:t>.[J].</w:t>
      </w:r>
      <w:r>
        <w:rPr>
          <w:sz w:val="18"/>
        </w:rPr>
        <w:t>教育理论与实践，</w:t>
      </w:r>
      <w:r>
        <w:rPr>
          <w:rFonts w:ascii="Times New Roman" w:eastAsia="Times New Roman"/>
          <w:sz w:val="18"/>
        </w:rPr>
        <w:t>2004</w:t>
      </w:r>
      <w:r>
        <w:rPr>
          <w:sz w:val="18"/>
        </w:rPr>
        <w:t>（</w:t>
      </w:r>
      <w:r>
        <w:rPr>
          <w:rFonts w:ascii="Times New Roman" w:eastAsia="Times New Roman"/>
          <w:sz w:val="18"/>
        </w:rPr>
        <w:t>12</w:t>
      </w:r>
      <w:r>
        <w:rPr>
          <w:sz w:val="18"/>
        </w:rPr>
        <w:t>）：</w:t>
      </w:r>
      <w:r>
        <w:rPr>
          <w:rFonts w:ascii="Times New Roman" w:eastAsia="Times New Roman"/>
          <w:sz w:val="18"/>
        </w:rPr>
        <w:t>46.</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before="66"/>
        <w:ind w:left="1320"/>
      </w:pPr>
      <w:r>
        <w:rPr/>
        <w:t>我总结，让学习者学会在不同的环境中学习、思考和解决问题。</w:t>
      </w:r>
    </w:p>
    <w:p>
      <w:pPr>
        <w:pStyle w:val="BodyText"/>
        <w:spacing w:line="364" w:lineRule="auto" w:before="160"/>
        <w:ind w:left="1320" w:right="1485" w:firstLine="480"/>
      </w:pPr>
      <w:r>
        <w:rPr>
          <w:spacing w:val="-9"/>
        </w:rPr>
        <w:t>综上所述，生涯规划教育的教学特征与体验式学习的特征共性显著，两者共</w:t>
      </w:r>
      <w:r>
        <w:rPr>
          <w:spacing w:val="-14"/>
        </w:rPr>
        <w:t>同强调了个体的完整发展，即在学习过程中个体的知识、技能和情绪情感应该都</w:t>
      </w:r>
      <w:r>
        <w:rPr>
          <w:spacing w:val="-15"/>
        </w:rPr>
        <w:t>能得到充分发展。其次，生涯规划素养的形成与体验式学习通过情境学习建立了</w:t>
      </w:r>
      <w:r>
        <w:rPr>
          <w:spacing w:val="-10"/>
        </w:rPr>
        <w:t>联系，体验式学习和素养的形成都依托于一定的情境；再次，生涯规划教育本身</w:t>
      </w:r>
      <w:r>
        <w:rPr>
          <w:spacing w:val="-11"/>
        </w:rPr>
        <w:t>具备较强的实践性，其实施方式的选择必然具备实践特质。从这几个角度看来， </w:t>
      </w:r>
      <w:r>
        <w:rPr/>
        <w:t>体验式学习可谓是促进生涯规划素养形成的最佳实施方式。</w:t>
      </w:r>
    </w:p>
    <w:p>
      <w:pPr>
        <w:pStyle w:val="ListParagraph"/>
        <w:numPr>
          <w:ilvl w:val="4"/>
          <w:numId w:val="33"/>
        </w:numPr>
        <w:tabs>
          <w:tab w:pos="2280" w:val="left" w:leader="none"/>
        </w:tabs>
        <w:spacing w:line="240" w:lineRule="auto" w:before="4" w:after="0"/>
        <w:ind w:left="2280" w:right="0" w:hanging="960"/>
        <w:jc w:val="left"/>
        <w:rPr>
          <w:sz w:val="24"/>
        </w:rPr>
      </w:pPr>
      <w:r>
        <w:rPr>
          <w:sz w:val="24"/>
        </w:rPr>
        <w:t>发达国家重视实施过程中的体验式学习</w:t>
      </w:r>
    </w:p>
    <w:p>
      <w:pPr>
        <w:pStyle w:val="BodyText"/>
        <w:spacing w:line="364" w:lineRule="auto" w:before="161"/>
        <w:ind w:left="1319" w:right="1485" w:firstLine="480"/>
      </w:pPr>
      <w:r>
        <w:rPr>
          <w:spacing w:val="-1"/>
        </w:rPr>
        <w:t>发达国家历来注重在生涯规划教育的实施过程中开展体验式学习。在美国， </w:t>
      </w:r>
      <w:r>
        <w:rPr>
          <w:spacing w:val="-9"/>
        </w:rPr>
        <w:t>一些学校专设“职业日”，社会各界人士，包括医生、律师、警察等，他们走进</w:t>
      </w:r>
      <w:r>
        <w:rPr>
          <w:spacing w:val="-10"/>
        </w:rPr>
        <w:t>校园帮助学生了解社会上的职业是如何生存与发展的。</w:t>
      </w:r>
      <w:hyperlink w:history="true" w:anchor="_bookmark168">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4"/>
        </w:rPr>
        <w:t>此外，美国的学校也会</w:t>
      </w:r>
      <w:r>
        <w:rPr>
          <w:spacing w:val="-5"/>
        </w:rPr>
        <w:t>带领学生走出校园，经常组织学生到工厂、商店、医院、公司等现场进行参观， </w:t>
      </w:r>
      <w:r>
        <w:rPr>
          <w:spacing w:val="-6"/>
        </w:rPr>
        <w:t>回校后，在生涯指导教师指导下，学生就参观内容展开讨论，进行总结。</w:t>
      </w:r>
      <w:r>
        <w:rPr>
          <w:rFonts w:ascii="Times New Roman" w:hAnsi="Times New Roman" w:eastAsia="Times New Roman"/>
          <w:position w:val="8"/>
          <w:sz w:val="15"/>
        </w:rPr>
        <w:t>[</w:t>
      </w:r>
      <w:hyperlink w:history="true" w:anchor="_bookmark169">
        <w:r>
          <w:rPr>
            <w:rFonts w:ascii="Times New Roman" w:hAnsi="Times New Roman" w:eastAsia="Times New Roman"/>
            <w:position w:val="8"/>
            <w:sz w:val="15"/>
          </w:rPr>
          <w:t>2</w:t>
        </w:r>
      </w:hyperlink>
      <w:r>
        <w:rPr>
          <w:rFonts w:ascii="Times New Roman" w:hAnsi="Times New Roman" w:eastAsia="Times New Roman"/>
          <w:position w:val="8"/>
          <w:sz w:val="15"/>
        </w:rPr>
        <w:t>]</w:t>
      </w:r>
      <w:r>
        <w:rPr/>
        <w:t>每年</w:t>
      </w:r>
      <w:r>
        <w:rPr>
          <w:rFonts w:ascii="Times New Roman" w:hAnsi="Times New Roman" w:eastAsia="Times New Roman"/>
        </w:rPr>
        <w:t>4</w:t>
      </w:r>
      <w:r>
        <w:rPr>
          <w:rFonts w:ascii="Times New Roman" w:hAnsi="Times New Roman" w:eastAsia="Times New Roman"/>
          <w:spacing w:val="-1"/>
        </w:rPr>
        <w:t> </w:t>
      </w:r>
      <w:r>
        <w:rPr/>
        <w:t>月的最后一个星期四是美国的“带孩子上班日（</w:t>
      </w:r>
      <w:r>
        <w:rPr>
          <w:rFonts w:ascii="Times New Roman" w:hAnsi="Times New Roman" w:eastAsia="Times New Roman"/>
        </w:rPr>
        <w:t>Bring Kids</w:t>
      </w:r>
      <w:r>
        <w:rPr>
          <w:rFonts w:ascii="Times New Roman" w:hAnsi="Times New Roman" w:eastAsia="Times New Roman"/>
          <w:spacing w:val="2"/>
        </w:rPr>
        <w:t> </w:t>
      </w:r>
      <w:r>
        <w:rPr>
          <w:rFonts w:ascii="Times New Roman" w:hAnsi="Times New Roman" w:eastAsia="Times New Roman"/>
        </w:rPr>
        <w:t>to</w:t>
      </w:r>
      <w:r>
        <w:rPr>
          <w:rFonts w:ascii="Times New Roman" w:hAnsi="Times New Roman" w:eastAsia="Times New Roman"/>
          <w:spacing w:val="-3"/>
        </w:rPr>
        <w:t> </w:t>
      </w:r>
      <w:r>
        <w:rPr>
          <w:rFonts w:ascii="Times New Roman" w:hAnsi="Times New Roman" w:eastAsia="Times New Roman"/>
          <w:spacing w:val="-5"/>
        </w:rPr>
        <w:t>Work</w:t>
      </w:r>
      <w:r>
        <w:rPr>
          <w:rFonts w:ascii="Times New Roman" w:hAnsi="Times New Roman" w:eastAsia="Times New Roman"/>
          <w:spacing w:val="-1"/>
        </w:rPr>
        <w:t> </w:t>
      </w:r>
      <w:r>
        <w:rPr>
          <w:rFonts w:ascii="Times New Roman" w:hAnsi="Times New Roman" w:eastAsia="Times New Roman"/>
        </w:rPr>
        <w:t>Day</w:t>
      </w:r>
      <w:r>
        <w:rPr/>
        <w:t>）。</w:t>
      </w:r>
      <w:r>
        <w:rPr>
          <w:rFonts w:ascii="Times New Roman" w:hAnsi="Times New Roman" w:eastAsia="Times New Roman"/>
          <w:position w:val="8"/>
          <w:sz w:val="15"/>
        </w:rPr>
        <w:t>[</w:t>
      </w:r>
      <w:hyperlink w:history="true" w:anchor="_bookmark170">
        <w:r>
          <w:rPr>
            <w:rFonts w:ascii="Times New Roman" w:hAnsi="Times New Roman" w:eastAsia="Times New Roman"/>
            <w:position w:val="8"/>
            <w:sz w:val="15"/>
          </w:rPr>
          <w:t>3</w:t>
        </w:r>
      </w:hyperlink>
      <w:r>
        <w:rPr>
          <w:rFonts w:ascii="Times New Roman" w:hAnsi="Times New Roman" w:eastAsia="Times New Roman"/>
          <w:position w:val="8"/>
          <w:sz w:val="15"/>
        </w:rPr>
        <w:t>] </w:t>
      </w:r>
      <w:r>
        <w:rPr>
          <w:spacing w:val="-6"/>
        </w:rPr>
        <w:t>这一天，家长们可以带 </w:t>
      </w:r>
      <w:r>
        <w:rPr>
          <w:rFonts w:ascii="Times New Roman" w:hAnsi="Times New Roman" w:eastAsia="Times New Roman"/>
        </w:rPr>
        <w:t>8-18</w:t>
      </w:r>
      <w:r>
        <w:rPr>
          <w:rFonts w:ascii="Times New Roman" w:hAnsi="Times New Roman" w:eastAsia="Times New Roman"/>
          <w:spacing w:val="-1"/>
        </w:rPr>
        <w:t> </w:t>
      </w:r>
      <w:r>
        <w:rPr/>
        <w:t>岁的孩子去上班，此举能让孩子了解父母的职业， </w:t>
      </w:r>
      <w:r>
        <w:rPr>
          <w:spacing w:val="-8"/>
        </w:rPr>
        <w:t>增进对工作世界的认识。在英国，几乎所有学生在义务教育的最后一年会有为期</w:t>
      </w:r>
      <w:r>
        <w:rPr>
          <w:spacing w:val="-22"/>
        </w:rPr>
        <w:t>一个星期的职业体验；学校也会提供一些如工作模拟：在学校中体验工作任务</w:t>
      </w:r>
      <w:r>
        <w:rPr/>
        <w:t>（如</w:t>
      </w:r>
      <w:r>
        <w:rPr>
          <w:spacing w:val="-6"/>
        </w:rPr>
        <w:t>商业计划、生产模拟、工作单位实践</w:t>
      </w:r>
      <w:r>
        <w:rPr>
          <w:spacing w:val="-20"/>
        </w:rPr>
        <w:t>）；</w:t>
      </w:r>
      <w:r>
        <w:rPr>
          <w:spacing w:val="-2"/>
        </w:rPr>
        <w:t>或者通过工作跟随，让学生跟随某个特</w:t>
      </w:r>
      <w:r>
        <w:rPr>
          <w:spacing w:val="-10"/>
        </w:rPr>
        <w:t>定的工人一段时间，观察他的工作和角色。这些体验都需要学校生涯规划教育的支持和配合，并通过准备和反思帮助学生将体验变成真正的学习。在瑞典，</w:t>
      </w:r>
      <w:r>
        <w:rPr>
          <w:rFonts w:ascii="Times New Roman" w:hAnsi="Times New Roman" w:eastAsia="Times New Roman"/>
          <w:spacing w:val="-10"/>
        </w:rPr>
        <w:t>20 </w:t>
      </w:r>
      <w:r>
        <w:rPr>
          <w:spacing w:val="-27"/>
        </w:rPr>
        <w:t>世纪 </w:t>
      </w:r>
      <w:r>
        <w:rPr>
          <w:rFonts w:ascii="Times New Roman" w:hAnsi="Times New Roman" w:eastAsia="Times New Roman"/>
        </w:rPr>
        <w:t>50 </w:t>
      </w:r>
      <w:r>
        <w:rPr>
          <w:spacing w:val="-3"/>
        </w:rPr>
        <w:t>年代起，生涯体验已经成为综合学校的特色。到了 </w:t>
      </w:r>
      <w:r>
        <w:rPr>
          <w:rFonts w:ascii="Times New Roman" w:hAnsi="Times New Roman" w:eastAsia="Times New Roman"/>
        </w:rPr>
        <w:t>20 </w:t>
      </w:r>
      <w:r>
        <w:rPr>
          <w:spacing w:val="-20"/>
        </w:rPr>
        <w:t>世纪 </w:t>
      </w:r>
      <w:r>
        <w:rPr>
          <w:rFonts w:ascii="Times New Roman" w:hAnsi="Times New Roman" w:eastAsia="Times New Roman"/>
        </w:rPr>
        <w:t>80 </w:t>
      </w:r>
      <w:r>
        <w:rPr/>
        <w:t>年代学校</w:t>
      </w:r>
    </w:p>
    <w:p>
      <w:pPr>
        <w:pStyle w:val="BodyText"/>
        <w:spacing w:line="364" w:lineRule="auto" w:before="7"/>
        <w:ind w:left="1319" w:right="1577"/>
        <w:jc w:val="both"/>
      </w:pPr>
      <w:r>
        <w:rPr/>
        <w:pict>
          <v:line style="position:absolute;mso-position-horizontal-relative:page;mso-position-vertical-relative:paragraph;z-index:251726848" from="90pt,92.240997pt" to="234pt,92.240997pt" stroked="true" strokeweight="0pt" strokecolor="#000000">
            <v:stroke dashstyle="solid"/>
            <w10:wrap type="none"/>
          </v:line>
        </w:pict>
      </w:r>
      <w:r>
        <w:rPr>
          <w:spacing w:val="-8"/>
        </w:rPr>
        <w:t>课程改革时期，瑞典 </w:t>
      </w:r>
      <w:r>
        <w:rPr>
          <w:rFonts w:ascii="Times New Roman" w:hAnsi="Times New Roman" w:eastAsia="Times New Roman"/>
        </w:rPr>
        <w:t>7-16 </w:t>
      </w:r>
      <w:r>
        <w:rPr>
          <w:spacing w:val="-7"/>
        </w:rPr>
        <w:t>岁的所有学生必须有 </w:t>
      </w:r>
      <w:r>
        <w:rPr>
          <w:rFonts w:ascii="Times New Roman" w:hAnsi="Times New Roman" w:eastAsia="Times New Roman"/>
        </w:rPr>
        <w:t>6-10</w:t>
      </w:r>
      <w:r>
        <w:rPr>
          <w:rFonts w:ascii="Times New Roman" w:hAnsi="Times New Roman" w:eastAsia="Times New Roman"/>
          <w:spacing w:val="-1"/>
        </w:rPr>
        <w:t> </w:t>
      </w:r>
      <w:r>
        <w:rPr>
          <w:spacing w:val="-3"/>
        </w:rPr>
        <w:t>周在工作场所度过。芬兰在</w:t>
      </w:r>
      <w:r>
        <w:rPr>
          <w:spacing w:val="-11"/>
        </w:rPr>
        <w:t>高中开设了“工作生活熟悉”课程，要求学生参观职场和高等教育机构，从不同</w:t>
      </w:r>
      <w:r>
        <w:rPr>
          <w:spacing w:val="-3"/>
        </w:rPr>
        <w:t>的来源搜集有关职业和教育机会的信息，并与同学分享、交流。</w:t>
      </w:r>
      <w:hyperlink w:history="true" w:anchor="_bookmark171">
        <w:r>
          <w:rPr>
            <w:rFonts w:ascii="Times New Roman" w:hAnsi="Times New Roman" w:eastAsia="Times New Roman"/>
            <w:position w:val="8"/>
            <w:sz w:val="15"/>
          </w:rPr>
          <w:t>[4</w:t>
        </w:r>
      </w:hyperlink>
      <w:r>
        <w:rPr>
          <w:rFonts w:ascii="Times New Roman" w:hAnsi="Times New Roman" w:eastAsia="Times New Roman"/>
          <w:position w:val="8"/>
          <w:sz w:val="15"/>
        </w:rPr>
        <w:t>]</w:t>
      </w:r>
      <w:r>
        <w:rPr>
          <w:spacing w:val="-3"/>
        </w:rPr>
        <w:t>加拿大的研究</w:t>
      </w:r>
      <w:r>
        <w:rPr>
          <w:spacing w:val="-1"/>
        </w:rPr>
        <w:t>者巴里开发了“真实的系列游戏”</w:t>
      </w:r>
      <w:r>
        <w:rPr/>
        <w:t>（</w:t>
      </w:r>
      <w:r>
        <w:rPr>
          <w:rFonts w:ascii="Times New Roman" w:hAnsi="Times New Roman" w:eastAsia="Times New Roman"/>
        </w:rPr>
        <w:t>the</w:t>
      </w:r>
      <w:r>
        <w:rPr>
          <w:rFonts w:ascii="Times New Roman" w:hAnsi="Times New Roman" w:eastAsia="Times New Roman"/>
          <w:spacing w:val="-7"/>
        </w:rPr>
        <w:t> </w:t>
      </w:r>
      <w:r>
        <w:rPr>
          <w:rFonts w:ascii="Times New Roman" w:hAnsi="Times New Roman" w:eastAsia="Times New Roman"/>
        </w:rPr>
        <w:t>realgame</w:t>
      </w:r>
      <w:r>
        <w:rPr>
          <w:rFonts w:ascii="Times New Roman" w:hAnsi="Times New Roman" w:eastAsia="Times New Roman"/>
          <w:spacing w:val="-6"/>
        </w:rPr>
        <w:t> </w:t>
      </w:r>
      <w:r>
        <w:rPr>
          <w:rFonts w:ascii="Times New Roman" w:hAnsi="Times New Roman" w:eastAsia="Times New Roman"/>
        </w:rPr>
        <w:t>series</w:t>
      </w:r>
      <w:r>
        <w:rPr/>
        <w:t>）</w:t>
      </w:r>
      <w:r>
        <w:rPr>
          <w:spacing w:val="-2"/>
        </w:rPr>
        <w:t>生涯规划教育，游戏被</w:t>
      </w:r>
    </w:p>
    <w:p>
      <w:pPr>
        <w:spacing w:before="97"/>
        <w:ind w:left="1320" w:right="0" w:firstLine="0"/>
        <w:jc w:val="left"/>
        <w:rPr>
          <w:rFonts w:ascii="Times New Roman" w:eastAsia="Times New Roman"/>
          <w:sz w:val="18"/>
        </w:rPr>
      </w:pPr>
      <w:bookmarkStart w:name="_bookmark168" w:id="208"/>
      <w:bookmarkEnd w:id="208"/>
      <w:r>
        <w:rPr/>
      </w:r>
      <w:r>
        <w:rPr>
          <w:rFonts w:ascii="Times New Roman" w:eastAsia="Times New Roman"/>
          <w:position w:val="7"/>
          <w:sz w:val="13"/>
        </w:rPr>
        <w:t>[1] </w:t>
      </w:r>
      <w:r>
        <w:rPr>
          <w:sz w:val="18"/>
        </w:rPr>
        <w:t>沈彦</w:t>
      </w:r>
      <w:r>
        <w:rPr>
          <w:rFonts w:ascii="Times New Roman" w:eastAsia="Times New Roman"/>
          <w:sz w:val="18"/>
        </w:rPr>
        <w:t>.</w:t>
      </w:r>
      <w:r>
        <w:rPr>
          <w:sz w:val="18"/>
        </w:rPr>
        <w:t>美国学校的职业日</w:t>
      </w:r>
      <w:r>
        <w:rPr>
          <w:rFonts w:ascii="Times New Roman" w:eastAsia="Times New Roman"/>
          <w:sz w:val="18"/>
        </w:rPr>
        <w:t>.[N].</w:t>
      </w:r>
      <w:r>
        <w:rPr>
          <w:sz w:val="18"/>
        </w:rPr>
        <w:t>文汇报</w:t>
      </w:r>
      <w:r>
        <w:rPr>
          <w:rFonts w:ascii="Times New Roman" w:eastAsia="Times New Roman"/>
          <w:sz w:val="18"/>
        </w:rPr>
        <w:t>.2006</w:t>
      </w:r>
      <w:r>
        <w:rPr>
          <w:sz w:val="18"/>
        </w:rPr>
        <w:t>：</w:t>
      </w:r>
      <w:r>
        <w:rPr>
          <w:rFonts w:ascii="Times New Roman" w:eastAsia="Times New Roman"/>
          <w:sz w:val="18"/>
        </w:rPr>
        <w:t>6.</w:t>
      </w:r>
    </w:p>
    <w:p>
      <w:pPr>
        <w:spacing w:before="125"/>
        <w:ind w:left="1320" w:right="0" w:firstLine="0"/>
        <w:jc w:val="left"/>
        <w:rPr>
          <w:rFonts w:ascii="Times New Roman" w:eastAsia="Times New Roman"/>
          <w:sz w:val="18"/>
        </w:rPr>
      </w:pPr>
      <w:bookmarkStart w:name="_bookmark169" w:id="209"/>
      <w:bookmarkEnd w:id="209"/>
      <w:r>
        <w:rPr/>
      </w:r>
      <w:r>
        <w:rPr>
          <w:rFonts w:ascii="Times New Roman" w:eastAsia="Times New Roman"/>
          <w:position w:val="7"/>
          <w:sz w:val="13"/>
        </w:rPr>
        <w:t>[2] </w:t>
      </w:r>
      <w:r>
        <w:rPr>
          <w:sz w:val="18"/>
        </w:rPr>
        <w:t>于 珍</w:t>
      </w:r>
      <w:r>
        <w:rPr>
          <w:rFonts w:ascii="Times New Roman" w:eastAsia="Times New Roman"/>
          <w:sz w:val="18"/>
        </w:rPr>
        <w:t>.</w:t>
      </w:r>
      <w:r>
        <w:rPr>
          <w:sz w:val="18"/>
        </w:rPr>
        <w:t>中小学职业生涯教育</w:t>
      </w:r>
      <w:r>
        <w:rPr>
          <w:rFonts w:ascii="Times New Roman" w:eastAsia="Times New Roman"/>
          <w:sz w:val="18"/>
        </w:rPr>
        <w:t>:</w:t>
      </w:r>
      <w:r>
        <w:rPr>
          <w:sz w:val="18"/>
        </w:rPr>
        <w:t>来自美国的经验与启示</w:t>
      </w:r>
      <w:r>
        <w:rPr>
          <w:rFonts w:ascii="Times New Roman" w:eastAsia="Times New Roman"/>
          <w:sz w:val="18"/>
        </w:rPr>
        <w:t>[J].</w:t>
      </w:r>
      <w:r>
        <w:rPr>
          <w:sz w:val="18"/>
        </w:rPr>
        <w:t>外国中小学教育，</w:t>
      </w:r>
      <w:r>
        <w:rPr>
          <w:rFonts w:ascii="Times New Roman" w:eastAsia="Times New Roman"/>
          <w:sz w:val="18"/>
        </w:rPr>
        <w:t>2008</w:t>
      </w:r>
      <w:r>
        <w:rPr>
          <w:sz w:val="18"/>
        </w:rPr>
        <w:t>（</w:t>
      </w:r>
      <w:r>
        <w:rPr>
          <w:rFonts w:ascii="Times New Roman" w:eastAsia="Times New Roman"/>
          <w:sz w:val="18"/>
        </w:rPr>
        <w:t>3</w:t>
      </w:r>
      <w:r>
        <w:rPr>
          <w:sz w:val="18"/>
        </w:rPr>
        <w:t>）：</w:t>
      </w:r>
      <w:r>
        <w:rPr>
          <w:rFonts w:ascii="Times New Roman" w:eastAsia="Times New Roman"/>
          <w:sz w:val="18"/>
        </w:rPr>
        <w:t>52-55.</w:t>
      </w:r>
    </w:p>
    <w:p>
      <w:pPr>
        <w:spacing w:line="364" w:lineRule="auto" w:before="128"/>
        <w:ind w:left="1320" w:right="1575" w:firstLine="0"/>
        <w:jc w:val="left"/>
        <w:rPr>
          <w:rFonts w:ascii="Times New Roman" w:hAnsi="Times New Roman" w:eastAsia="Times New Roman"/>
          <w:sz w:val="18"/>
        </w:rPr>
      </w:pPr>
      <w:bookmarkStart w:name="_bookmark170" w:id="210"/>
      <w:bookmarkEnd w:id="210"/>
      <w:r>
        <w:rPr/>
      </w:r>
      <w:r>
        <w:rPr>
          <w:rFonts w:ascii="Times New Roman" w:hAnsi="Times New Roman" w:eastAsia="Times New Roman"/>
          <w:position w:val="7"/>
          <w:sz w:val="13"/>
        </w:rPr>
        <w:t>[3] </w:t>
      </w:r>
      <w:r>
        <w:rPr>
          <w:sz w:val="18"/>
        </w:rPr>
        <w:t>王悦</w:t>
      </w:r>
      <w:r>
        <w:rPr>
          <w:rFonts w:ascii="Times New Roman" w:hAnsi="Times New Roman" w:eastAsia="Times New Roman"/>
          <w:sz w:val="18"/>
        </w:rPr>
        <w:t>.</w:t>
      </w:r>
      <w:r>
        <w:rPr>
          <w:sz w:val="18"/>
        </w:rPr>
        <w:t>美国“带孩子上班日”人气旺</w:t>
      </w:r>
      <w:r>
        <w:rPr>
          <w:rFonts w:ascii="Times New Roman" w:hAnsi="Times New Roman" w:eastAsia="Times New Roman"/>
          <w:sz w:val="18"/>
        </w:rPr>
        <w:t>.[EB/OL].</w:t>
      </w:r>
      <w:hyperlink r:id="rId65">
        <w:r>
          <w:rPr>
            <w:rFonts w:ascii="Times New Roman" w:hAnsi="Times New Roman" w:eastAsia="Times New Roman"/>
            <w:sz w:val="18"/>
          </w:rPr>
          <w:t>http://go.huanqiu.com/northamerican/2011-06/1749398.html.20</w:t>
        </w:r>
      </w:hyperlink>
      <w:r>
        <w:rPr>
          <w:rFonts w:ascii="Times New Roman" w:hAnsi="Times New Roman" w:eastAsia="Times New Roman"/>
          <w:sz w:val="18"/>
        </w:rPr>
        <w:t> 16-6-10</w:t>
      </w:r>
    </w:p>
    <w:p>
      <w:pPr>
        <w:spacing w:line="386" w:lineRule="auto" w:before="2"/>
        <w:ind w:left="1408" w:right="1485" w:hanging="89"/>
        <w:jc w:val="left"/>
        <w:rPr>
          <w:rFonts w:ascii="Times New Roman"/>
          <w:sz w:val="18"/>
        </w:rPr>
      </w:pPr>
      <w:bookmarkStart w:name="_bookmark171" w:id="211"/>
      <w:bookmarkEnd w:id="211"/>
      <w:r>
        <w:rPr/>
      </w:r>
      <w:r>
        <w:rPr>
          <w:rFonts w:ascii="Times New Roman"/>
          <w:position w:val="7"/>
          <w:sz w:val="13"/>
        </w:rPr>
        <w:t>[4] </w:t>
      </w:r>
      <w:r>
        <w:rPr>
          <w:rFonts w:ascii="Times New Roman"/>
          <w:sz w:val="18"/>
        </w:rPr>
        <w:t>A.G.Watts.Career Education for Young People: Rationale and Provision in the UK and Other European Countries.[J]. Educational and Vocational Guidance,2001(1):209-222.</w:t>
      </w:r>
    </w:p>
    <w:p>
      <w:pPr>
        <w:spacing w:after="0" w:line="386" w:lineRule="auto"/>
        <w:jc w:val="left"/>
        <w:rPr>
          <w:rFonts w:ascii="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485"/>
      </w:pPr>
      <w:r>
        <w:rPr>
          <w:spacing w:val="-6"/>
        </w:rPr>
        <w:t>用于了解学生的不同学习方式，根据学生的需要将教育与现实世界连接，通过角</w:t>
      </w:r>
      <w:r>
        <w:rPr>
          <w:spacing w:val="-7"/>
        </w:rPr>
        <w:t>色扮演，让学生学习和体验基本的工作技能、性格特征、情商、习惯和态度等， </w:t>
      </w:r>
      <w:r>
        <w:rPr/>
        <w:t>设想并构建一个美好的生活，</w:t>
      </w:r>
      <w:r>
        <w:rPr>
          <w:rFonts w:ascii="Times New Roman" w:eastAsia="Times New Roman"/>
          <w:position w:val="8"/>
          <w:sz w:val="15"/>
        </w:rPr>
        <w:t>[</w:t>
      </w:r>
      <w:hyperlink w:history="true" w:anchor="_bookmark172">
        <w:r>
          <w:rPr>
            <w:rFonts w:ascii="Times New Roman" w:eastAsia="Times New Roman"/>
            <w:position w:val="8"/>
            <w:sz w:val="15"/>
          </w:rPr>
          <w:t>1</w:t>
        </w:r>
      </w:hyperlink>
      <w:r>
        <w:rPr>
          <w:rFonts w:ascii="Times New Roman" w:eastAsia="Times New Roman"/>
          <w:position w:val="8"/>
          <w:sz w:val="15"/>
        </w:rPr>
        <w:t>]</w:t>
      </w:r>
      <w:r>
        <w:rPr/>
        <w:t>以帮助学生对机遇、挑战作出抉择，规划人生。</w:t>
      </w:r>
      <w:r>
        <w:rPr>
          <w:spacing w:val="-4"/>
        </w:rPr>
        <w:t>这个项目已成为国际上广泛认可的生涯规划教育项目，在加拿大，有一半的中小学已引进并使用该游戏。</w:t>
      </w:r>
    </w:p>
    <w:p>
      <w:pPr>
        <w:pStyle w:val="ListParagraph"/>
        <w:numPr>
          <w:ilvl w:val="4"/>
          <w:numId w:val="33"/>
        </w:numPr>
        <w:tabs>
          <w:tab w:pos="2280" w:val="left" w:leader="none"/>
        </w:tabs>
        <w:spacing w:line="240" w:lineRule="auto" w:before="3" w:after="0"/>
        <w:ind w:left="2280" w:right="0" w:hanging="960"/>
        <w:jc w:val="left"/>
        <w:rPr>
          <w:sz w:val="24"/>
        </w:rPr>
      </w:pPr>
      <w:r>
        <w:rPr>
          <w:sz w:val="24"/>
        </w:rPr>
        <w:t>生涯规划教育的体验式学习举例</w:t>
      </w:r>
    </w:p>
    <w:p>
      <w:pPr>
        <w:pStyle w:val="BodyText"/>
        <w:spacing w:line="364" w:lineRule="auto" w:before="160"/>
        <w:ind w:left="1320" w:right="1577" w:firstLine="480"/>
      </w:pPr>
      <w:r>
        <w:rPr>
          <w:spacing w:val="-6"/>
        </w:rPr>
        <w:t>以加拿大安大略省的生涯规划教育体验式学习为例，该省为高中学生提供了</w:t>
      </w:r>
      <w:r>
        <w:rPr/>
        <w:t>多元的体验式学习路径以及体验式学习形式。</w:t>
      </w:r>
    </w:p>
    <w:p>
      <w:pPr>
        <w:pStyle w:val="BodyText"/>
        <w:spacing w:before="2"/>
        <w:ind w:left="1800"/>
      </w:pPr>
      <w:r>
        <w:rPr/>
        <w:t>安大略省在 </w:t>
      </w:r>
      <w:r>
        <w:rPr>
          <w:rFonts w:ascii="Times New Roman" w:eastAsia="Times New Roman"/>
        </w:rPr>
        <w:t>2000 </w:t>
      </w:r>
      <w:r>
        <w:rPr/>
        <w:t>年颁布的《体验式学习的合作教育和其它形式》</w:t>
      </w:r>
    </w:p>
    <w:p>
      <w:pPr>
        <w:pStyle w:val="BodyText"/>
        <w:spacing w:line="364" w:lineRule="auto" w:before="160"/>
        <w:ind w:left="1320" w:right="1557"/>
        <w:jc w:val="both"/>
      </w:pPr>
      <w:r>
        <w:rPr>
          <w:spacing w:val="7"/>
        </w:rPr>
        <w:t>（</w:t>
      </w:r>
      <w:r>
        <w:rPr>
          <w:spacing w:val="4"/>
        </w:rPr>
        <w:t>《</w:t>
      </w:r>
      <w:r>
        <w:rPr>
          <w:rFonts w:ascii="Times New Roman" w:hAnsi="Times New Roman" w:eastAsia="Times New Roman"/>
        </w:rPr>
        <w:t>Cooperative Education and Other Forms of Experiential Learning</w:t>
      </w:r>
      <w:r>
        <w:rPr>
          <w:spacing w:val="7"/>
        </w:rPr>
        <w:t>》</w:t>
      </w:r>
      <w:r>
        <w:rPr>
          <w:spacing w:val="4"/>
        </w:rPr>
        <w:t>）文件中， </w:t>
      </w:r>
      <w:r>
        <w:rPr>
          <w:spacing w:val="-2"/>
        </w:rPr>
        <w:t>明确了体验式学习在生涯规划教育中的重要地位，指出“所有的体验式学习均是</w:t>
      </w:r>
      <w:r>
        <w:rPr>
          <w:spacing w:val="-9"/>
        </w:rPr>
        <w:t>对学生学术经验的补充，同时为其将来做准备。体验式学习可使学生的成长与发展获得最大化的发展。”</w:t>
      </w:r>
    </w:p>
    <w:p>
      <w:pPr>
        <w:pStyle w:val="BodyText"/>
        <w:spacing w:line="364" w:lineRule="auto" w:before="3"/>
        <w:ind w:left="1319" w:right="1457" w:firstLine="480"/>
        <w:rPr>
          <w:rFonts w:ascii="Times New Roman" w:hAnsi="Times New Roman" w:eastAsia="Times New Roman"/>
          <w:sz w:val="15"/>
        </w:rPr>
      </w:pPr>
      <w:r>
        <w:rPr>
          <w:spacing w:val="-5"/>
        </w:rPr>
        <w:t>安大略省的体验式学习以课堂外的体验为主，开发与设计了多元的体验式学习形式与项目，包括工作跟随（</w:t>
      </w:r>
      <w:r>
        <w:rPr>
          <w:rFonts w:ascii="Times New Roman" w:hAnsi="Times New Roman" w:eastAsia="Times New Roman"/>
          <w:spacing w:val="-5"/>
        </w:rPr>
        <w:t>Job Shadowing </w:t>
      </w:r>
      <w:r>
        <w:rPr/>
        <w:t>）、工作结对（</w:t>
      </w:r>
      <w:r>
        <w:rPr>
          <w:rFonts w:ascii="Times New Roman" w:hAnsi="Times New Roman" w:eastAsia="Times New Roman"/>
        </w:rPr>
        <w:t>Job </w:t>
      </w:r>
      <w:r>
        <w:rPr>
          <w:rFonts w:ascii="Times New Roman" w:hAnsi="Times New Roman" w:eastAsia="Times New Roman"/>
          <w:spacing w:val="-3"/>
        </w:rPr>
        <w:t>Twinning</w:t>
      </w:r>
      <w:r>
        <w:rPr>
          <w:spacing w:val="-3"/>
        </w:rPr>
        <w:t>）</w:t>
      </w:r>
      <w:r>
        <w:rPr/>
        <w:t>、职场经验学习</w:t>
      </w:r>
      <w:r>
        <w:rPr>
          <w:spacing w:val="-4"/>
        </w:rPr>
        <w:t>（</w:t>
      </w:r>
      <w:r>
        <w:rPr>
          <w:rFonts w:ascii="Times New Roman" w:hAnsi="Times New Roman" w:eastAsia="Times New Roman"/>
          <w:spacing w:val="-4"/>
        </w:rPr>
        <w:t>Work </w:t>
      </w:r>
      <w:r>
        <w:rPr>
          <w:rFonts w:ascii="Times New Roman" w:hAnsi="Times New Roman" w:eastAsia="Times New Roman"/>
        </w:rPr>
        <w:t>Experience</w:t>
      </w:r>
      <w:r>
        <w:rPr/>
        <w:t>）、虚拟职场经验（</w:t>
      </w:r>
      <w:r>
        <w:rPr>
          <w:rFonts w:ascii="Times New Roman" w:hAnsi="Times New Roman" w:eastAsia="Times New Roman"/>
        </w:rPr>
        <w:t>Virtual </w:t>
      </w:r>
      <w:r>
        <w:rPr>
          <w:rFonts w:ascii="Times New Roman" w:hAnsi="Times New Roman" w:eastAsia="Times New Roman"/>
          <w:spacing w:val="-6"/>
        </w:rPr>
        <w:t>Work </w:t>
      </w:r>
      <w:r>
        <w:rPr>
          <w:rFonts w:ascii="Times New Roman" w:hAnsi="Times New Roman" w:eastAsia="Times New Roman"/>
        </w:rPr>
        <w:t>Experience</w:t>
      </w:r>
      <w:r>
        <w:rPr/>
        <w:t>）、合作教育（</w:t>
      </w:r>
      <w:r>
        <w:rPr>
          <w:rFonts w:ascii="Times New Roman" w:hAnsi="Times New Roman" w:eastAsia="Times New Roman"/>
        </w:rPr>
        <w:t>Cooperative Education</w:t>
      </w:r>
      <w:r>
        <w:rPr/>
        <w:t>）、学校——工作过渡项目（</w:t>
      </w:r>
      <w:r>
        <w:rPr>
          <w:rFonts w:ascii="Times New Roman" w:hAnsi="Times New Roman" w:eastAsia="Times New Roman"/>
        </w:rPr>
        <w:t>School</w:t>
      </w:r>
      <w:r>
        <w:rPr/>
        <w:t>–</w:t>
      </w:r>
      <w:r>
        <w:rPr>
          <w:rFonts w:ascii="Times New Roman" w:hAnsi="Times New Roman" w:eastAsia="Times New Roman"/>
        </w:rPr>
        <w:t>Work Transition Programs</w:t>
      </w:r>
      <w:r>
        <w:rPr/>
        <w:t>）、安大略省青年学徒计划（</w:t>
      </w:r>
      <w:r>
        <w:rPr>
          <w:rFonts w:ascii="Times New Roman" w:hAnsi="Times New Roman" w:eastAsia="Times New Roman"/>
        </w:rPr>
        <w:t>Ontario </w:t>
      </w:r>
      <w:r>
        <w:rPr>
          <w:rFonts w:ascii="Times New Roman" w:hAnsi="Times New Roman" w:eastAsia="Times New Roman"/>
          <w:spacing w:val="-5"/>
        </w:rPr>
        <w:t>Youth </w:t>
      </w:r>
      <w:r>
        <w:rPr>
          <w:rFonts w:ascii="Times New Roman" w:hAnsi="Times New Roman" w:eastAsia="Times New Roman"/>
        </w:rPr>
        <w:t>Apprenticeship Program</w:t>
      </w:r>
      <w:r>
        <w:rPr/>
        <w:t>）。这些体验式学习共同构成了安大略省体验式学习计划，为学生发展</w:t>
      </w:r>
      <w:r>
        <w:rPr>
          <w:spacing w:val="-6"/>
        </w:rPr>
        <w:t>知识和技能提供了丰富、真实的学习机会，建立学习和生活世界、工作世界的联</w:t>
      </w:r>
      <w:r>
        <w:rPr>
          <w:spacing w:val="-15"/>
        </w:rPr>
        <w:t>系，促进了学生学习的迁移与应用，帮助学生做出生涯决策，如进入大学、学院、</w:t>
      </w:r>
      <w:r>
        <w:rPr>
          <w:spacing w:val="-7"/>
        </w:rPr>
        <w:t>职场或是做学徒等，有助于培养了学生生涯发展必备的知识、技能和态度。安大</w:t>
      </w:r>
      <w:r>
        <w:rPr>
          <w:spacing w:val="-11"/>
        </w:rPr>
        <w:t>略省的体验式学习形式，详见表 </w:t>
      </w:r>
      <w:r>
        <w:rPr>
          <w:rFonts w:ascii="Times New Roman" w:hAnsi="Times New Roman" w:eastAsia="Times New Roman"/>
        </w:rPr>
        <w:t>2.7</w:t>
      </w:r>
      <w:r>
        <w:rPr/>
        <w:t>：</w:t>
      </w:r>
      <w:r>
        <w:rPr>
          <w:rFonts w:ascii="Times New Roman" w:hAnsi="Times New Roman" w:eastAsia="Times New Roman"/>
          <w:position w:val="8"/>
          <w:sz w:val="15"/>
        </w:rPr>
        <w:t>[</w:t>
      </w:r>
      <w:hyperlink w:history="true" w:anchor="_bookmark173">
        <w:r>
          <w:rPr>
            <w:rFonts w:ascii="Times New Roman" w:hAnsi="Times New Roman" w:eastAsia="Times New Roman"/>
            <w:position w:val="8"/>
            <w:sz w:val="15"/>
          </w:rPr>
          <w:t>2</w:t>
        </w:r>
      </w:hyperlink>
      <w:r>
        <w:rPr>
          <w:rFonts w:ascii="Times New Roman" w:hAnsi="Times New Roman" w:eastAsia="Times New Roman"/>
          <w:position w:val="8"/>
          <w:sz w:val="15"/>
        </w:rPr>
        <w:t>]</w:t>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8"/>
        <w:rPr>
          <w:rFonts w:ascii="Times New Roman"/>
          <w:sz w:val="18"/>
        </w:rPr>
      </w:pPr>
      <w:r>
        <w:rPr/>
        <w:pict>
          <v:shape style="position:absolute;margin-left:90pt;margin-top:12.739805pt;width:144pt;height:.1pt;mso-position-horizontal-relative:page;mso-position-vertical-relative:paragraph;z-index:-251588608;mso-wrap-distance-left:0;mso-wrap-distance-right:0" coordorigin="1800,255" coordsize="2880,0" path="m1800,255l4680,255e" filled="false" stroked="true" strokeweight="0pt" strokecolor="#000000">
            <v:path arrowok="t"/>
            <v:stroke dashstyle="solid"/>
            <w10:wrap type="topAndBottom"/>
          </v:shape>
        </w:pict>
      </w:r>
    </w:p>
    <w:p>
      <w:pPr>
        <w:spacing w:line="396" w:lineRule="auto" w:before="107"/>
        <w:ind w:left="1320" w:right="1546" w:firstLine="0"/>
        <w:jc w:val="left"/>
        <w:rPr>
          <w:rFonts w:ascii="Times New Roman" w:hAnsi="Times New Roman"/>
          <w:sz w:val="18"/>
        </w:rPr>
      </w:pPr>
      <w:bookmarkStart w:name="_bookmark172" w:id="212"/>
      <w:bookmarkEnd w:id="212"/>
      <w:r>
        <w:rPr/>
      </w:r>
      <w:r>
        <w:rPr>
          <w:rFonts w:ascii="Times New Roman" w:hAnsi="Times New Roman"/>
          <w:position w:val="7"/>
          <w:sz w:val="13"/>
        </w:rPr>
        <w:t>[1] </w:t>
      </w:r>
      <w:r>
        <w:rPr>
          <w:rFonts w:ascii="Times New Roman" w:hAnsi="Times New Roman"/>
          <w:sz w:val="18"/>
        </w:rPr>
        <w:t>P Jarvis,M Gangitano.Real Game Series programs.real game’s philosophy.[EB/OL] .http://www.realgame. org/philosophy.html.2017-1-8.</w:t>
      </w:r>
    </w:p>
    <w:p>
      <w:pPr>
        <w:spacing w:line="206" w:lineRule="exact" w:before="0"/>
        <w:ind w:left="1320" w:right="0" w:firstLine="0"/>
        <w:jc w:val="left"/>
        <w:rPr>
          <w:rFonts w:ascii="Times New Roman"/>
          <w:sz w:val="18"/>
        </w:rPr>
      </w:pPr>
      <w:bookmarkStart w:name="_bookmark173" w:id="213"/>
      <w:bookmarkEnd w:id="213"/>
      <w:r>
        <w:rPr/>
      </w:r>
      <w:r>
        <w:rPr>
          <w:rFonts w:ascii="Times New Roman"/>
          <w:position w:val="7"/>
          <w:sz w:val="13"/>
        </w:rPr>
        <w:t>[2] </w:t>
      </w:r>
      <w:r>
        <w:rPr>
          <w:rFonts w:ascii="Times New Roman"/>
          <w:sz w:val="18"/>
        </w:rPr>
        <w:t>Ontario Ministry of Education.Cooperative Education and Other Forms of Experiential Learning.[EB/OL]</w:t>
      </w:r>
    </w:p>
    <w:p>
      <w:pPr>
        <w:spacing w:before="126"/>
        <w:ind w:left="1320" w:right="0" w:firstLine="0"/>
        <w:jc w:val="left"/>
        <w:rPr>
          <w:rFonts w:ascii="Times New Roman"/>
          <w:sz w:val="18"/>
        </w:rPr>
      </w:pPr>
      <w:hyperlink r:id="rId66">
        <w:r>
          <w:rPr>
            <w:rFonts w:ascii="Times New Roman"/>
            <w:sz w:val="18"/>
          </w:rPr>
          <w:t>.http://www.edu.gov.on.ca/eng/document/curricul/secondary/coop/cooped.pdf.2017-2-14.</w:t>
        </w:r>
      </w:hyperlink>
    </w:p>
    <w:p>
      <w:pPr>
        <w:spacing w:after="0"/>
        <w:jc w:val="left"/>
        <w:rPr>
          <w:rFonts w:ascii="Times New Roman"/>
          <w:sz w:val="18"/>
        </w:rPr>
        <w:sectPr>
          <w:pgSz w:w="11910" w:h="16840"/>
          <w:pgMar w:header="878" w:footer="1191" w:top="1300" w:bottom="1380" w:left="480" w:right="220"/>
        </w:sectPr>
      </w:pPr>
    </w:p>
    <w:p>
      <w:pPr>
        <w:pStyle w:val="BodyText"/>
        <w:spacing w:before="64"/>
        <w:ind w:left="594" w:right="525"/>
        <w:jc w:val="center"/>
      </w:pPr>
      <w:r>
        <w:rPr/>
        <w:t>表 </w:t>
      </w:r>
      <w:r>
        <w:rPr>
          <w:rFonts w:ascii="Times New Roman" w:eastAsia="Times New Roman"/>
        </w:rPr>
        <w:t>2.7 </w:t>
      </w:r>
      <w:r>
        <w:rPr/>
        <w:t>加拿大安大略省体验式学习形式及相关项目</w:t>
      </w:r>
    </w:p>
    <w:p>
      <w:pPr>
        <w:pStyle w:val="BodyText"/>
        <w:spacing w:before="7"/>
        <w:rPr>
          <w:sz w:val="14"/>
        </w:rPr>
      </w:pPr>
      <w:r>
        <w:rPr/>
        <w:pict>
          <v:shape style="position:absolute;margin-left:87.650002pt;margin-top:12.04836pt;width:418.5pt;height:.1pt;mso-position-horizontal-relative:page;mso-position-vertical-relative:paragraph;z-index:-251587584;mso-wrap-distance-left:0;mso-wrap-distance-right:0" coordorigin="1753,241" coordsize="8370,0" path="m1753,241l10123,241e" filled="false" stroked="true" strokeweight="1.44pt" strokecolor="#000000">
            <v:path arrowok="t"/>
            <v:stroke dashstyle="solid"/>
            <w10:wrap type="topAndBottom"/>
          </v:shape>
        </w:pict>
      </w:r>
    </w:p>
    <w:p>
      <w:pPr>
        <w:pStyle w:val="Heading3"/>
        <w:tabs>
          <w:tab w:pos="3055" w:val="left" w:leader="none"/>
          <w:tab w:pos="4663" w:val="left" w:leader="none"/>
          <w:tab w:pos="7418" w:val="left" w:leader="none"/>
        </w:tabs>
        <w:spacing w:line="336" w:lineRule="exact"/>
        <w:ind w:left="1864"/>
      </w:pPr>
      <w:r>
        <w:rPr/>
        <w:t>时长</w:t>
        <w:tab/>
        <w:t>学分</w:t>
        <w:tab/>
        <w:t>描述</w:t>
        <w:tab/>
        <w:t>关键要素</w:t>
      </w:r>
    </w:p>
    <w:tbl>
      <w:tblPr>
        <w:tblW w:w="0" w:type="auto"/>
        <w:jc w:val="left"/>
        <w:tblInd w:w="12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571"/>
        <w:gridCol w:w="633"/>
        <w:gridCol w:w="2618"/>
        <w:gridCol w:w="3556"/>
      </w:tblGrid>
      <w:tr>
        <w:trPr>
          <w:trHeight w:val="312" w:hRule="atLeast"/>
        </w:trPr>
        <w:tc>
          <w:tcPr>
            <w:tcW w:w="8378" w:type="dxa"/>
            <w:gridSpan w:val="4"/>
            <w:tcBorders>
              <w:top w:val="single" w:sz="12" w:space="0" w:color="000000"/>
              <w:bottom w:val="single" w:sz="12" w:space="0" w:color="000000"/>
            </w:tcBorders>
            <w:shd w:val="clear" w:color="auto" w:fill="252525"/>
          </w:tcPr>
          <w:p>
            <w:pPr>
              <w:pStyle w:val="TableParagraph"/>
              <w:spacing w:line="292" w:lineRule="exact"/>
              <w:ind w:left="123"/>
              <w:rPr>
                <w:rFonts w:ascii="Microsoft JhengHei" w:eastAsia="Microsoft JhengHei" w:hint="eastAsia"/>
                <w:b/>
                <w:sz w:val="24"/>
              </w:rPr>
            </w:pPr>
            <w:r>
              <w:rPr>
                <w:rFonts w:ascii="Microsoft JhengHei" w:eastAsia="Microsoft JhengHei" w:hint="eastAsia"/>
                <w:b/>
                <w:color w:val="FFFFFF"/>
                <w:sz w:val="24"/>
              </w:rPr>
              <w:t>工作跟随（如，带着孩子去工作）</w:t>
            </w:r>
          </w:p>
        </w:tc>
      </w:tr>
      <w:tr>
        <w:trPr>
          <w:trHeight w:val="1175" w:hRule="atLeast"/>
        </w:trPr>
        <w:tc>
          <w:tcPr>
            <w:tcW w:w="1571" w:type="dxa"/>
            <w:tcBorders>
              <w:top w:val="single" w:sz="12" w:space="0" w:color="000000"/>
              <w:bottom w:val="single" w:sz="12" w:space="0" w:color="000000"/>
            </w:tcBorders>
          </w:tcPr>
          <w:p>
            <w:pPr>
              <w:pStyle w:val="TableParagraph"/>
              <w:spacing w:line="242" w:lineRule="auto"/>
              <w:ind w:left="123" w:right="93"/>
              <w:jc w:val="both"/>
              <w:rPr>
                <w:sz w:val="24"/>
              </w:rPr>
            </w:pPr>
            <w:r>
              <w:rPr>
                <w:rFonts w:ascii="Times New Roman" w:hAnsi="Times New Roman" w:eastAsia="Times New Roman"/>
                <w:sz w:val="24"/>
              </w:rPr>
              <w:t>0.5</w:t>
            </w:r>
            <w:r>
              <w:rPr>
                <w:sz w:val="24"/>
              </w:rPr>
              <w:t>—</w:t>
            </w:r>
            <w:r>
              <w:rPr>
                <w:rFonts w:ascii="Times New Roman" w:hAnsi="Times New Roman" w:eastAsia="Times New Roman"/>
                <w:sz w:val="24"/>
              </w:rPr>
              <w:t>1 </w:t>
            </w:r>
            <w:r>
              <w:rPr>
                <w:spacing w:val="-87"/>
                <w:sz w:val="24"/>
              </w:rPr>
              <w:t>天</w:t>
            </w:r>
            <w:r>
              <w:rPr>
                <w:sz w:val="24"/>
              </w:rPr>
              <w:t>（</w:t>
            </w:r>
            <w:r>
              <w:rPr>
                <w:spacing w:val="-18"/>
                <w:sz w:val="24"/>
              </w:rPr>
              <w:t>一</w:t>
            </w:r>
            <w:r>
              <w:rPr>
                <w:spacing w:val="27"/>
                <w:sz w:val="24"/>
              </w:rPr>
              <w:t>些例子中增</w:t>
            </w:r>
            <w:r>
              <w:rPr>
                <w:spacing w:val="-30"/>
                <w:sz w:val="24"/>
              </w:rPr>
              <w:t>至 </w:t>
            </w:r>
            <w:r>
              <w:rPr>
                <w:rFonts w:ascii="Times New Roman" w:hAnsi="Times New Roman" w:eastAsia="Times New Roman"/>
                <w:sz w:val="24"/>
              </w:rPr>
              <w:t>3 </w:t>
            </w:r>
            <w:r>
              <w:rPr>
                <w:sz w:val="24"/>
              </w:rPr>
              <w:t>天）</w:t>
            </w:r>
          </w:p>
        </w:tc>
        <w:tc>
          <w:tcPr>
            <w:tcW w:w="633" w:type="dxa"/>
            <w:tcBorders>
              <w:top w:val="single" w:sz="12" w:space="0" w:color="000000"/>
              <w:bottom w:val="single" w:sz="12" w:space="0" w:color="000000"/>
            </w:tcBorders>
          </w:tcPr>
          <w:p>
            <w:pPr>
              <w:pStyle w:val="TableParagraph"/>
              <w:spacing w:line="304" w:lineRule="exact"/>
              <w:ind w:left="122"/>
              <w:rPr>
                <w:sz w:val="24"/>
              </w:rPr>
            </w:pPr>
            <w:r>
              <w:rPr>
                <w:sz w:val="24"/>
              </w:rPr>
              <w:t>无</w:t>
            </w:r>
          </w:p>
        </w:tc>
        <w:tc>
          <w:tcPr>
            <w:tcW w:w="2618" w:type="dxa"/>
            <w:tcBorders>
              <w:top w:val="single" w:sz="12" w:space="0" w:color="000000"/>
              <w:bottom w:val="single" w:sz="12" w:space="0" w:color="000000"/>
            </w:tcBorders>
          </w:tcPr>
          <w:p>
            <w:pPr>
              <w:pStyle w:val="TableParagraph"/>
              <w:spacing w:line="242" w:lineRule="auto"/>
              <w:ind w:left="297" w:right="158"/>
              <w:rPr>
                <w:sz w:val="24"/>
              </w:rPr>
            </w:pPr>
            <w:r>
              <w:rPr>
                <w:sz w:val="24"/>
              </w:rPr>
              <w:t>一对一观察在职场工作的员工</w:t>
            </w:r>
          </w:p>
        </w:tc>
        <w:tc>
          <w:tcPr>
            <w:tcW w:w="3556" w:type="dxa"/>
            <w:tcBorders>
              <w:top w:val="single" w:sz="12" w:space="0" w:color="000000"/>
              <w:bottom w:val="single" w:sz="12" w:space="0" w:color="000000"/>
            </w:tcBorders>
          </w:tcPr>
          <w:p>
            <w:pPr>
              <w:pStyle w:val="TableParagraph"/>
              <w:numPr>
                <w:ilvl w:val="0"/>
                <w:numId w:val="35"/>
              </w:numPr>
              <w:tabs>
                <w:tab w:pos="793" w:val="left" w:leader="none"/>
              </w:tabs>
              <w:spacing w:line="242" w:lineRule="auto" w:before="0" w:after="0"/>
              <w:ind w:left="185" w:right="97" w:firstLine="0"/>
              <w:jc w:val="left"/>
              <w:rPr>
                <w:sz w:val="24"/>
              </w:rPr>
            </w:pPr>
            <w:r>
              <w:rPr>
                <w:spacing w:val="-2"/>
                <w:sz w:val="24"/>
              </w:rPr>
              <w:t>与特定职业的员工进行配</w:t>
            </w:r>
            <w:r>
              <w:rPr>
                <w:sz w:val="24"/>
              </w:rPr>
              <w:t>对</w:t>
            </w:r>
          </w:p>
          <w:p>
            <w:pPr>
              <w:pStyle w:val="TableParagraph"/>
              <w:numPr>
                <w:ilvl w:val="0"/>
                <w:numId w:val="35"/>
              </w:numPr>
              <w:tabs>
                <w:tab w:pos="787" w:val="left" w:leader="none"/>
              </w:tabs>
              <w:spacing w:line="240" w:lineRule="auto" w:before="0" w:after="0"/>
              <w:ind w:left="786" w:right="0" w:hanging="602"/>
              <w:jc w:val="left"/>
              <w:rPr>
                <w:sz w:val="24"/>
              </w:rPr>
            </w:pPr>
            <w:r>
              <w:rPr>
                <w:sz w:val="24"/>
              </w:rPr>
              <w:t>与学分课程结合</w:t>
            </w:r>
          </w:p>
        </w:tc>
      </w:tr>
      <w:tr>
        <w:trPr>
          <w:trHeight w:val="312" w:hRule="atLeast"/>
        </w:trPr>
        <w:tc>
          <w:tcPr>
            <w:tcW w:w="1571" w:type="dxa"/>
            <w:tcBorders>
              <w:top w:val="single" w:sz="12" w:space="0" w:color="000000"/>
              <w:bottom w:val="single" w:sz="12" w:space="0" w:color="000000"/>
            </w:tcBorders>
            <w:shd w:val="clear" w:color="auto" w:fill="252525"/>
          </w:tcPr>
          <w:p>
            <w:pPr>
              <w:pStyle w:val="TableParagraph"/>
              <w:spacing w:line="292" w:lineRule="exact"/>
              <w:ind w:left="123"/>
              <w:rPr>
                <w:rFonts w:ascii="Microsoft JhengHei" w:eastAsia="Microsoft JhengHei" w:hint="eastAsia"/>
                <w:b/>
                <w:sz w:val="24"/>
              </w:rPr>
            </w:pPr>
            <w:r>
              <w:rPr>
                <w:rFonts w:ascii="Microsoft JhengHei" w:eastAsia="Microsoft JhengHei" w:hint="eastAsia"/>
                <w:b/>
                <w:color w:val="FFFFFF"/>
                <w:sz w:val="24"/>
              </w:rPr>
              <w:t>工作结对</w:t>
            </w:r>
          </w:p>
        </w:tc>
        <w:tc>
          <w:tcPr>
            <w:tcW w:w="633" w:type="dxa"/>
            <w:tcBorders>
              <w:top w:val="single" w:sz="12" w:space="0" w:color="000000"/>
              <w:bottom w:val="single" w:sz="12" w:space="0" w:color="000000"/>
            </w:tcBorders>
            <w:shd w:val="clear" w:color="auto" w:fill="252525"/>
          </w:tcPr>
          <w:p>
            <w:pPr>
              <w:pStyle w:val="TableParagraph"/>
              <w:rPr>
                <w:rFonts w:ascii="Times New Roman"/>
                <w:sz w:val="22"/>
              </w:rPr>
            </w:pPr>
          </w:p>
        </w:tc>
        <w:tc>
          <w:tcPr>
            <w:tcW w:w="2618" w:type="dxa"/>
            <w:tcBorders>
              <w:top w:val="single" w:sz="12" w:space="0" w:color="000000"/>
              <w:bottom w:val="single" w:sz="12" w:space="0" w:color="000000"/>
            </w:tcBorders>
            <w:shd w:val="clear" w:color="auto" w:fill="252525"/>
          </w:tcPr>
          <w:p>
            <w:pPr>
              <w:pStyle w:val="TableParagraph"/>
              <w:rPr>
                <w:rFonts w:ascii="Times New Roman"/>
                <w:sz w:val="22"/>
              </w:rPr>
            </w:pPr>
          </w:p>
        </w:tc>
        <w:tc>
          <w:tcPr>
            <w:tcW w:w="3556" w:type="dxa"/>
            <w:tcBorders>
              <w:top w:val="single" w:sz="12" w:space="0" w:color="000000"/>
              <w:bottom w:val="single" w:sz="12" w:space="0" w:color="000000"/>
            </w:tcBorders>
            <w:shd w:val="clear" w:color="auto" w:fill="252525"/>
          </w:tcPr>
          <w:p>
            <w:pPr>
              <w:pStyle w:val="TableParagraph"/>
              <w:rPr>
                <w:rFonts w:ascii="Times New Roman"/>
                <w:sz w:val="22"/>
              </w:rPr>
            </w:pPr>
          </w:p>
        </w:tc>
      </w:tr>
    </w:tbl>
    <w:p>
      <w:pPr>
        <w:spacing w:after="0"/>
        <w:rPr>
          <w:rFonts w:ascii="Times New Roman"/>
          <w:sz w:val="22"/>
        </w:rPr>
        <w:sectPr>
          <w:pgSz w:w="11910" w:h="16840"/>
          <w:pgMar w:header="878" w:footer="1191" w:top="1300" w:bottom="1380" w:left="480" w:right="220"/>
        </w:sectPr>
      </w:pPr>
    </w:p>
    <w:p>
      <w:pPr>
        <w:pStyle w:val="BodyText"/>
        <w:tabs>
          <w:tab w:pos="3124" w:val="left" w:leader="none"/>
          <w:tab w:pos="3758" w:val="left" w:leader="none"/>
        </w:tabs>
        <w:spacing w:line="290" w:lineRule="exact"/>
        <w:ind w:left="1576"/>
      </w:pPr>
      <w:r>
        <w:rPr>
          <w:rFonts w:ascii="Times New Roman" w:hAnsi="Times New Roman" w:eastAsia="Times New Roman"/>
        </w:rPr>
        <w:t>0.5</w:t>
      </w:r>
      <w:r>
        <w:rPr/>
        <w:t>—</w:t>
      </w:r>
      <w:r>
        <w:rPr>
          <w:rFonts w:ascii="Times New Roman" w:hAnsi="Times New Roman" w:eastAsia="Times New Roman"/>
        </w:rPr>
        <w:t>1 </w:t>
      </w:r>
      <w:r>
        <w:rPr/>
        <w:t>天</w:t>
        <w:tab/>
        <w:t>无</w:t>
        <w:tab/>
      </w:r>
      <w:r>
        <w:rPr>
          <w:spacing w:val="16"/>
        </w:rPr>
        <w:t>一</w:t>
      </w:r>
      <w:r>
        <w:rPr>
          <w:spacing w:val="14"/>
        </w:rPr>
        <w:t>对</w:t>
      </w:r>
      <w:r>
        <w:rPr>
          <w:spacing w:val="16"/>
        </w:rPr>
        <w:t>一观察</w:t>
      </w:r>
      <w:r>
        <w:rPr>
          <w:spacing w:val="14"/>
        </w:rPr>
        <w:t>参</w:t>
      </w:r>
      <w:r>
        <w:rPr>
          <w:spacing w:val="16"/>
        </w:rPr>
        <w:t>与合</w:t>
      </w:r>
      <w:r>
        <w:rPr>
          <w:spacing w:val="-14"/>
        </w:rPr>
        <w:t>作</w:t>
      </w:r>
    </w:p>
    <w:p>
      <w:pPr>
        <w:pStyle w:val="BodyText"/>
        <w:spacing w:before="4"/>
        <w:ind w:left="3758"/>
      </w:pPr>
      <w:r>
        <w:rPr/>
        <w:pict>
          <v:rect style="position:absolute;margin-left:87.650002pt;margin-top:30.630005pt;width:418.5pt;height:1.44pt;mso-position-horizontal-relative:page;mso-position-vertical-relative:paragraph;z-index:251735040" filled="true" fillcolor="#000000" stroked="false">
            <v:fill type="solid"/>
            <w10:wrap type="none"/>
          </v:rect>
        </w:pict>
      </w:r>
      <w:r>
        <w:rPr/>
        <w:t>教育在岗情况</w:t>
      </w:r>
    </w:p>
    <w:p>
      <w:pPr>
        <w:pStyle w:val="ListParagraph"/>
        <w:numPr>
          <w:ilvl w:val="0"/>
          <w:numId w:val="36"/>
        </w:numPr>
        <w:tabs>
          <w:tab w:pos="777" w:val="left" w:leader="none"/>
        </w:tabs>
        <w:spacing w:line="290" w:lineRule="exact" w:before="0" w:after="0"/>
        <w:ind w:left="777" w:right="0" w:hanging="602"/>
        <w:jc w:val="left"/>
        <w:rPr>
          <w:sz w:val="24"/>
        </w:rPr>
      </w:pPr>
      <w:r>
        <w:rPr>
          <w:sz w:val="24"/>
        </w:rPr>
        <w:br w:type="column"/>
        <w:t>与合作教育学生结对</w:t>
      </w:r>
    </w:p>
    <w:p>
      <w:pPr>
        <w:pStyle w:val="ListParagraph"/>
        <w:numPr>
          <w:ilvl w:val="0"/>
          <w:numId w:val="36"/>
        </w:numPr>
        <w:tabs>
          <w:tab w:pos="777" w:val="left" w:leader="none"/>
        </w:tabs>
        <w:spacing w:line="240" w:lineRule="auto" w:before="4" w:after="0"/>
        <w:ind w:left="777" w:right="0" w:hanging="602"/>
        <w:jc w:val="left"/>
        <w:rPr>
          <w:sz w:val="24"/>
        </w:rPr>
      </w:pPr>
      <w:r>
        <w:rPr>
          <w:sz w:val="24"/>
        </w:rPr>
        <w:t>与学分课程相整合</w:t>
      </w:r>
    </w:p>
    <w:p>
      <w:pPr>
        <w:spacing w:after="0" w:line="240" w:lineRule="auto"/>
        <w:jc w:val="left"/>
        <w:rPr>
          <w:sz w:val="24"/>
        </w:rPr>
        <w:sectPr>
          <w:type w:val="continuous"/>
          <w:pgSz w:w="11910" w:h="16840"/>
          <w:pgMar w:top="1580" w:bottom="280" w:left="480" w:right="220"/>
          <w:cols w:num="2" w:equalWidth="0">
            <w:col w:w="6049" w:space="40"/>
            <w:col w:w="5121"/>
          </w:cols>
        </w:sectPr>
      </w:pPr>
    </w:p>
    <w:p>
      <w:pPr>
        <w:pStyle w:val="BodyText"/>
        <w:spacing w:before="10"/>
        <w:rPr>
          <w:sz w:val="25"/>
        </w:rPr>
      </w:pPr>
    </w:p>
    <w:p>
      <w:pPr>
        <w:pStyle w:val="BodyText"/>
        <w:ind w:left="1271"/>
        <w:rPr>
          <w:sz w:val="20"/>
        </w:rPr>
      </w:pPr>
      <w:r>
        <w:rPr>
          <w:sz w:val="20"/>
        </w:rPr>
        <w:pict>
          <v:shape style="width:418.75pt;height:15.7pt;mso-position-horizontal-relative:char;mso-position-vertical-relative:line" type="#_x0000_t202" filled="true" fillcolor="#252525" stroked="false">
            <w10:anchorlock/>
            <v:textbox inset="0,0,0,0">
              <w:txbxContent>
                <w:p>
                  <w:pPr>
                    <w:spacing w:line="313" w:lineRule="exact" w:before="0"/>
                    <w:ind w:left="109" w:right="0" w:firstLine="0"/>
                    <w:jc w:val="left"/>
                    <w:rPr>
                      <w:rFonts w:ascii="Microsoft JhengHei" w:eastAsia="Microsoft JhengHei" w:hint="eastAsia"/>
                      <w:b/>
                      <w:sz w:val="24"/>
                    </w:rPr>
                  </w:pPr>
                  <w:r>
                    <w:rPr>
                      <w:rFonts w:ascii="Microsoft JhengHei" w:eastAsia="Microsoft JhengHei" w:hint="eastAsia"/>
                      <w:b/>
                      <w:color w:val="FFFFFF"/>
                      <w:sz w:val="24"/>
                    </w:rPr>
                    <w:t>职场经验学习</w:t>
                  </w:r>
                </w:p>
              </w:txbxContent>
            </v:textbox>
            <v:fill type="solid"/>
          </v:shape>
        </w:pict>
      </w:r>
      <w:r>
        <w:rPr>
          <w:sz w:val="20"/>
        </w:rPr>
      </w:r>
    </w:p>
    <w:p>
      <w:pPr>
        <w:spacing w:after="0"/>
        <w:rPr>
          <w:sz w:val="20"/>
        </w:rPr>
        <w:sectPr>
          <w:type w:val="continuous"/>
          <w:pgSz w:w="11910" w:h="16840"/>
          <w:pgMar w:top="1580" w:bottom="280" w:left="480" w:right="220"/>
        </w:sectPr>
      </w:pPr>
    </w:p>
    <w:p>
      <w:pPr>
        <w:pStyle w:val="BodyText"/>
        <w:tabs>
          <w:tab w:pos="3124" w:val="left" w:leader="none"/>
          <w:tab w:pos="3758" w:val="left" w:leader="none"/>
        </w:tabs>
        <w:spacing w:before="16"/>
        <w:ind w:left="1668"/>
      </w:pPr>
      <w:r>
        <w:rPr/>
        <w:pict>
          <v:rect style="position:absolute;margin-left:87.650002pt;margin-top:-.870007pt;width:418.5pt;height:1.44pt;mso-position-horizontal-relative:page;mso-position-vertical-relative:paragraph;z-index:251736064" filled="true" fillcolor="#000000" stroked="false">
            <v:fill type="solid"/>
            <w10:wrap type="none"/>
          </v:rect>
        </w:pict>
      </w:r>
      <w:r>
        <w:rPr>
          <w:rFonts w:ascii="Times New Roman" w:hAnsi="Times New Roman" w:eastAsia="Times New Roman"/>
        </w:rPr>
        <w:t>1</w:t>
      </w:r>
      <w:r>
        <w:rPr/>
        <w:t>—</w:t>
      </w:r>
      <w:r>
        <w:rPr>
          <w:rFonts w:ascii="Times New Roman" w:hAnsi="Times New Roman" w:eastAsia="Times New Roman"/>
        </w:rPr>
        <w:t>4 </w:t>
      </w:r>
      <w:r>
        <w:rPr/>
        <w:t>周</w:t>
        <w:tab/>
        <w:t>无</w:t>
        <w:tab/>
        <w:t>一个计划学习机会</w:t>
      </w:r>
      <w:r>
        <w:rPr>
          <w:spacing w:val="-111"/>
        </w:rPr>
        <w:t>，</w:t>
      </w:r>
      <w:r>
        <w:rPr>
          <w:spacing w:val="-19"/>
        </w:rPr>
        <w:t>提</w:t>
      </w:r>
    </w:p>
    <w:p>
      <w:pPr>
        <w:pStyle w:val="BodyText"/>
        <w:spacing w:line="242" w:lineRule="auto" w:before="5"/>
        <w:ind w:left="3758"/>
        <w:rPr>
          <w:rFonts w:ascii="Times New Roman" w:eastAsia="Times New Roman"/>
        </w:rPr>
      </w:pPr>
      <w:r>
        <w:rPr/>
        <w:t>供学生相对短期的工</w:t>
      </w:r>
      <w:r>
        <w:rPr>
          <w:spacing w:val="-16"/>
        </w:rPr>
        <w:t>作体验，通常在 </w:t>
      </w:r>
      <w:r>
        <w:rPr>
          <w:rFonts w:ascii="Times New Roman" w:eastAsia="Times New Roman"/>
        </w:rPr>
        <w:t>1 </w:t>
      </w:r>
      <w:r>
        <w:rPr>
          <w:spacing w:val="-30"/>
        </w:rPr>
        <w:t>至 </w:t>
      </w:r>
      <w:r>
        <w:rPr>
          <w:rFonts w:ascii="Times New Roman" w:eastAsia="Times New Roman"/>
          <w:spacing w:val="-19"/>
        </w:rPr>
        <w:t>2</w:t>
      </w:r>
    </w:p>
    <w:p>
      <w:pPr>
        <w:pStyle w:val="BodyText"/>
        <w:spacing w:before="3"/>
        <w:ind w:left="3758"/>
      </w:pPr>
      <w:r>
        <w:rPr/>
        <w:t>周，不超过 </w:t>
      </w:r>
      <w:r>
        <w:rPr>
          <w:rFonts w:ascii="Times New Roman" w:eastAsia="Times New Roman"/>
        </w:rPr>
        <w:t>4 </w:t>
      </w:r>
      <w:r>
        <w:rPr/>
        <w:t>周</w:t>
      </w:r>
    </w:p>
    <w:p>
      <w:pPr>
        <w:pStyle w:val="BodyText"/>
        <w:spacing w:line="242" w:lineRule="auto" w:before="16"/>
        <w:ind w:left="175" w:right="1668"/>
      </w:pPr>
      <w:r>
        <w:rPr/>
        <w:br w:type="column"/>
      </w:r>
      <w:r>
        <w:rPr/>
        <w:t>（</w:t>
      </w:r>
      <w:r>
        <w:rPr>
          <w:rFonts w:ascii="Times New Roman" w:eastAsia="Times New Roman"/>
        </w:rPr>
        <w:t>1</w:t>
      </w:r>
      <w:r>
        <w:rPr/>
        <w:t>）包括一个短期的，与课程主题相关的工作</w:t>
      </w:r>
    </w:p>
    <w:p>
      <w:pPr>
        <w:pStyle w:val="ListParagraph"/>
        <w:numPr>
          <w:ilvl w:val="0"/>
          <w:numId w:val="37"/>
        </w:numPr>
        <w:tabs>
          <w:tab w:pos="777" w:val="left" w:leader="none"/>
        </w:tabs>
        <w:spacing w:line="240" w:lineRule="auto" w:before="3" w:after="0"/>
        <w:ind w:left="777" w:right="0" w:hanging="602"/>
        <w:jc w:val="left"/>
        <w:rPr>
          <w:sz w:val="24"/>
        </w:rPr>
      </w:pPr>
      <w:r>
        <w:rPr>
          <w:sz w:val="24"/>
        </w:rPr>
        <w:t>与具体学分课程结合</w:t>
      </w:r>
    </w:p>
    <w:p>
      <w:pPr>
        <w:pStyle w:val="ListParagraph"/>
        <w:numPr>
          <w:ilvl w:val="0"/>
          <w:numId w:val="37"/>
        </w:numPr>
        <w:tabs>
          <w:tab w:pos="777" w:val="left" w:leader="none"/>
        </w:tabs>
        <w:spacing w:line="240" w:lineRule="auto" w:before="5" w:after="0"/>
        <w:ind w:left="777" w:right="0" w:hanging="602"/>
        <w:jc w:val="left"/>
        <w:rPr>
          <w:sz w:val="24"/>
        </w:rPr>
      </w:pPr>
      <w:r>
        <w:rPr>
          <w:sz w:val="24"/>
        </w:rPr>
        <w:t>需职前指导和学习计划</w:t>
      </w:r>
    </w:p>
    <w:p>
      <w:pPr>
        <w:spacing w:after="0" w:line="240" w:lineRule="auto"/>
        <w:jc w:val="left"/>
        <w:rPr>
          <w:sz w:val="24"/>
        </w:rPr>
        <w:sectPr>
          <w:type w:val="continuous"/>
          <w:pgSz w:w="11910" w:h="16840"/>
          <w:pgMar w:top="1580" w:bottom="280" w:left="480" w:right="220"/>
          <w:cols w:num="2" w:equalWidth="0">
            <w:col w:w="6049" w:space="40"/>
            <w:col w:w="5121"/>
          </w:cols>
        </w:sectPr>
      </w:pPr>
    </w:p>
    <w:p>
      <w:pPr>
        <w:pStyle w:val="BodyText"/>
        <w:rPr>
          <w:sz w:val="20"/>
        </w:rPr>
      </w:pPr>
    </w:p>
    <w:p>
      <w:pPr>
        <w:pStyle w:val="BodyText"/>
        <w:spacing w:before="10"/>
        <w:rPr>
          <w:sz w:val="19"/>
        </w:rPr>
      </w:pPr>
    </w:p>
    <w:p>
      <w:pPr>
        <w:pStyle w:val="BodyText"/>
        <w:ind w:left="1271"/>
        <w:rPr>
          <w:sz w:val="20"/>
        </w:rPr>
      </w:pPr>
      <w:r>
        <w:rPr>
          <w:sz w:val="20"/>
        </w:rPr>
        <w:pict>
          <v:shape style="width:418.75pt;height:15.7pt;mso-position-horizontal-relative:char;mso-position-vertical-relative:line" type="#_x0000_t202" filled="true" fillcolor="#252525" stroked="false">
            <w10:anchorlock/>
            <v:textbox inset="0,0,0,0">
              <w:txbxContent>
                <w:p>
                  <w:pPr>
                    <w:spacing w:line="313" w:lineRule="exact" w:before="0"/>
                    <w:ind w:left="109" w:right="0" w:firstLine="0"/>
                    <w:jc w:val="left"/>
                    <w:rPr>
                      <w:rFonts w:ascii="Microsoft JhengHei" w:eastAsia="Microsoft JhengHei" w:hint="eastAsia"/>
                      <w:b/>
                      <w:sz w:val="24"/>
                    </w:rPr>
                  </w:pPr>
                  <w:r>
                    <w:rPr>
                      <w:rFonts w:ascii="Microsoft JhengHei" w:eastAsia="Microsoft JhengHei" w:hint="eastAsia"/>
                      <w:b/>
                      <w:color w:val="FFFFFF"/>
                      <w:sz w:val="24"/>
                    </w:rPr>
                    <w:t>虚拟职场经验</w:t>
                  </w:r>
                </w:p>
              </w:txbxContent>
            </v:textbox>
            <v:fill type="solid"/>
          </v:shape>
        </w:pict>
      </w:r>
      <w:r>
        <w:rPr>
          <w:sz w:val="20"/>
        </w:rPr>
      </w:r>
    </w:p>
    <w:p>
      <w:pPr>
        <w:spacing w:after="0"/>
        <w:rPr>
          <w:sz w:val="20"/>
        </w:rPr>
        <w:sectPr>
          <w:type w:val="continuous"/>
          <w:pgSz w:w="11910" w:h="16840"/>
          <w:pgMar w:top="1580" w:bottom="280" w:left="480" w:right="220"/>
        </w:sectPr>
      </w:pPr>
    </w:p>
    <w:p>
      <w:pPr>
        <w:pStyle w:val="BodyText"/>
        <w:tabs>
          <w:tab w:pos="3124" w:val="left" w:leader="none"/>
          <w:tab w:pos="3758" w:val="left" w:leader="none"/>
        </w:tabs>
        <w:spacing w:before="16"/>
        <w:ind w:left="1668"/>
      </w:pPr>
      <w:r>
        <w:rPr/>
        <w:pict>
          <v:rect style="position:absolute;margin-left:87.650002pt;margin-top:-17.969pt;width:418.5pt;height:1.44pt;mso-position-horizontal-relative:page;mso-position-vertical-relative:paragraph;z-index:251737088" filled="true" fillcolor="#000000" stroked="false">
            <v:fill type="solid"/>
            <w10:wrap type="none"/>
          </v:rect>
        </w:pict>
      </w:r>
      <w:r>
        <w:rPr/>
        <w:pict>
          <v:rect style="position:absolute;margin-left:87.650002pt;margin-top:-.869pt;width:418.5pt;height:1.44pt;mso-position-horizontal-relative:page;mso-position-vertical-relative:paragraph;z-index:251738112" filled="true" fillcolor="#000000" stroked="false">
            <v:fill type="solid"/>
            <w10:wrap type="none"/>
          </v:rect>
        </w:pict>
      </w:r>
      <w:r>
        <w:rPr>
          <w:rFonts w:ascii="Times New Roman" w:hAnsi="Times New Roman" w:eastAsia="Times New Roman"/>
        </w:rPr>
        <w:t>1</w:t>
      </w:r>
      <w:r>
        <w:rPr/>
        <w:t>—</w:t>
      </w:r>
      <w:r>
        <w:rPr>
          <w:rFonts w:ascii="Times New Roman" w:hAnsi="Times New Roman" w:eastAsia="Times New Roman"/>
        </w:rPr>
        <w:t>4 </w:t>
      </w:r>
      <w:r>
        <w:rPr/>
        <w:t>周</w:t>
        <w:tab/>
        <w:t>无</w:t>
        <w:tab/>
        <w:t>与任何学分课程相</w:t>
      </w:r>
      <w:r>
        <w:rPr>
          <w:spacing w:val="-20"/>
        </w:rPr>
        <w:t>结</w:t>
      </w:r>
    </w:p>
    <w:p>
      <w:pPr>
        <w:pStyle w:val="BodyText"/>
        <w:spacing w:line="242" w:lineRule="auto" w:before="5"/>
        <w:ind w:left="3758"/>
      </w:pPr>
      <w:r>
        <w:rPr/>
        <w:pict>
          <v:rect style="position:absolute;margin-left:87.650002pt;margin-top:102.680992pt;width:418.5pt;height:1.44pt;mso-position-horizontal-relative:page;mso-position-vertical-relative:paragraph;z-index:251739136" filled="true" fillcolor="#000000" stroked="false">
            <v:fill type="solid"/>
            <w10:wrap type="none"/>
          </v:rect>
        </w:pict>
      </w:r>
      <w:r>
        <w:rPr>
          <w:spacing w:val="-3"/>
        </w:rPr>
        <w:t>合，主要为接受特殊教育项目、服务以及</w:t>
      </w:r>
      <w:r>
        <w:rPr/>
        <w:t>偏远地区的学生开 </w:t>
      </w:r>
      <w:r>
        <w:rPr>
          <w:spacing w:val="-3"/>
        </w:rPr>
        <w:t>设，提供比当地职场学习更广泛的教育资</w:t>
      </w:r>
      <w:r>
        <w:rPr/>
        <w:t>源。</w:t>
      </w:r>
    </w:p>
    <w:p>
      <w:pPr>
        <w:pStyle w:val="ListParagraph"/>
        <w:numPr>
          <w:ilvl w:val="1"/>
          <w:numId w:val="37"/>
        </w:numPr>
        <w:tabs>
          <w:tab w:pos="861" w:val="left" w:leader="none"/>
        </w:tabs>
        <w:spacing w:line="242" w:lineRule="auto" w:before="16" w:after="0"/>
        <w:ind w:left="259" w:right="1668" w:firstLine="0"/>
        <w:jc w:val="both"/>
        <w:rPr>
          <w:sz w:val="24"/>
        </w:rPr>
      </w:pPr>
      <w:r>
        <w:rPr>
          <w:spacing w:val="36"/>
          <w:sz w:val="24"/>
        </w:rPr>
        <w:br w:type="column"/>
      </w:r>
      <w:r>
        <w:rPr>
          <w:spacing w:val="28"/>
          <w:sz w:val="24"/>
        </w:rPr>
        <w:t>通过使用电脑软件和网</w:t>
      </w:r>
      <w:r>
        <w:rPr>
          <w:spacing w:val="-8"/>
          <w:sz w:val="24"/>
        </w:rPr>
        <w:t>络，获得一个短期的，与课程主</w:t>
      </w:r>
      <w:r>
        <w:rPr>
          <w:sz w:val="24"/>
        </w:rPr>
        <w:t>题相关的虚拟职场体验</w:t>
      </w:r>
    </w:p>
    <w:p>
      <w:pPr>
        <w:pStyle w:val="ListParagraph"/>
        <w:numPr>
          <w:ilvl w:val="1"/>
          <w:numId w:val="37"/>
        </w:numPr>
        <w:tabs>
          <w:tab w:pos="861" w:val="left" w:leader="none"/>
        </w:tabs>
        <w:spacing w:line="240" w:lineRule="auto" w:before="5" w:after="0"/>
        <w:ind w:left="861" w:right="0" w:hanging="602"/>
        <w:jc w:val="left"/>
        <w:rPr>
          <w:sz w:val="24"/>
        </w:rPr>
      </w:pPr>
      <w:r>
        <w:rPr>
          <w:sz w:val="24"/>
        </w:rPr>
        <w:t>与具体学分课程相整合</w:t>
      </w:r>
    </w:p>
    <w:p>
      <w:pPr>
        <w:pStyle w:val="ListParagraph"/>
        <w:numPr>
          <w:ilvl w:val="1"/>
          <w:numId w:val="37"/>
        </w:numPr>
        <w:tabs>
          <w:tab w:pos="861" w:val="left" w:leader="none"/>
        </w:tabs>
        <w:spacing w:line="240" w:lineRule="auto" w:before="4" w:after="0"/>
        <w:ind w:left="861" w:right="0" w:hanging="602"/>
        <w:jc w:val="left"/>
        <w:rPr>
          <w:sz w:val="24"/>
        </w:rPr>
      </w:pPr>
      <w:r>
        <w:rPr>
          <w:sz w:val="24"/>
        </w:rPr>
        <w:t>需职前指导和学习计划</w:t>
      </w:r>
    </w:p>
    <w:p>
      <w:pPr>
        <w:spacing w:after="0" w:line="240" w:lineRule="auto"/>
        <w:jc w:val="left"/>
        <w:rPr>
          <w:sz w:val="24"/>
        </w:rPr>
        <w:sectPr>
          <w:type w:val="continuous"/>
          <w:pgSz w:w="11910" w:h="16840"/>
          <w:pgMar w:top="1580" w:bottom="280" w:left="480" w:right="220"/>
          <w:cols w:num="2" w:equalWidth="0">
            <w:col w:w="5919" w:space="40"/>
            <w:col w:w="5251"/>
          </w:cols>
        </w:sectPr>
      </w:pPr>
    </w:p>
    <w:p>
      <w:pPr>
        <w:pStyle w:val="BodyText"/>
        <w:spacing w:before="9"/>
        <w:rPr>
          <w:sz w:val="16"/>
        </w:rPr>
      </w:pPr>
    </w:p>
    <w:p>
      <w:pPr>
        <w:pStyle w:val="BodyText"/>
        <w:ind w:left="1271"/>
        <w:rPr>
          <w:sz w:val="20"/>
        </w:rPr>
      </w:pPr>
      <w:r>
        <w:rPr>
          <w:sz w:val="20"/>
        </w:rPr>
        <w:pict>
          <v:shape style="width:418.75pt;height:15.7pt;mso-position-horizontal-relative:char;mso-position-vertical-relative:line" type="#_x0000_t202" filled="true" fillcolor="#252525" stroked="false">
            <w10:anchorlock/>
            <v:textbox inset="0,0,0,0">
              <w:txbxContent>
                <w:p>
                  <w:pPr>
                    <w:spacing w:line="313" w:lineRule="exact" w:before="0"/>
                    <w:ind w:left="109" w:right="0" w:firstLine="0"/>
                    <w:jc w:val="left"/>
                    <w:rPr>
                      <w:rFonts w:ascii="Microsoft JhengHei" w:eastAsia="Microsoft JhengHei" w:hint="eastAsia"/>
                      <w:b/>
                      <w:sz w:val="24"/>
                    </w:rPr>
                  </w:pPr>
                  <w:r>
                    <w:rPr>
                      <w:rFonts w:ascii="Microsoft JhengHei" w:eastAsia="Microsoft JhengHei" w:hint="eastAsia"/>
                      <w:b/>
                      <w:color w:val="FFFFFF"/>
                      <w:sz w:val="24"/>
                    </w:rPr>
                    <w:t>合作教育</w:t>
                  </w:r>
                </w:p>
              </w:txbxContent>
            </v:textbox>
            <v:fill type="solid"/>
          </v:shape>
        </w:pict>
      </w:r>
      <w:r>
        <w:rPr>
          <w:sz w:val="20"/>
        </w:rPr>
      </w:r>
    </w:p>
    <w:p>
      <w:pPr>
        <w:spacing w:after="0"/>
        <w:rPr>
          <w:sz w:val="20"/>
        </w:rPr>
        <w:sectPr>
          <w:type w:val="continuous"/>
          <w:pgSz w:w="11910" w:h="16840"/>
          <w:pgMar w:top="1580" w:bottom="280" w:left="480" w:right="220"/>
        </w:sectPr>
      </w:pPr>
    </w:p>
    <w:p>
      <w:pPr>
        <w:pStyle w:val="BodyText"/>
        <w:spacing w:line="242" w:lineRule="auto" w:before="16"/>
        <w:ind w:left="1456" w:hanging="77"/>
      </w:pPr>
      <w:r>
        <w:rPr/>
        <w:pict>
          <v:rect style="position:absolute;margin-left:87.650002pt;margin-top:-.868988pt;width:418.5pt;height:1.44pt;mso-position-horizontal-relative:page;mso-position-vertical-relative:paragraph;z-index:251740160" filled="true" fillcolor="#000000" stroked="false">
            <v:fill type="solid"/>
            <w10:wrap type="none"/>
          </v:rect>
        </w:pict>
      </w:r>
      <w:r>
        <w:rPr>
          <w:spacing w:val="-22"/>
        </w:rPr>
        <w:t>整个学期</w:t>
      </w:r>
      <w:r>
        <w:rPr/>
        <w:t>（</w:t>
      </w:r>
      <w:r>
        <w:rPr>
          <w:spacing w:val="-19"/>
        </w:rPr>
        <w:t>学</w:t>
      </w:r>
      <w:r>
        <w:rPr/>
        <w:t>年或学期）</w:t>
      </w:r>
    </w:p>
    <w:p>
      <w:pPr>
        <w:pStyle w:val="BodyText"/>
        <w:spacing w:line="242" w:lineRule="auto" w:before="16"/>
        <w:ind w:left="984" w:hanging="634"/>
        <w:jc w:val="both"/>
      </w:pPr>
      <w:r>
        <w:rPr/>
        <w:br w:type="column"/>
      </w:r>
      <w:r>
        <w:rPr/>
        <w:t>有  一个计划性的学习体验，可获得学分。学生将在职场中整合课堂理论学习和职场体</w:t>
      </w:r>
    </w:p>
    <w:p>
      <w:pPr>
        <w:pStyle w:val="ListParagraph"/>
        <w:numPr>
          <w:ilvl w:val="0"/>
          <w:numId w:val="38"/>
        </w:numPr>
        <w:tabs>
          <w:tab w:pos="777" w:val="left" w:leader="none"/>
        </w:tabs>
        <w:spacing w:line="240" w:lineRule="auto" w:before="16" w:after="0"/>
        <w:ind w:left="777" w:right="0" w:hanging="602"/>
        <w:jc w:val="left"/>
        <w:rPr>
          <w:sz w:val="24"/>
        </w:rPr>
      </w:pPr>
      <w:r>
        <w:rPr>
          <w:sz w:val="24"/>
        </w:rPr>
        <w:br w:type="column"/>
        <w:t>需个人职场学习计划</w:t>
      </w:r>
    </w:p>
    <w:p>
      <w:pPr>
        <w:pStyle w:val="ListParagraph"/>
        <w:numPr>
          <w:ilvl w:val="0"/>
          <w:numId w:val="38"/>
        </w:numPr>
        <w:tabs>
          <w:tab w:pos="777" w:val="left" w:leader="none"/>
        </w:tabs>
        <w:spacing w:line="240" w:lineRule="auto" w:before="5" w:after="0"/>
        <w:ind w:left="777" w:right="0" w:hanging="602"/>
        <w:jc w:val="left"/>
        <w:rPr>
          <w:sz w:val="24"/>
        </w:rPr>
      </w:pPr>
      <w:r>
        <w:rPr>
          <w:sz w:val="24"/>
        </w:rPr>
        <w:t>获得学分</w:t>
      </w:r>
    </w:p>
    <w:p>
      <w:pPr>
        <w:pStyle w:val="ListParagraph"/>
        <w:numPr>
          <w:ilvl w:val="0"/>
          <w:numId w:val="38"/>
        </w:numPr>
        <w:tabs>
          <w:tab w:pos="777" w:val="left" w:leader="none"/>
        </w:tabs>
        <w:spacing w:line="240" w:lineRule="auto" w:before="4" w:after="0"/>
        <w:ind w:left="777" w:right="0" w:hanging="602"/>
        <w:jc w:val="left"/>
        <w:rPr>
          <w:sz w:val="24"/>
        </w:rPr>
      </w:pPr>
      <w:r>
        <w:rPr>
          <w:sz w:val="24"/>
        </w:rPr>
        <w:t>需职前培训</w:t>
      </w:r>
    </w:p>
    <w:p>
      <w:pPr>
        <w:pStyle w:val="ListParagraph"/>
        <w:numPr>
          <w:ilvl w:val="0"/>
          <w:numId w:val="38"/>
        </w:numPr>
        <w:tabs>
          <w:tab w:pos="777" w:val="left" w:leader="none"/>
        </w:tabs>
        <w:spacing w:line="240" w:lineRule="auto" w:before="5" w:after="0"/>
        <w:ind w:left="777" w:right="0" w:hanging="602"/>
        <w:jc w:val="left"/>
        <w:rPr>
          <w:sz w:val="24"/>
        </w:rPr>
      </w:pPr>
      <w:r>
        <w:rPr>
          <w:sz w:val="24"/>
        </w:rPr>
        <w:t>受合作教育教师监督</w:t>
      </w:r>
    </w:p>
    <w:p>
      <w:pPr>
        <w:spacing w:after="0" w:line="240" w:lineRule="auto"/>
        <w:jc w:val="left"/>
        <w:rPr>
          <w:sz w:val="24"/>
        </w:rPr>
        <w:sectPr>
          <w:type w:val="continuous"/>
          <w:pgSz w:w="11910" w:h="16840"/>
          <w:pgMar w:top="1580" w:bottom="280" w:left="480" w:right="220"/>
          <w:cols w:num="3" w:equalWidth="0">
            <w:col w:w="2734" w:space="40"/>
            <w:col w:w="3229" w:space="39"/>
            <w:col w:w="5168"/>
          </w:cols>
        </w:sectPr>
      </w:pPr>
    </w:p>
    <w:p>
      <w:pPr>
        <w:pStyle w:val="BodyText"/>
        <w:spacing w:before="4"/>
        <w:ind w:left="3758"/>
      </w:pPr>
      <w:r>
        <w:rPr/>
        <w:t>验，应用和完善知识， （</w:t>
      </w:r>
      <w:r>
        <w:rPr>
          <w:rFonts w:ascii="Times New Roman" w:eastAsia="Times New Roman"/>
        </w:rPr>
        <w:t>5</w:t>
      </w:r>
      <w:r>
        <w:rPr/>
        <w:t>）整合课堂知识与职场体验</w:t>
      </w:r>
    </w:p>
    <w:p>
      <w:pPr>
        <w:spacing w:after="0"/>
        <w:sectPr>
          <w:type w:val="continuous"/>
          <w:pgSz w:w="11910" w:h="16840"/>
          <w:pgMar w:top="1580" w:bottom="280" w:left="480" w:right="220"/>
        </w:sectPr>
      </w:pPr>
    </w:p>
    <w:p>
      <w:pPr>
        <w:pStyle w:val="BodyText"/>
        <w:spacing w:before="5"/>
        <w:jc w:val="right"/>
      </w:pPr>
      <w:r>
        <w:rPr/>
        <w:t>获得技能。</w:t>
      </w:r>
    </w:p>
    <w:p>
      <w:pPr>
        <w:pStyle w:val="ListParagraph"/>
        <w:numPr>
          <w:ilvl w:val="1"/>
          <w:numId w:val="38"/>
        </w:numPr>
        <w:tabs>
          <w:tab w:pos="1821" w:val="left" w:leader="none"/>
        </w:tabs>
        <w:spacing w:line="240" w:lineRule="auto" w:before="5" w:after="0"/>
        <w:ind w:left="1821" w:right="0" w:hanging="602"/>
        <w:jc w:val="left"/>
        <w:rPr>
          <w:sz w:val="24"/>
        </w:rPr>
      </w:pPr>
      <w:r>
        <w:rPr>
          <w:sz w:val="24"/>
        </w:rPr>
        <w:br w:type="column"/>
        <w:t>反思性学习</w:t>
      </w:r>
    </w:p>
    <w:p>
      <w:pPr>
        <w:pStyle w:val="ListParagraph"/>
        <w:numPr>
          <w:ilvl w:val="1"/>
          <w:numId w:val="38"/>
        </w:numPr>
        <w:tabs>
          <w:tab w:pos="1821" w:val="left" w:leader="none"/>
        </w:tabs>
        <w:spacing w:line="240" w:lineRule="auto" w:before="4" w:after="0"/>
        <w:ind w:left="1821" w:right="0" w:hanging="602"/>
        <w:jc w:val="left"/>
        <w:rPr>
          <w:sz w:val="24"/>
        </w:rPr>
      </w:pPr>
      <w:r>
        <w:rPr/>
        <w:pict>
          <v:rect style="position:absolute;margin-left:87.650002pt;margin-top:15.629999pt;width:418.5pt;height:1.44pt;mso-position-horizontal-relative:page;mso-position-vertical-relative:paragraph;z-index:251741184" filled="true" fillcolor="#000000" stroked="false">
            <v:fill type="solid"/>
            <w10:wrap type="none"/>
          </v:rect>
        </w:pict>
      </w:r>
      <w:r>
        <w:rPr>
          <w:sz w:val="24"/>
        </w:rPr>
        <w:t>包括对学生的评估</w:t>
      </w:r>
    </w:p>
    <w:p>
      <w:pPr>
        <w:spacing w:after="0" w:line="240" w:lineRule="auto"/>
        <w:jc w:val="left"/>
        <w:rPr>
          <w:sz w:val="24"/>
        </w:rPr>
        <w:sectPr>
          <w:type w:val="continuous"/>
          <w:pgSz w:w="11910" w:h="16840"/>
          <w:pgMar w:top="1580" w:bottom="280" w:left="480" w:right="220"/>
          <w:cols w:num="2" w:equalWidth="0">
            <w:col w:w="4959" w:space="40"/>
            <w:col w:w="6211"/>
          </w:cols>
        </w:sectPr>
      </w:pPr>
    </w:p>
    <w:p>
      <w:pPr>
        <w:pStyle w:val="BodyText"/>
        <w:spacing w:before="4"/>
        <w:rPr>
          <w:sz w:val="2"/>
        </w:rPr>
      </w:pPr>
    </w:p>
    <w:p>
      <w:pPr>
        <w:pStyle w:val="BodyText"/>
        <w:ind w:left="1271"/>
        <w:rPr>
          <w:sz w:val="20"/>
        </w:rPr>
      </w:pPr>
      <w:r>
        <w:rPr>
          <w:sz w:val="20"/>
        </w:rPr>
        <w:pict>
          <v:shape style="width:418.75pt;height:15.7pt;mso-position-horizontal-relative:char;mso-position-vertical-relative:line" type="#_x0000_t202" filled="true" fillcolor="#252525" stroked="false">
            <w10:anchorlock/>
            <v:textbox inset="0,0,0,0">
              <w:txbxContent>
                <w:p>
                  <w:pPr>
                    <w:spacing w:line="313" w:lineRule="exact" w:before="0"/>
                    <w:ind w:left="109" w:right="0" w:firstLine="0"/>
                    <w:jc w:val="left"/>
                    <w:rPr>
                      <w:rFonts w:ascii="Microsoft JhengHei" w:eastAsia="Microsoft JhengHei" w:hint="eastAsia"/>
                      <w:b/>
                      <w:sz w:val="24"/>
                    </w:rPr>
                  </w:pPr>
                  <w:r>
                    <w:rPr>
                      <w:rFonts w:ascii="Microsoft JhengHei" w:eastAsia="Microsoft JhengHei" w:hint="eastAsia"/>
                      <w:b/>
                      <w:color w:val="FFFFFF"/>
                      <w:sz w:val="24"/>
                    </w:rPr>
                    <w:t>学校到工作过渡项目（桥梁）</w:t>
                  </w:r>
                </w:p>
              </w:txbxContent>
            </v:textbox>
            <v:fill type="solid"/>
          </v:shape>
        </w:pict>
      </w:r>
      <w:r>
        <w:rPr>
          <w:sz w:val="20"/>
        </w:rPr>
      </w:r>
    </w:p>
    <w:p>
      <w:pPr>
        <w:spacing w:after="0"/>
        <w:rPr>
          <w:sz w:val="20"/>
        </w:rPr>
        <w:sectPr>
          <w:type w:val="continuous"/>
          <w:pgSz w:w="11910" w:h="16840"/>
          <w:pgMar w:top="1580" w:bottom="280" w:left="480" w:right="220"/>
        </w:sectPr>
      </w:pPr>
    </w:p>
    <w:p>
      <w:pPr>
        <w:pStyle w:val="BodyText"/>
        <w:spacing w:before="17"/>
        <w:ind w:left="1380"/>
      </w:pPr>
      <w:r>
        <w:rPr/>
        <w:pict>
          <v:rect style="position:absolute;margin-left:87.650002pt;margin-top:-.819006pt;width:418.5pt;height:1.44pt;mso-position-horizontal-relative:page;mso-position-vertical-relative:paragraph;z-index:251742208" filled="true" fillcolor="#000000" stroked="false">
            <v:fill type="solid"/>
            <w10:wrap type="none"/>
          </v:rect>
        </w:pict>
      </w:r>
      <w:r>
        <w:rPr/>
        <w:t>基本上不少于</w:t>
      </w:r>
    </w:p>
    <w:p>
      <w:pPr>
        <w:pStyle w:val="BodyText"/>
        <w:spacing w:before="5"/>
        <w:ind w:left="1382"/>
      </w:pPr>
      <w:r>
        <w:rPr>
          <w:rFonts w:ascii="Times New Roman" w:eastAsia="Times New Roman"/>
        </w:rPr>
        <w:t>2 </w:t>
      </w:r>
      <w:r>
        <w:rPr/>
        <w:t>年（</w:t>
      </w:r>
      <w:r>
        <w:rPr>
          <w:spacing w:val="-30"/>
        </w:rPr>
        <w:t>在 </w:t>
      </w:r>
      <w:r>
        <w:rPr>
          <w:rFonts w:ascii="Times New Roman" w:eastAsia="Times New Roman"/>
          <w:spacing w:val="-3"/>
        </w:rPr>
        <w:t>11</w:t>
      </w:r>
      <w:r>
        <w:rPr>
          <w:rFonts w:ascii="Times New Roman" w:eastAsia="Times New Roman"/>
          <w:spacing w:val="-4"/>
        </w:rPr>
        <w:t> </w:t>
      </w:r>
      <w:r>
        <w:rPr/>
        <w:t>年</w:t>
      </w:r>
    </w:p>
    <w:p>
      <w:pPr>
        <w:pStyle w:val="BodyText"/>
        <w:spacing w:before="4"/>
        <w:ind w:left="1468"/>
      </w:pPr>
      <w:r>
        <w:rPr/>
        <w:t>级和 </w:t>
      </w:r>
      <w:r>
        <w:rPr>
          <w:rFonts w:ascii="Times New Roman" w:eastAsia="Times New Roman"/>
        </w:rPr>
        <w:t>12 </w:t>
      </w:r>
      <w:r>
        <w:rPr/>
        <w:t>年级</w:t>
      </w:r>
    </w:p>
    <w:p>
      <w:pPr>
        <w:pStyle w:val="BodyText"/>
        <w:spacing w:before="5"/>
        <w:ind w:left="1382"/>
      </w:pPr>
      <w:r>
        <w:rPr>
          <w:spacing w:val="-38"/>
        </w:rPr>
        <w:t>的 </w:t>
      </w:r>
      <w:r>
        <w:rPr>
          <w:rFonts w:ascii="Times New Roman" w:eastAsia="Times New Roman"/>
        </w:rPr>
        <w:t>3-4 </w:t>
      </w:r>
      <w:r>
        <w:rPr/>
        <w:t>个学期</w:t>
      </w:r>
      <w:r>
        <w:rPr>
          <w:spacing w:val="-19"/>
        </w:rPr>
        <w:t>）</w:t>
      </w:r>
    </w:p>
    <w:p>
      <w:pPr>
        <w:pStyle w:val="BodyText"/>
        <w:spacing w:line="242" w:lineRule="auto" w:before="17"/>
        <w:ind w:left="720" w:hanging="562"/>
        <w:jc w:val="both"/>
      </w:pPr>
      <w:r>
        <w:rPr/>
        <w:br w:type="column"/>
      </w:r>
      <w:r>
        <w:rPr/>
        <w:t>有 整合了学校和基于工作的教育与训练，包含了一系列广泛的学习机会</w:t>
      </w:r>
    </w:p>
    <w:p>
      <w:pPr>
        <w:pStyle w:val="ListParagraph"/>
        <w:numPr>
          <w:ilvl w:val="0"/>
          <w:numId w:val="39"/>
        </w:numPr>
        <w:tabs>
          <w:tab w:pos="861" w:val="left" w:leader="none"/>
        </w:tabs>
        <w:spacing w:line="242" w:lineRule="auto" w:before="17" w:after="0"/>
        <w:ind w:left="259" w:right="1668" w:firstLine="0"/>
        <w:jc w:val="left"/>
        <w:rPr>
          <w:sz w:val="24"/>
        </w:rPr>
      </w:pPr>
      <w:r>
        <w:rPr>
          <w:spacing w:val="7"/>
          <w:sz w:val="24"/>
        </w:rPr>
        <w:br w:type="column"/>
      </w:r>
      <w:r>
        <w:rPr>
          <w:spacing w:val="5"/>
          <w:sz w:val="24"/>
        </w:rPr>
        <w:t>面向高中毕业后直接工作</w:t>
      </w:r>
      <w:r>
        <w:rPr>
          <w:sz w:val="24"/>
        </w:rPr>
        <w:t>的学生</w:t>
      </w:r>
    </w:p>
    <w:p>
      <w:pPr>
        <w:pStyle w:val="ListParagraph"/>
        <w:numPr>
          <w:ilvl w:val="0"/>
          <w:numId w:val="39"/>
        </w:numPr>
        <w:tabs>
          <w:tab w:pos="861" w:val="left" w:leader="none"/>
        </w:tabs>
        <w:spacing w:line="240" w:lineRule="auto" w:before="3" w:after="0"/>
        <w:ind w:left="861" w:right="0" w:hanging="602"/>
        <w:jc w:val="left"/>
        <w:rPr>
          <w:sz w:val="24"/>
        </w:rPr>
      </w:pPr>
      <w:r>
        <w:rPr>
          <w:sz w:val="24"/>
        </w:rPr>
        <w:t>发展与雇主的合作关系</w:t>
      </w:r>
    </w:p>
    <w:p>
      <w:pPr>
        <w:pStyle w:val="ListParagraph"/>
        <w:numPr>
          <w:ilvl w:val="0"/>
          <w:numId w:val="39"/>
        </w:numPr>
        <w:tabs>
          <w:tab w:pos="861" w:val="left" w:leader="none"/>
        </w:tabs>
        <w:spacing w:line="240" w:lineRule="auto" w:before="5" w:after="0"/>
        <w:ind w:left="861" w:right="0" w:hanging="602"/>
        <w:jc w:val="left"/>
        <w:rPr>
          <w:sz w:val="24"/>
        </w:rPr>
      </w:pPr>
      <w:r>
        <w:rPr>
          <w:sz w:val="24"/>
        </w:rPr>
        <w:t>雇主对课程的投入</w:t>
      </w:r>
    </w:p>
    <w:p>
      <w:pPr>
        <w:pStyle w:val="ListParagraph"/>
        <w:numPr>
          <w:ilvl w:val="0"/>
          <w:numId w:val="39"/>
        </w:numPr>
        <w:tabs>
          <w:tab w:pos="861" w:val="left" w:leader="none"/>
        </w:tabs>
        <w:spacing w:line="240" w:lineRule="auto" w:before="4" w:after="0"/>
        <w:ind w:left="861" w:right="0" w:hanging="602"/>
        <w:jc w:val="left"/>
        <w:rPr>
          <w:sz w:val="24"/>
        </w:rPr>
      </w:pPr>
      <w:r>
        <w:rPr>
          <w:sz w:val="24"/>
        </w:rPr>
        <w:t>可获得合作教育学分</w:t>
      </w:r>
    </w:p>
    <w:p>
      <w:pPr>
        <w:spacing w:after="0" w:line="240" w:lineRule="auto"/>
        <w:jc w:val="left"/>
        <w:rPr>
          <w:sz w:val="24"/>
        </w:rPr>
        <w:sectPr>
          <w:type w:val="continuous"/>
          <w:pgSz w:w="11910" w:h="16840"/>
          <w:pgMar w:top="1580" w:bottom="280" w:left="480" w:right="220"/>
          <w:cols w:num="3" w:equalWidth="0">
            <w:col w:w="2998" w:space="40"/>
            <w:col w:w="2881" w:space="39"/>
            <w:col w:w="5252"/>
          </w:cols>
        </w:sectPr>
      </w:pPr>
    </w:p>
    <w:p>
      <w:pPr>
        <w:pStyle w:val="BodyText"/>
        <w:spacing w:line="30" w:lineRule="exact"/>
        <w:ind w:left="1258"/>
        <w:rPr>
          <w:sz w:val="3"/>
        </w:rPr>
      </w:pPr>
      <w:r>
        <w:rPr>
          <w:position w:val="0"/>
          <w:sz w:val="3"/>
        </w:rPr>
        <w:pict>
          <v:group style="width:418.5pt;height:1.45pt;mso-position-horizontal-relative:char;mso-position-vertical-relative:line" coordorigin="0,0" coordsize="8370,29">
            <v:line style="position:absolute" from="0,14" to="8370,14" stroked="true" strokeweight="1.44pt" strokecolor="#000000">
              <v:stroke dashstyle="solid"/>
            </v:line>
          </v:group>
        </w:pict>
      </w:r>
      <w:r>
        <w:rPr>
          <w:position w:val="0"/>
          <w:sz w:val="3"/>
        </w:rPr>
      </w:r>
    </w:p>
    <w:p>
      <w:pPr>
        <w:spacing w:after="0" w:line="30" w:lineRule="exact"/>
        <w:rPr>
          <w:sz w:val="3"/>
        </w:rPr>
        <w:sectPr>
          <w:type w:val="continuous"/>
          <w:pgSz w:w="11910" w:h="16840"/>
          <w:pgMar w:top="1580" w:bottom="280" w:left="480" w:right="220"/>
        </w:sectPr>
      </w:pPr>
    </w:p>
    <w:p>
      <w:pPr>
        <w:pStyle w:val="BodyText"/>
        <w:spacing w:before="133" w:after="30"/>
        <w:ind w:right="261"/>
        <w:jc w:val="center"/>
      </w:pPr>
      <w:r>
        <w:rPr/>
        <w:pict>
          <v:rect style="position:absolute;margin-left:84.599998pt;margin-top:22.079981pt;width:426.1pt;height:1.44pt;mso-position-horizontal-relative:page;mso-position-vertical-relative:paragraph;z-index:251745280" filled="true" fillcolor="#000000" stroked="false">
            <v:fill type="solid"/>
            <w10:wrap type="none"/>
          </v:rect>
        </w:pict>
      </w:r>
      <w:r>
        <w:rPr/>
        <w:t>表 </w:t>
      </w:r>
      <w:r>
        <w:rPr>
          <w:rFonts w:ascii="Times New Roman" w:eastAsia="Times New Roman"/>
        </w:rPr>
        <w:t>2.7</w:t>
      </w:r>
      <w:r>
        <w:rPr/>
        <w:t>（续）</w:t>
      </w:r>
    </w:p>
    <w:p>
      <w:pPr>
        <w:pStyle w:val="BodyText"/>
        <w:ind w:left="1210"/>
        <w:rPr>
          <w:sz w:val="20"/>
        </w:rPr>
      </w:pPr>
      <w:r>
        <w:rPr>
          <w:sz w:val="20"/>
        </w:rPr>
        <w:pict>
          <v:shape style="width:426.35pt;height:15.7pt;mso-position-horizontal-relative:char;mso-position-vertical-relative:line" type="#_x0000_t202" filled="true" fillcolor="#252525" stroked="false">
            <w10:anchorlock/>
            <v:textbox inset="0,0,0,0">
              <w:txbxContent>
                <w:p>
                  <w:pPr>
                    <w:spacing w:line="313" w:lineRule="exact" w:before="0"/>
                    <w:ind w:left="110" w:right="0" w:firstLine="0"/>
                    <w:jc w:val="left"/>
                    <w:rPr>
                      <w:rFonts w:ascii="Microsoft JhengHei" w:eastAsia="Microsoft JhengHei" w:hint="eastAsia"/>
                      <w:b/>
                      <w:sz w:val="24"/>
                    </w:rPr>
                  </w:pPr>
                  <w:r>
                    <w:rPr>
                      <w:rFonts w:ascii="Microsoft JhengHei" w:eastAsia="Microsoft JhengHei" w:hint="eastAsia"/>
                      <w:b/>
                      <w:color w:val="FFFFFF"/>
                      <w:sz w:val="24"/>
                    </w:rPr>
                    <w:t>安大略省青年学徒计划</w:t>
                  </w:r>
                </w:p>
              </w:txbxContent>
            </v:textbox>
            <v:fill type="solid"/>
          </v:shape>
        </w:pict>
      </w:r>
      <w:r>
        <w:rPr>
          <w:sz w:val="20"/>
        </w:rPr>
      </w:r>
    </w:p>
    <w:p>
      <w:pPr>
        <w:spacing w:after="0"/>
        <w:rPr>
          <w:sz w:val="20"/>
        </w:rPr>
        <w:sectPr>
          <w:pgSz w:w="11910" w:h="16840"/>
          <w:pgMar w:header="878" w:footer="1191" w:top="1300" w:bottom="1380" w:left="480" w:right="220"/>
        </w:sectPr>
      </w:pPr>
    </w:p>
    <w:p>
      <w:pPr>
        <w:pStyle w:val="BodyText"/>
        <w:spacing w:before="16"/>
        <w:ind w:left="1320"/>
      </w:pPr>
      <w:r>
        <w:rPr/>
        <w:pict>
          <v:rect style="position:absolute;margin-left:84.599998pt;margin-top:-.869971pt;width:426.1pt;height:1.44pt;mso-position-horizontal-relative:page;mso-position-vertical-relative:paragraph;z-index:251746304" filled="true" fillcolor="#000000" stroked="false">
            <v:fill type="solid"/>
            <w10:wrap type="none"/>
          </v:rect>
        </w:pict>
      </w:r>
      <w:r>
        <w:rPr/>
        <w:t>基本上不少于</w:t>
      </w:r>
    </w:p>
    <w:p>
      <w:pPr>
        <w:pStyle w:val="BodyText"/>
        <w:spacing w:before="5"/>
        <w:ind w:left="1320"/>
      </w:pPr>
      <w:r>
        <w:rPr>
          <w:rFonts w:ascii="Times New Roman" w:eastAsia="Times New Roman"/>
        </w:rPr>
        <w:t>2 </w:t>
      </w:r>
      <w:r>
        <w:rPr/>
        <w:t>年（</w:t>
      </w:r>
      <w:r>
        <w:rPr>
          <w:spacing w:val="-30"/>
        </w:rPr>
        <w:t>在 </w:t>
      </w:r>
      <w:r>
        <w:rPr>
          <w:rFonts w:ascii="Times New Roman" w:eastAsia="Times New Roman"/>
          <w:spacing w:val="-3"/>
        </w:rPr>
        <w:t>11</w:t>
      </w:r>
      <w:r>
        <w:rPr>
          <w:rFonts w:ascii="Times New Roman" w:eastAsia="Times New Roman"/>
          <w:spacing w:val="-4"/>
        </w:rPr>
        <w:t> </w:t>
      </w:r>
      <w:r>
        <w:rPr/>
        <w:t>年</w:t>
      </w:r>
    </w:p>
    <w:p>
      <w:pPr>
        <w:pStyle w:val="BodyText"/>
        <w:spacing w:before="4"/>
        <w:ind w:left="1320"/>
      </w:pPr>
      <w:r>
        <w:rPr>
          <w:spacing w:val="-25"/>
        </w:rPr>
        <w:t>级和 </w:t>
      </w:r>
      <w:r>
        <w:rPr>
          <w:rFonts w:ascii="Times New Roman" w:eastAsia="Times New Roman"/>
        </w:rPr>
        <w:t>12</w:t>
      </w:r>
      <w:r>
        <w:rPr>
          <w:rFonts w:ascii="Times New Roman" w:eastAsia="Times New Roman"/>
          <w:spacing w:val="-15"/>
        </w:rPr>
        <w:t> </w:t>
      </w:r>
      <w:r>
        <w:rPr>
          <w:spacing w:val="-7"/>
        </w:rPr>
        <w:t>年级的</w:t>
      </w:r>
    </w:p>
    <w:p>
      <w:pPr>
        <w:pStyle w:val="BodyText"/>
        <w:spacing w:before="5"/>
        <w:ind w:left="1320"/>
      </w:pPr>
      <w:r>
        <w:rPr>
          <w:rFonts w:ascii="Times New Roman" w:eastAsia="Times New Roman"/>
        </w:rPr>
        <w:t>3-4 </w:t>
      </w:r>
      <w:r>
        <w:rPr/>
        <w:t>个学期）</w:t>
      </w:r>
    </w:p>
    <w:p>
      <w:pPr>
        <w:pStyle w:val="BodyText"/>
        <w:spacing w:line="242" w:lineRule="auto" w:before="16"/>
        <w:ind w:left="867" w:hanging="692"/>
        <w:jc w:val="both"/>
      </w:pPr>
      <w:r>
        <w:rPr/>
        <w:br w:type="column"/>
      </w:r>
      <w:r>
        <w:rPr/>
        <w:t>有  面向一般参加学徒工作一边攻读毕业文凭的学生</w:t>
      </w:r>
    </w:p>
    <w:p>
      <w:pPr>
        <w:pStyle w:val="ListParagraph"/>
        <w:numPr>
          <w:ilvl w:val="0"/>
          <w:numId w:val="40"/>
        </w:numPr>
        <w:tabs>
          <w:tab w:pos="845" w:val="left" w:leader="none"/>
        </w:tabs>
        <w:spacing w:line="240" w:lineRule="auto" w:before="16" w:after="0"/>
        <w:ind w:left="844" w:right="0" w:hanging="602"/>
        <w:jc w:val="left"/>
        <w:rPr>
          <w:rFonts w:ascii="Times New Roman" w:eastAsia="Times New Roman"/>
          <w:sz w:val="24"/>
        </w:rPr>
      </w:pPr>
      <w:r>
        <w:rPr>
          <w:sz w:val="24"/>
        </w:rPr>
        <w:br w:type="column"/>
      </w:r>
      <w:r>
        <w:rPr>
          <w:spacing w:val="-30"/>
          <w:sz w:val="24"/>
        </w:rPr>
        <w:t>为 </w:t>
      </w:r>
      <w:r>
        <w:rPr>
          <w:rFonts w:ascii="Times New Roman" w:eastAsia="Times New Roman"/>
          <w:sz w:val="24"/>
        </w:rPr>
        <w:t>16 </w:t>
      </w:r>
      <w:r>
        <w:rPr>
          <w:spacing w:val="-7"/>
          <w:sz w:val="24"/>
        </w:rPr>
        <w:t>岁及以上已经修满 </w:t>
      </w:r>
      <w:r>
        <w:rPr>
          <w:rFonts w:ascii="Times New Roman" w:eastAsia="Times New Roman"/>
          <w:sz w:val="24"/>
        </w:rPr>
        <w:t>16</w:t>
      </w:r>
    </w:p>
    <w:p>
      <w:pPr>
        <w:pStyle w:val="BodyText"/>
        <w:spacing w:before="5"/>
        <w:ind w:left="243"/>
      </w:pPr>
      <w:r>
        <w:rPr/>
        <w:t>个必修学分的学生设计</w:t>
      </w:r>
    </w:p>
    <w:p>
      <w:pPr>
        <w:pStyle w:val="ListParagraph"/>
        <w:numPr>
          <w:ilvl w:val="0"/>
          <w:numId w:val="40"/>
        </w:numPr>
        <w:tabs>
          <w:tab w:pos="845" w:val="left" w:leader="none"/>
        </w:tabs>
        <w:spacing w:line="242" w:lineRule="auto" w:before="4" w:after="0"/>
        <w:ind w:left="243" w:right="1761" w:firstLine="0"/>
        <w:jc w:val="left"/>
        <w:rPr>
          <w:sz w:val="24"/>
        </w:rPr>
      </w:pPr>
      <w:r>
        <w:rPr>
          <w:spacing w:val="-2"/>
          <w:sz w:val="24"/>
        </w:rPr>
        <w:t>学生在一个学徒计划中注</w:t>
      </w:r>
      <w:r>
        <w:rPr>
          <w:sz w:val="24"/>
        </w:rPr>
        <w:t>册</w:t>
      </w:r>
    </w:p>
    <w:p>
      <w:pPr>
        <w:pStyle w:val="ListParagraph"/>
        <w:numPr>
          <w:ilvl w:val="0"/>
          <w:numId w:val="40"/>
        </w:numPr>
        <w:tabs>
          <w:tab w:pos="845" w:val="left" w:leader="none"/>
        </w:tabs>
        <w:spacing w:line="242" w:lineRule="auto" w:before="3" w:after="0"/>
        <w:ind w:left="243" w:right="1761" w:firstLine="0"/>
        <w:jc w:val="left"/>
        <w:rPr>
          <w:sz w:val="24"/>
        </w:rPr>
      </w:pPr>
      <w:r>
        <w:rPr>
          <w:spacing w:val="-2"/>
          <w:sz w:val="24"/>
        </w:rPr>
        <w:t>要求学生和培训人员签署</w:t>
      </w:r>
      <w:r>
        <w:rPr>
          <w:sz w:val="24"/>
        </w:rPr>
        <w:t>具体能力培养要求的文件</w:t>
      </w:r>
    </w:p>
    <w:p>
      <w:pPr>
        <w:pStyle w:val="ListParagraph"/>
        <w:numPr>
          <w:ilvl w:val="0"/>
          <w:numId w:val="40"/>
        </w:numPr>
        <w:tabs>
          <w:tab w:pos="845" w:val="left" w:leader="none"/>
        </w:tabs>
        <w:spacing w:line="240" w:lineRule="auto" w:before="3" w:after="0"/>
        <w:ind w:left="844" w:right="0" w:hanging="602"/>
        <w:jc w:val="left"/>
        <w:rPr>
          <w:sz w:val="24"/>
        </w:rPr>
      </w:pPr>
      <w:r>
        <w:rPr>
          <w:sz w:val="24"/>
        </w:rPr>
        <w:t>能获得合作教育学分</w:t>
      </w:r>
    </w:p>
    <w:p>
      <w:pPr>
        <w:spacing w:after="0" w:line="240" w:lineRule="auto"/>
        <w:jc w:val="left"/>
        <w:rPr>
          <w:sz w:val="24"/>
        </w:rPr>
        <w:sectPr>
          <w:type w:val="continuous"/>
          <w:pgSz w:w="11910" w:h="16840"/>
          <w:pgMar w:top="1580" w:bottom="280" w:left="480" w:right="220"/>
          <w:cols w:num="3" w:equalWidth="0">
            <w:col w:w="2854" w:space="40"/>
            <w:col w:w="3028" w:space="39"/>
            <w:col w:w="5249"/>
          </w:cols>
        </w:sectPr>
      </w:pPr>
    </w:p>
    <w:p>
      <w:pPr>
        <w:pStyle w:val="BodyText"/>
        <w:spacing w:line="30" w:lineRule="exact"/>
        <w:ind w:left="1197"/>
        <w:rPr>
          <w:sz w:val="3"/>
        </w:rPr>
      </w:pPr>
      <w:r>
        <w:rPr>
          <w:position w:val="0"/>
          <w:sz w:val="3"/>
        </w:rPr>
        <w:pict>
          <v:group style="width:426.1pt;height:1.45pt;mso-position-horizontal-relative:char;mso-position-vertical-relative:line" coordorigin="0,0" coordsize="8522,29">
            <v:line style="position:absolute" from="0,14" to="8522,14" stroked="true" strokeweight="1.44pt" strokecolor="#000000">
              <v:stroke dashstyle="solid"/>
            </v:line>
          </v:group>
        </w:pict>
      </w:r>
      <w:r>
        <w:rPr>
          <w:position w:val="0"/>
          <w:sz w:val="3"/>
        </w:rPr>
      </w:r>
    </w:p>
    <w:p>
      <w:pPr>
        <w:pStyle w:val="BodyText"/>
        <w:rPr>
          <w:sz w:val="20"/>
        </w:rPr>
      </w:pPr>
    </w:p>
    <w:p>
      <w:pPr>
        <w:pStyle w:val="BodyText"/>
        <w:spacing w:before="12"/>
        <w:rPr>
          <w:sz w:val="16"/>
        </w:rPr>
      </w:pPr>
    </w:p>
    <w:p>
      <w:pPr>
        <w:pStyle w:val="BodyText"/>
        <w:spacing w:line="364" w:lineRule="auto" w:before="76"/>
        <w:ind w:left="1320" w:right="1577" w:firstLine="480"/>
        <w:jc w:val="both"/>
      </w:pPr>
      <w:r>
        <w:rPr>
          <w:spacing w:val="-6"/>
        </w:rPr>
        <w:t>其中，工作跟随和工作结对从属于学生的实地考察计划</w:t>
      </w:r>
      <w:r>
        <w:rPr/>
        <w:t>（</w:t>
      </w:r>
      <w:r>
        <w:rPr>
          <w:rFonts w:ascii="Times New Roman" w:eastAsia="Times New Roman"/>
        </w:rPr>
        <w:t>Field </w:t>
      </w:r>
      <w:r>
        <w:rPr>
          <w:rFonts w:ascii="Times New Roman" w:eastAsia="Times New Roman"/>
          <w:spacing w:val="-9"/>
        </w:rPr>
        <w:t>Trip</w:t>
      </w:r>
      <w:r>
        <w:rPr>
          <w:spacing w:val="-9"/>
        </w:rPr>
        <w:t>），</w:t>
      </w:r>
      <w:r>
        <w:rPr>
          <w:spacing w:val="-7"/>
        </w:rPr>
        <w:t>没有</w:t>
      </w:r>
      <w:r>
        <w:rPr>
          <w:spacing w:val="-10"/>
        </w:rPr>
        <w:t>学分，可以融入学生参与的任何课程学习中。职场经验学习和虚拟职场体验学习也没有学分，被整合于学科课程学习中，成为其课程学分的一部分。这四类体验</w:t>
      </w:r>
      <w:r>
        <w:rPr>
          <w:spacing w:val="-5"/>
        </w:rPr>
        <w:t>式学习是安大略省生涯规划教育体验式学习的基本形式。合作教育则融合了前述</w:t>
      </w:r>
      <w:r>
        <w:rPr>
          <w:spacing w:val="-8"/>
        </w:rPr>
        <w:t>四种形式的体验式学习，是一项工作体验与学分兼而有之的计划。学校到工作过</w:t>
      </w:r>
      <w:r>
        <w:rPr/>
        <w:t>渡的项目以及安大略省青年学徒计划，均为满足特殊需要的学生而设计。</w:t>
      </w:r>
    </w:p>
    <w:p>
      <w:pPr>
        <w:pStyle w:val="BodyText"/>
        <w:spacing w:line="364" w:lineRule="auto" w:before="4"/>
        <w:ind w:left="1320" w:right="1577" w:firstLine="480"/>
        <w:jc w:val="both"/>
      </w:pPr>
      <w:r>
        <w:rPr>
          <w:spacing w:val="-6"/>
        </w:rPr>
        <w:t>工作跟随，即学生有半天至一天的时间</w:t>
      </w:r>
      <w:r>
        <w:rPr/>
        <w:t>（</w:t>
      </w:r>
      <w:r>
        <w:rPr>
          <w:spacing w:val="-15"/>
        </w:rPr>
        <w:t>或者，增至 </w:t>
      </w:r>
      <w:r>
        <w:rPr>
          <w:rFonts w:ascii="Times New Roman" w:eastAsia="Times New Roman"/>
        </w:rPr>
        <w:t>3 </w:t>
      </w:r>
      <w:r>
        <w:rPr/>
        <w:t>天</w:t>
      </w:r>
      <w:r>
        <w:rPr>
          <w:spacing w:val="-24"/>
        </w:rPr>
        <w:t>）</w:t>
      </w:r>
      <w:r>
        <w:rPr>
          <w:spacing w:val="-3"/>
        </w:rPr>
        <w:t>跟随一位特定职</w:t>
      </w:r>
      <w:r>
        <w:rPr>
          <w:spacing w:val="-11"/>
        </w:rPr>
        <w:t>业的工人进行学习。工作结对允许学生用半天至一天的时间观摩参与合作教育学</w:t>
      </w:r>
      <w:r>
        <w:rPr>
          <w:spacing w:val="-9"/>
        </w:rPr>
        <w:t>生的岗位学习情况。学校鼓励学生参加多个工作跟随与工作结对体验式学习，通</w:t>
      </w:r>
      <w:r>
        <w:rPr>
          <w:spacing w:val="-7"/>
        </w:rPr>
        <w:t>过对特定职业环境的实地考察，累积生涯信息。学生需要了解雇主的期待，工作</w:t>
      </w:r>
      <w:r>
        <w:rPr>
          <w:spacing w:val="-8"/>
        </w:rPr>
        <w:t>场所的健康和安全程序，以及工作道德和基本态度；教师要确保学生在安全的工</w:t>
      </w:r>
      <w:r>
        <w:rPr>
          <w:spacing w:val="-7"/>
        </w:rPr>
        <w:t>作环境中选择适当的工作。体验结束后，学校应该为学生提供讨论的机会，以分析这些体验与其教育和生涯计划的关系，探讨体验对他们制定或回顾未来目标方</w:t>
      </w:r>
      <w:r>
        <w:rPr/>
        <w:t>面的收获。</w:t>
      </w:r>
    </w:p>
    <w:p>
      <w:pPr>
        <w:pStyle w:val="BodyText"/>
        <w:spacing w:line="364" w:lineRule="auto" w:before="5"/>
        <w:ind w:left="1319" w:right="1577" w:firstLine="480"/>
        <w:jc w:val="both"/>
      </w:pPr>
      <w:r>
        <w:rPr>
          <w:spacing w:val="-13"/>
        </w:rPr>
        <w:t>职场体验，为期 </w:t>
      </w:r>
      <w:r>
        <w:rPr>
          <w:rFonts w:ascii="Times New Roman" w:eastAsia="Times New Roman"/>
        </w:rPr>
        <w:t>1 </w:t>
      </w:r>
      <w:r>
        <w:rPr>
          <w:spacing w:val="-30"/>
        </w:rPr>
        <w:t>至 </w:t>
      </w:r>
      <w:r>
        <w:rPr>
          <w:rFonts w:ascii="Times New Roman" w:eastAsia="Times New Roman"/>
        </w:rPr>
        <w:t>4 </w:t>
      </w:r>
      <w:r>
        <w:rPr>
          <w:spacing w:val="-9"/>
        </w:rPr>
        <w:t>周，让学生进入职场进行学习。学生将获得许多学习</w:t>
      </w:r>
      <w:r>
        <w:rPr>
          <w:spacing w:val="-10"/>
        </w:rPr>
        <w:t>机会，经历各种各样的体验，用以了解自己和工作世界。教师需要对学生将要工</w:t>
      </w:r>
      <w:r>
        <w:rPr/>
        <w:t>作的场所进行评估，需要考虑以下要素：</w:t>
      </w:r>
    </w:p>
    <w:p>
      <w:pPr>
        <w:pStyle w:val="ListParagraph"/>
        <w:numPr>
          <w:ilvl w:val="1"/>
          <w:numId w:val="40"/>
        </w:numPr>
        <w:tabs>
          <w:tab w:pos="2160" w:val="left" w:leader="none"/>
        </w:tabs>
        <w:spacing w:line="240" w:lineRule="auto" w:before="2" w:after="0"/>
        <w:ind w:left="2160" w:right="0" w:hanging="360"/>
        <w:jc w:val="both"/>
        <w:rPr>
          <w:sz w:val="24"/>
        </w:rPr>
      </w:pPr>
      <w:r>
        <w:rPr>
          <w:sz w:val="24"/>
        </w:rPr>
        <w:t>雇主和主管具备积极的态度和承诺提供体验学习的机会；</w:t>
      </w:r>
    </w:p>
    <w:p>
      <w:pPr>
        <w:pStyle w:val="ListParagraph"/>
        <w:numPr>
          <w:ilvl w:val="1"/>
          <w:numId w:val="40"/>
        </w:numPr>
        <w:tabs>
          <w:tab w:pos="2160" w:val="left" w:leader="none"/>
        </w:tabs>
        <w:spacing w:line="240" w:lineRule="auto" w:before="160" w:after="0"/>
        <w:ind w:left="2160" w:right="0" w:hanging="360"/>
        <w:jc w:val="both"/>
        <w:rPr>
          <w:sz w:val="24"/>
        </w:rPr>
      </w:pPr>
      <w:r>
        <w:rPr>
          <w:sz w:val="24"/>
        </w:rPr>
        <w:t>每个学生都与一位监督者形成一对一的关系；</w:t>
      </w:r>
    </w:p>
    <w:p>
      <w:pPr>
        <w:pStyle w:val="ListParagraph"/>
        <w:numPr>
          <w:ilvl w:val="1"/>
          <w:numId w:val="40"/>
        </w:numPr>
        <w:tabs>
          <w:tab w:pos="2160" w:val="left" w:leader="none"/>
        </w:tabs>
        <w:spacing w:line="240" w:lineRule="auto" w:before="161" w:after="0"/>
        <w:ind w:left="2160" w:right="0" w:hanging="360"/>
        <w:jc w:val="both"/>
        <w:rPr>
          <w:sz w:val="24"/>
        </w:rPr>
      </w:pPr>
      <w:r>
        <w:rPr>
          <w:sz w:val="24"/>
        </w:rPr>
        <w:t>学习机会和体验的可能范围和领域；</w:t>
      </w:r>
    </w:p>
    <w:p>
      <w:pPr>
        <w:pStyle w:val="ListParagraph"/>
        <w:numPr>
          <w:ilvl w:val="1"/>
          <w:numId w:val="40"/>
        </w:numPr>
        <w:tabs>
          <w:tab w:pos="2160" w:val="left" w:leader="none"/>
        </w:tabs>
        <w:spacing w:line="240" w:lineRule="auto" w:before="160" w:after="0"/>
        <w:ind w:left="2160" w:right="0" w:hanging="360"/>
        <w:jc w:val="both"/>
        <w:rPr>
          <w:sz w:val="24"/>
        </w:rPr>
      </w:pPr>
      <w:r>
        <w:rPr>
          <w:sz w:val="24"/>
        </w:rPr>
        <w:t>提供相应的技术、装备和设施；</w:t>
      </w:r>
    </w:p>
    <w:p>
      <w:pPr>
        <w:pStyle w:val="ListParagraph"/>
        <w:numPr>
          <w:ilvl w:val="1"/>
          <w:numId w:val="40"/>
        </w:numPr>
        <w:tabs>
          <w:tab w:pos="2160" w:val="left" w:leader="none"/>
        </w:tabs>
        <w:spacing w:line="240" w:lineRule="auto" w:before="161" w:after="0"/>
        <w:ind w:left="2160" w:right="0" w:hanging="360"/>
        <w:jc w:val="both"/>
        <w:rPr>
          <w:sz w:val="24"/>
        </w:rPr>
      </w:pPr>
      <w:r>
        <w:rPr>
          <w:sz w:val="24"/>
        </w:rPr>
        <w:t>工作场所健康和安全的环境；</w:t>
      </w:r>
    </w:p>
    <w:p>
      <w:pPr>
        <w:spacing w:after="0" w:line="240" w:lineRule="auto"/>
        <w:jc w:val="both"/>
        <w:rPr>
          <w:sz w:val="24"/>
        </w:rPr>
        <w:sectPr>
          <w:type w:val="continuous"/>
          <w:pgSz w:w="11910" w:h="16840"/>
          <w:pgMar w:top="1580" w:bottom="280" w:left="480" w:right="220"/>
        </w:sectPr>
      </w:pPr>
    </w:p>
    <w:p>
      <w:pPr>
        <w:pStyle w:val="BodyText"/>
        <w:spacing w:before="6"/>
        <w:rPr>
          <w:sz w:val="10"/>
        </w:rPr>
      </w:pPr>
    </w:p>
    <w:p>
      <w:pPr>
        <w:pStyle w:val="ListParagraph"/>
        <w:numPr>
          <w:ilvl w:val="1"/>
          <w:numId w:val="40"/>
        </w:numPr>
        <w:tabs>
          <w:tab w:pos="2160" w:val="left" w:leader="none"/>
        </w:tabs>
        <w:spacing w:line="240" w:lineRule="auto" w:before="76" w:after="0"/>
        <w:ind w:left="2160" w:right="0" w:hanging="360"/>
        <w:jc w:val="left"/>
        <w:rPr>
          <w:sz w:val="24"/>
        </w:rPr>
      </w:pPr>
      <w:r>
        <w:rPr>
          <w:sz w:val="24"/>
        </w:rPr>
        <w:t>企业的就业政策；</w:t>
      </w:r>
    </w:p>
    <w:p>
      <w:pPr>
        <w:pStyle w:val="ListParagraph"/>
        <w:numPr>
          <w:ilvl w:val="1"/>
          <w:numId w:val="40"/>
        </w:numPr>
        <w:tabs>
          <w:tab w:pos="2160" w:val="left" w:leader="none"/>
        </w:tabs>
        <w:spacing w:line="240" w:lineRule="auto" w:before="160" w:after="0"/>
        <w:ind w:left="2160" w:right="0" w:hanging="360"/>
        <w:jc w:val="left"/>
        <w:rPr>
          <w:sz w:val="24"/>
        </w:rPr>
      </w:pPr>
      <w:r>
        <w:rPr>
          <w:sz w:val="24"/>
        </w:rPr>
        <w:t>提供一个没有歧视、暴力和厌恶表情的积极环境；</w:t>
      </w:r>
    </w:p>
    <w:p>
      <w:pPr>
        <w:pStyle w:val="ListParagraph"/>
        <w:numPr>
          <w:ilvl w:val="1"/>
          <w:numId w:val="40"/>
        </w:numPr>
        <w:tabs>
          <w:tab w:pos="2160" w:val="left" w:leader="none"/>
        </w:tabs>
        <w:spacing w:line="240" w:lineRule="auto" w:before="161" w:after="0"/>
        <w:ind w:left="2160" w:right="0" w:hanging="360"/>
        <w:jc w:val="left"/>
        <w:rPr>
          <w:sz w:val="24"/>
        </w:rPr>
      </w:pPr>
      <w:r>
        <w:rPr>
          <w:sz w:val="24"/>
        </w:rPr>
        <w:t>能够为学生提供任何必要的特殊住宿。</w:t>
      </w:r>
    </w:p>
    <w:p>
      <w:pPr>
        <w:pStyle w:val="BodyText"/>
        <w:spacing w:line="364" w:lineRule="auto" w:before="160"/>
        <w:ind w:left="1320" w:right="1577" w:firstLine="480"/>
      </w:pPr>
      <w:r>
        <w:rPr>
          <w:spacing w:val="-5"/>
        </w:rPr>
        <w:t>参与职场体验的每个学生都有一份个性化的学习计划，体验结束后，学校为</w:t>
      </w:r>
      <w:r>
        <w:rPr/>
        <w:t>学生提供分析校外体验的机会，以及将这些体验整合到校内学习中。</w:t>
      </w:r>
    </w:p>
    <w:p>
      <w:pPr>
        <w:pStyle w:val="BodyText"/>
        <w:spacing w:line="364" w:lineRule="auto" w:before="2"/>
        <w:ind w:left="1319" w:right="1577" w:firstLine="420"/>
        <w:jc w:val="both"/>
      </w:pPr>
      <w:r>
        <w:rPr>
          <w:spacing w:val="-5"/>
        </w:rPr>
        <w:t>信息技术的创新和网络的运用为学生参与“虚拟职业”提供了条件，学生能</w:t>
      </w:r>
      <w:r>
        <w:rPr>
          <w:spacing w:val="-9"/>
        </w:rPr>
        <w:t>够通过网络，参加职场实习。无论是身处城市，亦或是偏远地区的学生，都能体</w:t>
      </w:r>
      <w:r>
        <w:rPr>
          <w:spacing w:val="-2"/>
        </w:rPr>
        <w:t>验到信息技术带来的便利。如，一位学习英语课程的 </w:t>
      </w:r>
      <w:r>
        <w:rPr>
          <w:rFonts w:ascii="Times New Roman" w:hAnsi="Times New Roman" w:eastAsia="Times New Roman"/>
          <w:spacing w:val="-3"/>
        </w:rPr>
        <w:t>11 </w:t>
      </w:r>
      <w:r>
        <w:rPr/>
        <w:t>年级学生，即使“足不</w:t>
      </w:r>
      <w:r>
        <w:rPr>
          <w:spacing w:val="-10"/>
        </w:rPr>
        <w:t>出户”也能担任当地报社的编辑、记者或作家，承担相应的工作，只需要每日将</w:t>
      </w:r>
      <w:r>
        <w:rPr/>
        <w:t>其工作成果通过网络上传即可。</w:t>
      </w:r>
    </w:p>
    <w:p>
      <w:pPr>
        <w:pStyle w:val="BodyText"/>
        <w:spacing w:line="364" w:lineRule="auto" w:before="3"/>
        <w:ind w:left="1319" w:right="1577" w:firstLine="480"/>
        <w:jc w:val="both"/>
        <w:rPr>
          <w:rFonts w:ascii="Times New Roman" w:eastAsia="Times New Roman"/>
          <w:sz w:val="15"/>
        </w:rPr>
      </w:pPr>
      <w:r>
        <w:rPr>
          <w:spacing w:val="-6"/>
        </w:rPr>
        <w:t>合作教育是为学生提供的一个特殊项目，主要是基于工作场所的学习。这些体验能帮助学生做出关于未来生涯的决定，发展学生的工作能力、态度和必要的</w:t>
      </w:r>
      <w:r>
        <w:rPr>
          <w:spacing w:val="-10"/>
        </w:rPr>
        <w:t>就业技能，从而帮助学生实现从高中到职场、高中到高等教育的顺利过渡。各个</w:t>
      </w:r>
      <w:r>
        <w:rPr>
          <w:spacing w:val="-12"/>
        </w:rPr>
        <w:t>领域，如商业、企业、农业、劳动力或社区与学校合作，联合规划，确保为学生</w:t>
      </w:r>
      <w:r>
        <w:rPr>
          <w:spacing w:val="-9"/>
        </w:rPr>
        <w:t>提供系统的生涯探索、体验学习的机会。例如，目前安大略省的多伦多市主要有</w:t>
      </w:r>
      <w:r>
        <w:rPr/>
        <w:t>以下公司和组织为学生提供体验的场地：</w:t>
      </w:r>
      <w:r>
        <w:rPr>
          <w:rFonts w:ascii="Times New Roman" w:eastAsia="Times New Roman"/>
          <w:position w:val="8"/>
          <w:sz w:val="15"/>
        </w:rPr>
        <w:t>[</w:t>
      </w:r>
      <w:hyperlink w:history="true" w:anchor="_bookmark174">
        <w:r>
          <w:rPr>
            <w:rFonts w:ascii="Times New Roman" w:eastAsia="Times New Roman"/>
            <w:position w:val="8"/>
            <w:sz w:val="15"/>
          </w:rPr>
          <w:t>1</w:t>
        </w:r>
      </w:hyperlink>
      <w:r>
        <w:rPr>
          <w:rFonts w:ascii="Times New Roman" w:eastAsia="Times New Roman"/>
          <w:position w:val="8"/>
          <w:sz w:val="15"/>
        </w:rPr>
        <w:t>]</w:t>
      </w:r>
    </w:p>
    <w:p>
      <w:pPr>
        <w:pStyle w:val="ListParagraph"/>
        <w:numPr>
          <w:ilvl w:val="1"/>
          <w:numId w:val="40"/>
        </w:numPr>
        <w:tabs>
          <w:tab w:pos="2160" w:val="left" w:leader="none"/>
        </w:tabs>
        <w:spacing w:line="240" w:lineRule="auto" w:before="3" w:after="0"/>
        <w:ind w:left="2160" w:right="0" w:hanging="360"/>
        <w:jc w:val="both"/>
        <w:rPr>
          <w:sz w:val="24"/>
        </w:rPr>
      </w:pPr>
      <w:r>
        <w:rPr>
          <w:sz w:val="24"/>
        </w:rPr>
        <w:t>银行和金融（位于多伦多金融区）；</w:t>
      </w:r>
    </w:p>
    <w:p>
      <w:pPr>
        <w:pStyle w:val="ListParagraph"/>
        <w:numPr>
          <w:ilvl w:val="1"/>
          <w:numId w:val="40"/>
        </w:numPr>
        <w:tabs>
          <w:tab w:pos="2160" w:val="left" w:leader="none"/>
        </w:tabs>
        <w:spacing w:line="240" w:lineRule="auto" w:before="161" w:after="0"/>
        <w:ind w:left="2160" w:right="0" w:hanging="360"/>
        <w:jc w:val="both"/>
        <w:rPr>
          <w:sz w:val="24"/>
        </w:rPr>
      </w:pPr>
      <w:r>
        <w:rPr>
          <w:sz w:val="24"/>
        </w:rPr>
        <w:t>加拿大武装部队；</w:t>
      </w:r>
    </w:p>
    <w:p>
      <w:pPr>
        <w:pStyle w:val="ListParagraph"/>
        <w:numPr>
          <w:ilvl w:val="1"/>
          <w:numId w:val="40"/>
        </w:numPr>
        <w:tabs>
          <w:tab w:pos="2160" w:val="left" w:leader="none"/>
        </w:tabs>
        <w:spacing w:line="240" w:lineRule="auto" w:before="160" w:after="0"/>
        <w:ind w:left="2160" w:right="0" w:hanging="360"/>
        <w:jc w:val="both"/>
        <w:rPr>
          <w:sz w:val="24"/>
        </w:rPr>
      </w:pPr>
      <w:r>
        <w:rPr>
          <w:sz w:val="24"/>
        </w:rPr>
        <w:t>酒店和旅游（位于宾馆和饭店）；</w:t>
      </w:r>
    </w:p>
    <w:p>
      <w:pPr>
        <w:pStyle w:val="ListParagraph"/>
        <w:numPr>
          <w:ilvl w:val="1"/>
          <w:numId w:val="40"/>
        </w:numPr>
        <w:tabs>
          <w:tab w:pos="2160" w:val="left" w:leader="none"/>
        </w:tabs>
        <w:spacing w:line="240" w:lineRule="auto" w:before="161" w:after="0"/>
        <w:ind w:left="2160" w:right="0" w:hanging="360"/>
        <w:jc w:val="both"/>
        <w:rPr>
          <w:sz w:val="24"/>
        </w:rPr>
      </w:pPr>
      <w:r>
        <w:rPr>
          <w:sz w:val="24"/>
        </w:rPr>
        <w:t>新宁健康科学中心；</w:t>
      </w:r>
    </w:p>
    <w:p>
      <w:pPr>
        <w:pStyle w:val="ListParagraph"/>
        <w:numPr>
          <w:ilvl w:val="1"/>
          <w:numId w:val="40"/>
        </w:numPr>
        <w:tabs>
          <w:tab w:pos="2160" w:val="left" w:leader="none"/>
        </w:tabs>
        <w:spacing w:line="240" w:lineRule="auto" w:before="160" w:after="0"/>
        <w:ind w:left="2160" w:right="0" w:hanging="360"/>
        <w:jc w:val="both"/>
        <w:rPr>
          <w:sz w:val="24"/>
        </w:rPr>
      </w:pPr>
      <w:r>
        <w:rPr>
          <w:sz w:val="24"/>
        </w:rPr>
        <w:t>多伦多警方服务；</w:t>
      </w:r>
    </w:p>
    <w:p>
      <w:pPr>
        <w:pStyle w:val="ListParagraph"/>
        <w:numPr>
          <w:ilvl w:val="1"/>
          <w:numId w:val="40"/>
        </w:numPr>
        <w:tabs>
          <w:tab w:pos="2160" w:val="left" w:leader="none"/>
        </w:tabs>
        <w:spacing w:line="240" w:lineRule="auto" w:before="161" w:after="0"/>
        <w:ind w:left="2160" w:right="0" w:hanging="360"/>
        <w:jc w:val="both"/>
        <w:rPr>
          <w:sz w:val="24"/>
        </w:rPr>
      </w:pPr>
      <w:r>
        <w:rPr>
          <w:sz w:val="24"/>
        </w:rPr>
        <w:t>大学健康网络；</w:t>
      </w:r>
    </w:p>
    <w:p>
      <w:pPr>
        <w:pStyle w:val="ListParagraph"/>
        <w:numPr>
          <w:ilvl w:val="1"/>
          <w:numId w:val="40"/>
        </w:numPr>
        <w:tabs>
          <w:tab w:pos="2160" w:val="left" w:leader="none"/>
        </w:tabs>
        <w:spacing w:line="364" w:lineRule="auto" w:before="160" w:after="0"/>
        <w:ind w:left="1320" w:right="1577" w:firstLine="480"/>
        <w:jc w:val="both"/>
        <w:rPr>
          <w:sz w:val="24"/>
        </w:rPr>
      </w:pPr>
      <w:r>
        <w:rPr>
          <w:sz w:val="24"/>
        </w:rPr>
        <w:t>与舞蹈、戏剧艺术和媒体合作（</w:t>
      </w:r>
      <w:r>
        <w:rPr>
          <w:spacing w:val="-1"/>
          <w:sz w:val="24"/>
        </w:rPr>
        <w:t>通过讲故事、戏剧、舞蹈和新媒体建立</w:t>
      </w:r>
      <w:r>
        <w:rPr>
          <w:sz w:val="24"/>
        </w:rPr>
        <w:t>原住民和非原住民学生的跨文化理解）。</w:t>
      </w:r>
    </w:p>
    <w:p>
      <w:pPr>
        <w:pStyle w:val="BodyText"/>
        <w:spacing w:line="364" w:lineRule="auto" w:before="1"/>
        <w:ind w:left="1320" w:right="1577" w:firstLine="480"/>
        <w:jc w:val="both"/>
      </w:pPr>
      <w:r>
        <w:rPr>
          <w:spacing w:val="-7"/>
        </w:rPr>
        <w:t>学校到工作过渡是一个综合性的项目，针对于高中毕业直接就业或者自主创</w:t>
      </w:r>
      <w:r>
        <w:rPr>
          <w:spacing w:val="-10"/>
        </w:rPr>
        <w:t>业的学生。该项目包括了学校内的学习和基于工作场所的学习，包含了前述的工作跟随、工作结对、职场体验、合作教育，还包括对技能的深度训练，并且要求</w:t>
      </w:r>
      <w:r>
        <w:rPr>
          <w:spacing w:val="-8"/>
        </w:rPr>
        <w:t>雇主参与该项目的开发与设计。首先，该项目通过适当的工作跟随和职场体验项</w:t>
      </w:r>
    </w:p>
    <w:p>
      <w:pPr>
        <w:pStyle w:val="BodyText"/>
        <w:spacing w:line="20" w:lineRule="exact"/>
        <w:ind w:left="1320"/>
        <w:rPr>
          <w:sz w:val="2"/>
        </w:rPr>
      </w:pPr>
      <w:r>
        <w:rPr>
          <w:sz w:val="2"/>
        </w:rPr>
        <w:pict>
          <v:group style="width:144pt;height:.1pt;mso-position-horizontal-relative:char;mso-position-vertical-relative:line" coordorigin="0,0" coordsize="2880,2">
            <v:line style="position:absolute" from="0,0" to="2880,0" stroked="true" strokeweight="0pt" strokecolor="#000000">
              <v:stroke dashstyle="solid"/>
            </v:line>
          </v:group>
        </w:pict>
      </w:r>
      <w:r>
        <w:rPr>
          <w:sz w:val="2"/>
        </w:rPr>
      </w:r>
    </w:p>
    <w:p>
      <w:pPr>
        <w:spacing w:line="386" w:lineRule="auto" w:before="89"/>
        <w:ind w:left="1320" w:right="1614" w:firstLine="0"/>
        <w:jc w:val="left"/>
        <w:rPr>
          <w:rFonts w:ascii="Times New Roman"/>
          <w:sz w:val="18"/>
        </w:rPr>
      </w:pPr>
      <w:bookmarkStart w:name="_bookmark174" w:id="214"/>
      <w:bookmarkEnd w:id="214"/>
      <w:r>
        <w:rPr/>
      </w:r>
      <w:r>
        <w:rPr>
          <w:rFonts w:ascii="Times New Roman"/>
          <w:position w:val="7"/>
          <w:sz w:val="13"/>
        </w:rPr>
        <w:t>[1] </w:t>
      </w:r>
      <w:r>
        <w:rPr>
          <w:rFonts w:ascii="Times New Roman"/>
          <w:sz w:val="18"/>
        </w:rPr>
        <w:t>Toronto District School Board.Experiential Learning.[EB/OL]</w:t>
      </w:r>
      <w:hyperlink r:id="rId67">
        <w:r>
          <w:rPr>
            <w:rFonts w:ascii="Times New Roman"/>
            <w:sz w:val="18"/>
          </w:rPr>
          <w:t>.http://www.tdsb.on.ca/highschool/yourschoo</w:t>
        </w:r>
      </w:hyperlink>
      <w:r>
        <w:rPr>
          <w:rFonts w:ascii="Times New Roman"/>
          <w:sz w:val="18"/>
        </w:rPr>
        <w:t> lday/curriculum/experientiallearning.aspx.2017-2-13.</w:t>
      </w:r>
    </w:p>
    <w:p>
      <w:pPr>
        <w:spacing w:after="0" w:line="386" w:lineRule="auto"/>
        <w:jc w:val="left"/>
        <w:rPr>
          <w:rFonts w:ascii="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577"/>
        <w:jc w:val="both"/>
      </w:pPr>
      <w:r>
        <w:rPr>
          <w:spacing w:val="-8"/>
        </w:rPr>
        <w:t>目为学生提供生涯探索的机会；然后，学生将通过学校的课程学习获得更多深入</w:t>
      </w:r>
      <w:r>
        <w:rPr>
          <w:spacing w:val="-10"/>
        </w:rPr>
        <w:t>性训练，通过合作教育学习使学生发展所选择的职业的相关技能。学校要与雇主</w:t>
      </w:r>
      <w:r>
        <w:rPr/>
        <w:t>建立合作伙伴关系，为学生提供适当的工作场所。</w:t>
      </w:r>
    </w:p>
    <w:p>
      <w:pPr>
        <w:pStyle w:val="BodyText"/>
        <w:spacing w:line="364" w:lineRule="auto" w:before="2"/>
        <w:ind w:left="1320" w:right="1575" w:firstLine="480"/>
        <w:jc w:val="both"/>
      </w:pPr>
      <w:r>
        <w:rPr>
          <w:spacing w:val="-3"/>
        </w:rPr>
        <w:t>安大略省青年学徒计划，主要针对年龄在 </w:t>
      </w:r>
      <w:r>
        <w:rPr>
          <w:rFonts w:ascii="Times New Roman" w:eastAsia="Times New Roman"/>
        </w:rPr>
        <w:t>16 </w:t>
      </w:r>
      <w:r>
        <w:rPr/>
        <w:t>岁及以上的，一边参加学徒制</w:t>
      </w:r>
      <w:r>
        <w:rPr>
          <w:spacing w:val="-7"/>
        </w:rPr>
        <w:t>一边为毕业文凭奋斗的学生。该计划以合作教育为基础，致力于培养高中阶段学</w:t>
      </w:r>
      <w:r>
        <w:rPr>
          <w:spacing w:val="-10"/>
        </w:rPr>
        <w:t>徒工人。按照要求，已注册成为合作教育的学生，并年满 </w:t>
      </w:r>
      <w:r>
        <w:rPr>
          <w:rFonts w:ascii="Times New Roman" w:eastAsia="Times New Roman"/>
        </w:rPr>
        <w:t>16 </w:t>
      </w:r>
      <w:r>
        <w:rPr>
          <w:spacing w:val="-22"/>
        </w:rPr>
        <w:t>岁</w:t>
      </w:r>
      <w:r>
        <w:rPr/>
        <w:t>（</w:t>
      </w:r>
      <w:r>
        <w:rPr>
          <w:spacing w:val="-20"/>
        </w:rPr>
        <w:t>处于 </w:t>
      </w:r>
      <w:r>
        <w:rPr>
          <w:rFonts w:ascii="Times New Roman" w:eastAsia="Times New Roman"/>
          <w:spacing w:val="-3"/>
        </w:rPr>
        <w:t>11 </w:t>
      </w:r>
      <w:r>
        <w:rPr>
          <w:spacing w:val="-5"/>
        </w:rPr>
        <w:t>年级和</w:t>
      </w:r>
    </w:p>
    <w:p>
      <w:pPr>
        <w:pStyle w:val="BodyText"/>
        <w:spacing w:line="364" w:lineRule="auto" w:before="2"/>
        <w:ind w:left="1320" w:right="1577"/>
        <w:jc w:val="both"/>
      </w:pPr>
      <w:r>
        <w:rPr>
          <w:rFonts w:ascii="Times New Roman" w:eastAsia="Times New Roman"/>
        </w:rPr>
        <w:t>12 </w:t>
      </w:r>
      <w:r>
        <w:rPr/>
        <w:t>年级阶段</w:t>
      </w:r>
      <w:r>
        <w:rPr>
          <w:spacing w:val="-9"/>
        </w:rPr>
        <w:t>）</w:t>
      </w:r>
      <w:r>
        <w:rPr>
          <w:spacing w:val="-19"/>
        </w:rPr>
        <w:t>，修满 </w:t>
      </w:r>
      <w:r>
        <w:rPr>
          <w:rFonts w:ascii="Times New Roman" w:eastAsia="Times New Roman"/>
        </w:rPr>
        <w:t>16 </w:t>
      </w:r>
      <w:r>
        <w:rPr>
          <w:spacing w:val="-3"/>
        </w:rPr>
        <w:t>个学分才能申请成为学徒。与合作教育相比，该计划的</w:t>
      </w:r>
      <w:r>
        <w:rPr>
          <w:spacing w:val="-9"/>
        </w:rPr>
        <w:t>要求更为严格，不仅需要签订学徒合同，并且需要达到一定的技能要求，旨在培</w:t>
      </w:r>
      <w:r>
        <w:rPr/>
        <w:t>养技术工人。</w:t>
      </w:r>
    </w:p>
    <w:p>
      <w:pPr>
        <w:pStyle w:val="BodyText"/>
        <w:spacing w:before="1"/>
        <w:ind w:left="1800"/>
      </w:pPr>
      <w:r>
        <w:rPr/>
        <w:t>另外，安大略省还将生涯规划体验式学习渗透于课程学习中。以技术教育</w:t>
      </w:r>
    </w:p>
    <w:p>
      <w:pPr>
        <w:pStyle w:val="BodyText"/>
        <w:spacing w:line="364" w:lineRule="auto" w:before="161"/>
        <w:ind w:left="1320" w:right="1455"/>
      </w:pPr>
      <w:r>
        <w:rPr/>
        <w:t>（</w:t>
      </w:r>
      <w:r>
        <w:rPr>
          <w:rFonts w:ascii="Times New Roman" w:eastAsia="Times New Roman"/>
        </w:rPr>
        <w:t>Technological </w:t>
      </w:r>
      <w:r>
        <w:rPr>
          <w:rFonts w:ascii="Times New Roman" w:eastAsia="Times New Roman"/>
          <w:spacing w:val="-3"/>
        </w:rPr>
        <w:t>Education</w:t>
      </w:r>
      <w:r>
        <w:rPr>
          <w:spacing w:val="-3"/>
        </w:rPr>
        <w:t>）</w:t>
      </w:r>
      <w:r>
        <w:rPr>
          <w:spacing w:val="-15"/>
        </w:rPr>
        <w:t>为例，它为 </w:t>
      </w:r>
      <w:r>
        <w:rPr>
          <w:rFonts w:ascii="Times New Roman" w:eastAsia="Times New Roman"/>
        </w:rPr>
        <w:t>9-12 </w:t>
      </w:r>
      <w:r>
        <w:rPr>
          <w:spacing w:val="-7"/>
        </w:rPr>
        <w:t>年级的学生提供了 </w:t>
      </w:r>
      <w:r>
        <w:rPr>
          <w:rFonts w:ascii="Times New Roman" w:eastAsia="Times New Roman"/>
        </w:rPr>
        <w:t>10 </w:t>
      </w:r>
      <w:r>
        <w:rPr/>
        <w:t>个主题领域的</w:t>
      </w:r>
      <w:r>
        <w:rPr>
          <w:spacing w:val="-9"/>
        </w:rPr>
        <w:t>课程，分别是沟通技术、信息技术、建筑技术、环保技术、发型设计和美学、卫</w:t>
      </w:r>
      <w:r>
        <w:rPr>
          <w:spacing w:val="-12"/>
        </w:rPr>
        <w:t>生保健、旅游和教坛、制造技术、技术设计、运输技术。通过技术课程，学生可</w:t>
      </w:r>
      <w:r>
        <w:rPr>
          <w:spacing w:val="-16"/>
        </w:rPr>
        <w:t>以获得一定的技术知识和技能，问题解决能力，批判性思维，研究能力和培养创</w:t>
      </w:r>
      <w:r>
        <w:rPr>
          <w:spacing w:val="-18"/>
        </w:rPr>
        <w:t>造力。该课程以活动为基础，项目为导向，广泛开展项目学习和跨学科整合学习。</w:t>
      </w:r>
      <w:r>
        <w:rPr>
          <w:spacing w:val="-9"/>
        </w:rPr>
        <w:t>例如，当学生设计一个产品时，他们需要知道人类和社会对产品的需求，这与社</w:t>
      </w:r>
      <w:r>
        <w:rPr>
          <w:spacing w:val="-12"/>
        </w:rPr>
        <w:t>会科学相关；他们需要设计产品的尺寸和形状，这与数学方面相关；他们还需要</w:t>
      </w:r>
      <w:r>
        <w:rPr>
          <w:spacing w:val="-15"/>
        </w:rPr>
        <w:t>对产品的外形进行设计，这与艺术相关。当学生评估新技术可能对社会或学生产</w:t>
      </w:r>
      <w:r>
        <w:rPr>
          <w:spacing w:val="-14"/>
        </w:rPr>
        <w:t>生的影响时，他们是在探索历史或时事；当他们考虑各种技术如何影响健康和身</w:t>
      </w:r>
      <w:r>
        <w:rPr>
          <w:spacing w:val="-12"/>
        </w:rPr>
        <w:t>体健康时，他们研究的是健康和体育；当他们进行交流讨论、编写使用说明、生成报表与总结技术项目时，则运用了读写能力。</w:t>
      </w:r>
    </w:p>
    <w:p>
      <w:pPr>
        <w:pStyle w:val="BodyText"/>
        <w:spacing w:line="364" w:lineRule="auto" w:before="6"/>
        <w:ind w:left="1320" w:right="1563" w:firstLine="480"/>
        <w:jc w:val="both"/>
        <w:rPr>
          <w:rFonts w:ascii="Times New Roman" w:hAnsi="Times New Roman" w:eastAsia="Times New Roman"/>
          <w:sz w:val="15"/>
        </w:rPr>
      </w:pPr>
      <w:r>
        <w:rPr>
          <w:rFonts w:ascii="Times New Roman" w:hAnsi="Times New Roman" w:eastAsia="Times New Roman"/>
        </w:rPr>
        <w:t>2016 </w:t>
      </w:r>
      <w:r>
        <w:rPr/>
        <w:t>年底，安大略省又发布了最新的体验式学习政策文件草案——《社区联动体验式学习》（</w:t>
      </w:r>
      <w:r>
        <w:rPr>
          <w:spacing w:val="4"/>
        </w:rPr>
        <w:t>《</w:t>
      </w:r>
      <w:r>
        <w:rPr>
          <w:rFonts w:ascii="Times New Roman" w:hAnsi="Times New Roman" w:eastAsia="Times New Roman"/>
        </w:rPr>
        <w:t>Community-Connected Experiential Learning</w:t>
      </w:r>
      <w:r>
        <w:rPr/>
        <w:t>》，进一步指</w:t>
      </w:r>
      <w:r>
        <w:rPr>
          <w:spacing w:val="-6"/>
        </w:rPr>
        <w:t>明了体验式学习的发展方向，要求加强学校与校外社会力量的联系，同时将项目</w:t>
      </w:r>
      <w:r>
        <w:rPr>
          <w:spacing w:val="-10"/>
        </w:rPr>
        <w:t>学习、探究学习、问题解决学习、服务学习等都纳入体验式学习的范围，使得该省高中生的生涯体验式学习形式愈加丰富。</w:t>
      </w:r>
      <w:r>
        <w:rPr>
          <w:rFonts w:ascii="Times New Roman" w:hAnsi="Times New Roman" w:eastAsia="Times New Roman"/>
          <w:spacing w:val="-10"/>
          <w:position w:val="8"/>
          <w:sz w:val="15"/>
        </w:rPr>
        <w:t>[</w:t>
      </w:r>
      <w:hyperlink w:history="true" w:anchor="_bookmark175">
        <w:r>
          <w:rPr>
            <w:rFonts w:ascii="Times New Roman" w:hAnsi="Times New Roman" w:eastAsia="Times New Roman"/>
            <w:spacing w:val="-10"/>
            <w:position w:val="8"/>
            <w:sz w:val="15"/>
          </w:rPr>
          <w:t>1</w:t>
        </w:r>
      </w:hyperlink>
      <w:r>
        <w:rPr>
          <w:rFonts w:ascii="Times New Roman" w:hAnsi="Times New Roman" w:eastAsia="Times New Roman"/>
          <w:spacing w:val="-10"/>
          <w:position w:val="8"/>
          <w:sz w:val="15"/>
        </w:rPr>
        <w:t>]</w:t>
      </w:r>
    </w:p>
    <w:p>
      <w:pPr>
        <w:pStyle w:val="BodyText"/>
        <w:spacing w:line="364" w:lineRule="auto" w:before="3"/>
        <w:ind w:left="1320" w:right="1577" w:firstLine="480"/>
      </w:pPr>
      <w:r>
        <w:rPr>
          <w:spacing w:val="-10"/>
        </w:rPr>
        <w:t>可见，安大略省生涯规划教育的体验式学习形式与项目是相互联系的，虽然</w:t>
      </w:r>
      <w:r>
        <w:rPr>
          <w:spacing w:val="-8"/>
        </w:rPr>
        <w:t>在学习时间上有所差别，学习的要求也不一致，但是均致力于沟通学校生活与职</w:t>
      </w:r>
    </w:p>
    <w:p>
      <w:pPr>
        <w:spacing w:line="386" w:lineRule="auto" w:before="108"/>
        <w:ind w:left="1320" w:right="1587" w:firstLine="0"/>
        <w:jc w:val="left"/>
        <w:rPr>
          <w:rFonts w:ascii="Times New Roman"/>
          <w:sz w:val="18"/>
        </w:rPr>
      </w:pPr>
      <w:bookmarkStart w:name="_bookmark175" w:id="215"/>
      <w:bookmarkEnd w:id="215"/>
      <w:r>
        <w:rPr/>
      </w:r>
      <w:r>
        <w:rPr>
          <w:rFonts w:ascii="Times New Roman"/>
          <w:position w:val="7"/>
          <w:sz w:val="13"/>
        </w:rPr>
        <w:t>[1] </w:t>
      </w:r>
      <w:r>
        <w:rPr>
          <w:rFonts w:ascii="Times New Roman"/>
          <w:sz w:val="18"/>
        </w:rPr>
        <w:t>Ontario Ministry of Education.Community- Connected Experiential Learning.[EB/OL]</w:t>
      </w:r>
      <w:hyperlink r:id="rId70">
        <w:r>
          <w:rPr>
            <w:rFonts w:ascii="Times New Roman"/>
            <w:sz w:val="18"/>
          </w:rPr>
          <w:t>.http://www.edu.gov.</w:t>
        </w:r>
      </w:hyperlink>
      <w:r>
        <w:rPr>
          <w:rFonts w:ascii="Times New Roman"/>
          <w:sz w:val="18"/>
        </w:rPr>
        <w:t> on.ca/eng/general/elemsec/job/passport/CommunityConnected_ExperientialLearningEng.pdf.2017-3-10.</w:t>
      </w:r>
    </w:p>
    <w:p>
      <w:pPr>
        <w:spacing w:after="0" w:line="386" w:lineRule="auto"/>
        <w:jc w:val="left"/>
        <w:rPr>
          <w:rFonts w:ascii="Times New Roman"/>
          <w:sz w:val="18"/>
        </w:rPr>
        <w:sectPr>
          <w:headerReference w:type="default" r:id="rId68"/>
          <w:footerReference w:type="default" r:id="rId69"/>
          <w:pgSz w:w="11910" w:h="16840"/>
          <w:pgMar w:header="878" w:footer="1264" w:top="1300" w:bottom="1460" w:left="480" w:right="220"/>
        </w:sectPr>
      </w:pPr>
    </w:p>
    <w:p>
      <w:pPr>
        <w:pStyle w:val="BodyText"/>
        <w:spacing w:before="6"/>
        <w:rPr>
          <w:rFonts w:ascii="Times New Roman"/>
          <w:sz w:val="12"/>
        </w:rPr>
      </w:pPr>
    </w:p>
    <w:p>
      <w:pPr>
        <w:pStyle w:val="BodyText"/>
        <w:spacing w:line="364" w:lineRule="auto" w:before="66"/>
        <w:ind w:left="1320" w:right="1577"/>
      </w:pPr>
      <w:r>
        <w:rPr>
          <w:spacing w:val="-11"/>
        </w:rPr>
        <w:t>场生活，让学生积极参与实践活动，灵活运用知识，提升技能的同时提高学术成</w:t>
      </w:r>
      <w:r>
        <w:rPr/>
        <w:t>绩，顺利实现从学校到工作的过渡。</w:t>
      </w:r>
    </w:p>
    <w:p>
      <w:pPr>
        <w:pStyle w:val="BodyText"/>
        <w:spacing w:line="364" w:lineRule="auto" w:before="1"/>
        <w:ind w:left="1320" w:right="1485" w:firstLine="480"/>
      </w:pPr>
      <w:r>
        <w:rPr>
          <w:spacing w:val="2"/>
        </w:rPr>
        <w:t>加拿大安大略省在生涯规划教育实施过程中已形成一套较为完善的体验式</w:t>
      </w:r>
      <w:r>
        <w:rPr>
          <w:spacing w:val="-8"/>
        </w:rPr>
        <w:t>学习体系，努力构建学校与家长、社区、企业等社会力量的合作教育机制。从体</w:t>
      </w:r>
      <w:r>
        <w:rPr>
          <w:spacing w:val="-13"/>
        </w:rPr>
        <w:t>验学习的内容来看，它不仅注重学生的职场体验，而且强调为学生的高等教育做</w:t>
      </w:r>
      <w:r>
        <w:rPr>
          <w:spacing w:val="-14"/>
        </w:rPr>
        <w:t>准备，将高中教育与学生的未来发展联系起来，侧重培养学生将来学习、生活、</w:t>
      </w:r>
      <w:r>
        <w:rPr>
          <w:spacing w:val="-7"/>
        </w:rPr>
        <w:t>工作需要具备的能力；从体验学习的过程来看，它注重体验学习的前期准备，包</w:t>
      </w:r>
      <w:r>
        <w:rPr>
          <w:spacing w:val="-13"/>
        </w:rPr>
        <w:t>括学生对体验目的认识、相关技能的培训以及教师对体验场所的评估；整个过程</w:t>
      </w:r>
      <w:r>
        <w:rPr>
          <w:spacing w:val="-10"/>
        </w:rPr>
        <w:t>中，充分发挥教师、家长等的辅助作用，确保学生体验学习的顺利开展；体验之后学生的讨论、分享、分析也是体验学习不可缺失的部分。</w:t>
      </w:r>
    </w:p>
    <w:p>
      <w:pPr>
        <w:pStyle w:val="ListParagraph"/>
        <w:numPr>
          <w:ilvl w:val="3"/>
          <w:numId w:val="33"/>
        </w:numPr>
        <w:tabs>
          <w:tab w:pos="2100" w:val="left" w:leader="none"/>
        </w:tabs>
        <w:spacing w:line="240" w:lineRule="auto" w:before="5" w:after="0"/>
        <w:ind w:left="2100" w:right="0" w:hanging="780"/>
        <w:jc w:val="left"/>
        <w:rPr>
          <w:sz w:val="24"/>
        </w:rPr>
      </w:pPr>
      <w:r>
        <w:rPr>
          <w:sz w:val="24"/>
        </w:rPr>
        <w:t>生涯规划教育的其它实施方式</w:t>
      </w:r>
    </w:p>
    <w:p>
      <w:pPr>
        <w:pStyle w:val="BodyText"/>
        <w:spacing w:line="364" w:lineRule="auto" w:before="160"/>
        <w:ind w:left="1320" w:right="1523" w:firstLine="420"/>
      </w:pPr>
      <w:r>
        <w:rPr/>
        <w:t>除了体验式学习之外，发达国家的生涯规划教育还有以下几种主要的实施方式：</w:t>
      </w:r>
    </w:p>
    <w:p>
      <w:pPr>
        <w:pStyle w:val="ListParagraph"/>
        <w:numPr>
          <w:ilvl w:val="0"/>
          <w:numId w:val="41"/>
        </w:numPr>
        <w:tabs>
          <w:tab w:pos="1921" w:val="left" w:leader="none"/>
        </w:tabs>
        <w:spacing w:line="240" w:lineRule="auto" w:before="2" w:after="0"/>
        <w:ind w:left="1921" w:right="0" w:hanging="181"/>
        <w:jc w:val="left"/>
        <w:rPr>
          <w:sz w:val="24"/>
        </w:rPr>
      </w:pPr>
      <w:r>
        <w:rPr>
          <w:sz w:val="24"/>
        </w:rPr>
        <w:t>丰富的生涯规划教育课程群</w:t>
      </w:r>
    </w:p>
    <w:p>
      <w:pPr>
        <w:pStyle w:val="BodyText"/>
        <w:spacing w:line="364" w:lineRule="auto" w:before="160"/>
        <w:ind w:left="1320" w:right="1457" w:firstLine="420"/>
      </w:pPr>
      <w:r>
        <w:rPr>
          <w:spacing w:val="-2"/>
        </w:rPr>
        <w:t>“生涯群集”</w:t>
      </w:r>
      <w:r>
        <w:rPr>
          <w:spacing w:val="-8"/>
        </w:rPr>
        <w:t>（</w:t>
      </w:r>
      <w:r>
        <w:rPr>
          <w:rFonts w:ascii="Times New Roman" w:hAnsi="Times New Roman" w:eastAsia="Times New Roman"/>
          <w:spacing w:val="-8"/>
        </w:rPr>
        <w:t>career </w:t>
      </w:r>
      <w:r>
        <w:rPr>
          <w:rFonts w:ascii="Times New Roman" w:hAnsi="Times New Roman" w:eastAsia="Times New Roman"/>
          <w:spacing w:val="-7"/>
        </w:rPr>
        <w:t>cluster</w:t>
      </w:r>
      <w:r>
        <w:rPr>
          <w:spacing w:val="-7"/>
        </w:rPr>
        <w:t>）</w:t>
      </w:r>
      <w:r>
        <w:rPr>
          <w:spacing w:val="-3"/>
        </w:rPr>
        <w:t>，以较为宽泛的共同特征对普通的职业进行分</w:t>
      </w:r>
      <w:r>
        <w:rPr>
          <w:spacing w:val="-6"/>
        </w:rPr>
        <w:t>组，将多种性质相近的职业归纳至一组或者一群。</w:t>
      </w:r>
      <w:hyperlink w:history="true" w:anchor="_bookmark176">
        <w:r>
          <w:rPr>
            <w:rFonts w:ascii="Times New Roman" w:hAnsi="Times New Roman" w:eastAsia="Times New Roman"/>
            <w:position w:val="8"/>
            <w:sz w:val="15"/>
          </w:rPr>
          <w:t>[1</w:t>
        </w:r>
      </w:hyperlink>
      <w:r>
        <w:rPr>
          <w:rFonts w:ascii="Times New Roman" w:hAnsi="Times New Roman" w:eastAsia="Times New Roman"/>
          <w:position w:val="8"/>
          <w:sz w:val="15"/>
        </w:rPr>
        <w:t>]</w:t>
      </w:r>
      <w:r>
        <w:rPr/>
        <w:t>设置课程群旨在发展学生的</w:t>
      </w:r>
      <w:r>
        <w:rPr>
          <w:spacing w:val="-9"/>
        </w:rPr>
        <w:t>职业意识，拓宽学生在职业选择，让学生进行职业探索。“生涯群集”是美国生</w:t>
      </w:r>
      <w:r>
        <w:rPr>
          <w:spacing w:val="-14"/>
        </w:rPr>
        <w:t>涯与技术教育课程的基础，学生在“生涯群集”内，选择适合自己的课程，明晰</w:t>
      </w:r>
      <w:r>
        <w:rPr>
          <w:spacing w:val="-19"/>
        </w:rPr>
        <w:t>发展目标，并且在某一职业领域打下基础，同时对于想要获得大学学分的高中生， </w:t>
      </w:r>
      <w:r>
        <w:rPr/>
        <w:t>可以在高中毕业后继续学习其选择的课程，也为学生接受高等教育做准备。</w:t>
      </w:r>
    </w:p>
    <w:p>
      <w:pPr>
        <w:pStyle w:val="BodyText"/>
        <w:spacing w:line="364" w:lineRule="auto" w:before="4"/>
        <w:ind w:left="1320" w:right="1455" w:firstLine="420"/>
      </w:pPr>
      <w:r>
        <w:rPr>
          <w:spacing w:val="-4"/>
        </w:rPr>
        <w:t>以美国为例，美国职业群课程设置了系统的计划及从中学、中学后教育到工</w:t>
      </w:r>
      <w:r>
        <w:rPr>
          <w:spacing w:val="-11"/>
        </w:rPr>
        <w:t>作场所的职业路径，它将技能与学术进行整合，使学校到工作实现无痕衔接。美</w:t>
      </w:r>
      <w:r>
        <w:rPr>
          <w:spacing w:val="-15"/>
        </w:rPr>
        <w:t>国国家生涯群集框架提出了 </w:t>
      </w:r>
      <w:r>
        <w:rPr>
          <w:rFonts w:ascii="Times New Roman" w:eastAsia="Times New Roman"/>
        </w:rPr>
        <w:t>16 </w:t>
      </w:r>
      <w:r>
        <w:rPr/>
        <w:t>类生涯群集，农业、食品与自然资源，建造艺术</w:t>
      </w:r>
      <w:r>
        <w:rPr>
          <w:spacing w:val="-10"/>
        </w:rPr>
        <w:t>与建筑，艺术、媒体与交流，商业管理和行政管理，教育和培训，金融，政府和</w:t>
      </w:r>
      <w:r>
        <w:rPr>
          <w:spacing w:val="-17"/>
        </w:rPr>
        <w:t>公共行政管理，健康科学，酒店及旅游，人类服务，信息技术，法律、公共安全、</w:t>
      </w:r>
      <w:r>
        <w:rPr/>
        <w:t>维护与安全，制造，市场营销，科学、技术、工程和数学，运输、销售和物流， </w:t>
      </w:r>
      <w:r>
        <w:rPr>
          <w:spacing w:val="-10"/>
        </w:rPr>
        <w:t>代表了超过 </w:t>
      </w:r>
      <w:r>
        <w:rPr>
          <w:rFonts w:ascii="Times New Roman" w:eastAsia="Times New Roman"/>
        </w:rPr>
        <w:t>79 </w:t>
      </w:r>
      <w:r>
        <w:rPr/>
        <w:t>种生涯发展道路，帮助学生在制定个人计划时丰富生涯选择的范</w:t>
      </w:r>
    </w:p>
    <w:p>
      <w:pPr>
        <w:pStyle w:val="BodyText"/>
        <w:rPr>
          <w:sz w:val="20"/>
        </w:rPr>
      </w:pPr>
    </w:p>
    <w:p>
      <w:pPr>
        <w:pStyle w:val="BodyText"/>
        <w:rPr>
          <w:sz w:val="20"/>
        </w:rPr>
      </w:pPr>
    </w:p>
    <w:p>
      <w:pPr>
        <w:pStyle w:val="BodyText"/>
        <w:spacing w:before="11"/>
        <w:rPr>
          <w:sz w:val="15"/>
        </w:rPr>
      </w:pPr>
      <w:r>
        <w:rPr/>
        <w:pict>
          <v:shape style="position:absolute;margin-left:90pt;margin-top:12.128945pt;width:144pt;height:.1pt;mso-position-horizontal-relative:page;mso-position-vertical-relative:paragraph;z-index:-251568128;mso-wrap-distance-left:0;mso-wrap-distance-right:0" coordorigin="1800,243" coordsize="2880,0" path="m1800,243l4680,243e" filled="false" stroked="true" strokeweight="0pt" strokecolor="#000000">
            <v:path arrowok="t"/>
            <v:stroke dashstyle="solid"/>
            <w10:wrap type="topAndBottom"/>
          </v:shape>
        </w:pict>
      </w:r>
    </w:p>
    <w:p>
      <w:pPr>
        <w:spacing w:before="99"/>
        <w:ind w:left="1320" w:right="0" w:firstLine="0"/>
        <w:jc w:val="left"/>
        <w:rPr>
          <w:rFonts w:ascii="Times New Roman" w:eastAsia="Times New Roman"/>
          <w:sz w:val="18"/>
        </w:rPr>
      </w:pPr>
      <w:bookmarkStart w:name="_bookmark176" w:id="216"/>
      <w:bookmarkEnd w:id="216"/>
      <w:r>
        <w:rPr/>
      </w:r>
      <w:r>
        <w:rPr>
          <w:rFonts w:ascii="Times New Roman" w:eastAsia="Times New Roman"/>
          <w:position w:val="7"/>
          <w:sz w:val="13"/>
        </w:rPr>
        <w:t>[1] </w:t>
      </w:r>
      <w:r>
        <w:rPr>
          <w:sz w:val="18"/>
        </w:rPr>
        <w:t>王文槿，闫红.生涯技术教育下的美国中等职业群课程[J].中国职业技术教育，</w:t>
      </w:r>
      <w:r>
        <w:rPr>
          <w:rFonts w:ascii="Times New Roman" w:eastAsia="Times New Roman"/>
          <w:sz w:val="18"/>
        </w:rPr>
        <w:t>2010</w:t>
      </w:r>
      <w:r>
        <w:rPr>
          <w:sz w:val="18"/>
        </w:rPr>
        <w:t>（</w:t>
      </w:r>
      <w:r>
        <w:rPr>
          <w:rFonts w:ascii="Times New Roman" w:eastAsia="Times New Roman"/>
          <w:sz w:val="18"/>
        </w:rPr>
        <w:t>25</w:t>
      </w:r>
      <w:r>
        <w:rPr>
          <w:sz w:val="18"/>
        </w:rPr>
        <w:t>）：</w:t>
      </w:r>
      <w:r>
        <w:rPr>
          <w:rFonts w:ascii="Times New Roman" w:eastAsia="Times New Roman"/>
          <w:sz w:val="18"/>
        </w:rPr>
        <w:t>72.</w:t>
      </w:r>
    </w:p>
    <w:p>
      <w:pPr>
        <w:spacing w:after="0"/>
        <w:jc w:val="left"/>
        <w:rPr>
          <w:rFonts w:ascii="Times New Roman" w:eastAsia="Times New Roman"/>
          <w:sz w:val="18"/>
        </w:rPr>
        <w:sectPr>
          <w:headerReference w:type="default" r:id="rId71"/>
          <w:footerReference w:type="default" r:id="rId72"/>
          <w:pgSz w:w="11910" w:h="16840"/>
          <w:pgMar w:header="878" w:footer="1191" w:top="1300" w:bottom="1380" w:left="480" w:right="220"/>
          <w:pgNumType w:start="56"/>
        </w:sectPr>
      </w:pPr>
    </w:p>
    <w:p>
      <w:pPr>
        <w:pStyle w:val="BodyText"/>
        <w:spacing w:before="3"/>
        <w:rPr>
          <w:rFonts w:ascii="Times New Roman"/>
          <w:sz w:val="11"/>
        </w:rPr>
      </w:pPr>
    </w:p>
    <w:p>
      <w:pPr>
        <w:pStyle w:val="BodyText"/>
        <w:spacing w:line="364" w:lineRule="auto" w:before="80"/>
        <w:ind w:left="1319" w:right="1476"/>
      </w:pPr>
      <w:r>
        <w:rPr/>
        <w:t>围，让他们在高中、学院或者生涯上获得成功。</w:t>
      </w:r>
      <w:hyperlink w:history="true" w:anchor="_bookmark177">
        <w:r>
          <w:rPr>
            <w:rFonts w:ascii="Times New Roman" w:eastAsia="Times New Roman"/>
            <w:position w:val="8"/>
            <w:sz w:val="15"/>
          </w:rPr>
          <w:t>[1</w:t>
        </w:r>
      </w:hyperlink>
      <w:r>
        <w:rPr>
          <w:rFonts w:ascii="Times New Roman" w:eastAsia="Times New Roman"/>
          <w:position w:val="8"/>
          <w:sz w:val="15"/>
        </w:rPr>
        <w:t>]</w:t>
      </w:r>
      <w:r>
        <w:rPr/>
        <w:t>以美国加利福尼亚州的艺术、媒体和娱乐产业生涯群集为例，这一群集有 </w:t>
      </w:r>
      <w:r>
        <w:rPr>
          <w:rFonts w:ascii="Times New Roman" w:eastAsia="Times New Roman"/>
        </w:rPr>
        <w:t>3 </w:t>
      </w:r>
      <w:r>
        <w:rPr/>
        <w:t>条通路，共涵盖了 </w:t>
      </w:r>
      <w:r>
        <w:rPr>
          <w:rFonts w:ascii="Times New Roman" w:eastAsia="Times New Roman"/>
        </w:rPr>
        <w:t>40 </w:t>
      </w:r>
      <w:r>
        <w:rPr/>
        <w:t>个职业，笔</w:t>
      </w:r>
    </w:p>
    <w:p>
      <w:pPr>
        <w:pStyle w:val="BodyText"/>
        <w:spacing w:before="2"/>
        <w:ind w:left="1319"/>
        <w:rPr>
          <w:rFonts w:ascii="Times New Roman" w:eastAsia="Times New Roman"/>
          <w:sz w:val="15"/>
        </w:rPr>
      </w:pPr>
      <w:r>
        <w:rPr/>
        <w:t>者统计分析如表 </w:t>
      </w:r>
      <w:r>
        <w:rPr>
          <w:rFonts w:ascii="Times New Roman" w:eastAsia="Times New Roman"/>
        </w:rPr>
        <w:t>5.1 </w:t>
      </w:r>
      <w:r>
        <w:rPr/>
        <w:t>所示：</w:t>
      </w:r>
      <w:r>
        <w:rPr>
          <w:rFonts w:ascii="Times New Roman" w:eastAsia="Times New Roman"/>
          <w:position w:val="8"/>
          <w:sz w:val="15"/>
        </w:rPr>
        <w:t>[</w:t>
      </w:r>
      <w:hyperlink w:history="true" w:anchor="_bookmark178">
        <w:r>
          <w:rPr>
            <w:rFonts w:ascii="Times New Roman" w:eastAsia="Times New Roman"/>
            <w:position w:val="8"/>
            <w:sz w:val="15"/>
          </w:rPr>
          <w:t>2</w:t>
        </w:r>
      </w:hyperlink>
      <w:r>
        <w:rPr>
          <w:rFonts w:ascii="Times New Roman" w:eastAsia="Times New Roman"/>
          <w:position w:val="8"/>
          <w:sz w:val="15"/>
        </w:rPr>
        <w:t>]</w:t>
      </w:r>
    </w:p>
    <w:p>
      <w:pPr>
        <w:pStyle w:val="BodyText"/>
        <w:spacing w:before="6"/>
        <w:rPr>
          <w:rFonts w:ascii="Times New Roman"/>
          <w:sz w:val="23"/>
        </w:rPr>
      </w:pPr>
    </w:p>
    <w:p>
      <w:pPr>
        <w:pStyle w:val="BodyText"/>
        <w:tabs>
          <w:tab w:pos="839" w:val="left" w:leader="none"/>
        </w:tabs>
        <w:spacing w:before="77"/>
        <w:ind w:right="453"/>
        <w:jc w:val="center"/>
      </w:pPr>
      <w:r>
        <w:rPr/>
        <w:t>表</w:t>
      </w:r>
      <w:r>
        <w:rPr>
          <w:spacing w:val="-60"/>
        </w:rPr>
        <w:t> </w:t>
      </w:r>
      <w:r>
        <w:rPr>
          <w:rFonts w:ascii="Times New Roman" w:eastAsia="Times New Roman"/>
        </w:rPr>
        <w:t>2.8</w:t>
        <w:tab/>
      </w:r>
      <w:r>
        <w:rPr/>
        <w:t>美国加利福尼亚州艺术</w:t>
      </w:r>
      <w:r>
        <w:rPr>
          <w:spacing w:val="-29"/>
        </w:rPr>
        <w:t>、</w:t>
      </w:r>
      <w:r>
        <w:rPr/>
        <w:t>媒体和娱乐产业生涯路径</w:t>
      </w:r>
    </w:p>
    <w:p>
      <w:pPr>
        <w:pStyle w:val="BodyText"/>
        <w:spacing w:before="1"/>
        <w:rPr>
          <w:sz w:val="25"/>
        </w:rPr>
      </w:pPr>
      <w:r>
        <w:rPr/>
        <w:pict>
          <v:shape style="position:absolute;margin-left:89.550003pt;margin-top:18.785019pt;width:403.9pt;height:.1pt;mso-position-horizontal-relative:page;mso-position-vertical-relative:paragraph;z-index:-251567104;mso-wrap-distance-left:0;mso-wrap-distance-right:0" coordorigin="1791,376" coordsize="8078,0" path="m1791,376l9869,376e" filled="false" stroked="true" strokeweight="1.44pt" strokecolor="#000000">
            <v:path arrowok="t"/>
            <v:stroke dashstyle="solid"/>
            <w10:wrap type="topAndBottom"/>
          </v:shape>
        </w:pict>
      </w:r>
    </w:p>
    <w:p>
      <w:pPr>
        <w:pStyle w:val="BodyText"/>
        <w:spacing w:before="10"/>
        <w:rPr>
          <w:sz w:val="12"/>
        </w:rPr>
      </w:pPr>
    </w:p>
    <w:p>
      <w:pPr>
        <w:spacing w:after="0"/>
        <w:rPr>
          <w:sz w:val="12"/>
        </w:rPr>
        <w:sectPr>
          <w:pgSz w:w="11910" w:h="16840"/>
          <w:pgMar w:header="878" w:footer="1191" w:top="1300" w:bottom="1380" w:left="480" w:right="220"/>
        </w:sectPr>
      </w:pPr>
    </w:p>
    <w:p>
      <w:pPr>
        <w:pStyle w:val="BodyText"/>
        <w:spacing w:line="242" w:lineRule="auto" w:before="67"/>
        <w:ind w:left="1418" w:right="38"/>
      </w:pPr>
      <w:r>
        <w:rPr/>
        <w:t>艺术、媒体和娱乐产业生涯路径</w:t>
      </w:r>
    </w:p>
    <w:p>
      <w:pPr>
        <w:pStyle w:val="BodyText"/>
        <w:spacing w:before="71"/>
        <w:ind w:left="1418"/>
      </w:pPr>
      <w:r>
        <w:rPr/>
        <w:br w:type="column"/>
      </w:r>
      <w:r>
        <w:rPr/>
        <w:t>涉及的职业</w:t>
      </w:r>
    </w:p>
    <w:p>
      <w:pPr>
        <w:spacing w:after="0"/>
        <w:sectPr>
          <w:type w:val="continuous"/>
          <w:pgSz w:w="11910" w:h="16840"/>
          <w:pgMar w:top="1580" w:bottom="280" w:left="480" w:right="220"/>
          <w:cols w:num="2" w:equalWidth="0">
            <w:col w:w="3703" w:space="859"/>
            <w:col w:w="6648"/>
          </w:cols>
        </w:sectPr>
      </w:pPr>
    </w:p>
    <w:p>
      <w:pPr>
        <w:pStyle w:val="BodyText"/>
        <w:spacing w:before="1"/>
        <w:rPr>
          <w:sz w:val="12"/>
        </w:rPr>
      </w:pPr>
    </w:p>
    <w:p>
      <w:pPr>
        <w:pStyle w:val="BodyText"/>
        <w:spacing w:line="30" w:lineRule="exact"/>
        <w:ind w:left="1296"/>
        <w:rPr>
          <w:sz w:val="3"/>
        </w:rPr>
      </w:pPr>
      <w:r>
        <w:rPr>
          <w:position w:val="0"/>
          <w:sz w:val="3"/>
        </w:rPr>
        <w:pict>
          <v:group style="width:403.9pt;height:1.45pt;mso-position-horizontal-relative:char;mso-position-vertical-relative:line" coordorigin="0,0" coordsize="8078,29">
            <v:line style="position:absolute" from="0,14" to="8078,14" stroked="true" strokeweight="1.44pt" strokecolor="#000000">
              <v:stroke dashstyle="solid"/>
            </v:line>
          </v:group>
        </w:pict>
      </w:r>
      <w:r>
        <w:rPr>
          <w:position w:val="0"/>
          <w:sz w:val="3"/>
        </w:rPr>
      </w:r>
    </w:p>
    <w:p>
      <w:pPr>
        <w:spacing w:after="0" w:line="30" w:lineRule="exact"/>
        <w:rPr>
          <w:sz w:val="3"/>
        </w:rPr>
        <w:sectPr>
          <w:type w:val="continuous"/>
          <w:pgSz w:w="11910" w:h="16840"/>
          <w:pgMar w:top="1580" w:bottom="280" w:left="480" w:right="220"/>
        </w:sectPr>
      </w:pPr>
    </w:p>
    <w:p>
      <w:pPr>
        <w:pStyle w:val="BodyText"/>
      </w:pPr>
    </w:p>
    <w:p>
      <w:pPr>
        <w:pStyle w:val="BodyText"/>
        <w:spacing w:before="11"/>
      </w:pPr>
    </w:p>
    <w:p>
      <w:pPr>
        <w:pStyle w:val="BodyText"/>
        <w:spacing w:line="242" w:lineRule="auto"/>
        <w:ind w:left="1418" w:firstLine="420"/>
      </w:pPr>
      <w:r>
        <w:rPr>
          <w:spacing w:val="17"/>
        </w:rPr>
        <w:t>媒体和设计艺术</w:t>
      </w:r>
      <w:r>
        <w:rPr/>
        <w:t>职业途径选择</w:t>
      </w:r>
    </w:p>
    <w:p>
      <w:pPr>
        <w:pStyle w:val="BodyText"/>
      </w:pPr>
    </w:p>
    <w:p>
      <w:pPr>
        <w:pStyle w:val="BodyText"/>
        <w:spacing w:before="12"/>
      </w:pPr>
    </w:p>
    <w:p>
      <w:pPr>
        <w:pStyle w:val="BodyText"/>
        <w:ind w:left="1838"/>
      </w:pPr>
      <w:r>
        <w:rPr/>
        <w:t>表演艺术</w:t>
      </w:r>
    </w:p>
    <w:p>
      <w:pPr>
        <w:pStyle w:val="BodyText"/>
      </w:pPr>
    </w:p>
    <w:p>
      <w:pPr>
        <w:pStyle w:val="BodyText"/>
      </w:pPr>
    </w:p>
    <w:p>
      <w:pPr>
        <w:pStyle w:val="BodyText"/>
      </w:pPr>
    </w:p>
    <w:p>
      <w:pPr>
        <w:pStyle w:val="BodyText"/>
        <w:spacing w:before="9"/>
        <w:rPr>
          <w:sz w:val="25"/>
        </w:rPr>
      </w:pPr>
    </w:p>
    <w:p>
      <w:pPr>
        <w:pStyle w:val="BodyText"/>
        <w:spacing w:before="1"/>
        <w:ind w:left="1838"/>
      </w:pPr>
      <w:r>
        <w:rPr/>
        <w:t>生产与管理艺术</w:t>
      </w:r>
    </w:p>
    <w:p>
      <w:pPr>
        <w:pStyle w:val="BodyText"/>
        <w:spacing w:line="242" w:lineRule="auto" w:before="2"/>
        <w:ind w:left="178" w:right="1863" w:firstLine="420"/>
        <w:jc w:val="both"/>
      </w:pPr>
      <w:r>
        <w:rPr/>
        <w:br w:type="column"/>
      </w:r>
      <w:r>
        <w:rPr>
          <w:spacing w:val="-1"/>
        </w:rPr>
        <w:t>影片加载程序、动画助理、化妆师、画广告牌、</w:t>
      </w:r>
      <w:r>
        <w:rPr>
          <w:spacing w:val="-2"/>
        </w:rPr>
        <w:t>电视录像、道具制作、剪裁师</w:t>
      </w:r>
      <w:r>
        <w:rPr>
          <w:rFonts w:ascii="Times New Roman" w:eastAsia="Times New Roman"/>
        </w:rPr>
        <w:t>/</w:t>
      </w:r>
      <w:r>
        <w:rPr/>
        <w:t>装配工</w:t>
      </w:r>
      <w:r>
        <w:rPr>
          <w:rFonts w:ascii="Times New Roman" w:eastAsia="Times New Roman"/>
        </w:rPr>
        <w:t>/</w:t>
      </w:r>
      <w:r>
        <w:rPr>
          <w:spacing w:val="-2"/>
        </w:rPr>
        <w:t>女裁缝、特技</w:t>
      </w:r>
      <w:r>
        <w:rPr>
          <w:spacing w:val="-12"/>
        </w:rPr>
        <w:t>协调员、网页设计师、用户界面设计师、音响师、医学和科学插画师、编剧、媒体和艺术设计讲师</w:t>
      </w:r>
    </w:p>
    <w:p>
      <w:pPr>
        <w:pStyle w:val="BodyText"/>
        <w:spacing w:before="10"/>
      </w:pPr>
    </w:p>
    <w:p>
      <w:pPr>
        <w:pStyle w:val="BodyText"/>
        <w:spacing w:line="242" w:lineRule="auto"/>
        <w:ind w:left="178" w:right="1923" w:firstLine="420"/>
        <w:jc w:val="both"/>
      </w:pPr>
      <w:r>
        <w:rPr>
          <w:spacing w:val="-7"/>
        </w:rPr>
        <w:t>音乐节目主持人、演员、播音员、旁白演员、特</w:t>
      </w:r>
      <w:r>
        <w:rPr/>
        <w:t>技替身、音乐管理、广播</w:t>
      </w:r>
      <w:r>
        <w:rPr>
          <w:rFonts w:ascii="Times New Roman" w:eastAsia="Times New Roman"/>
        </w:rPr>
        <w:t>/</w:t>
      </w:r>
      <w:r>
        <w:rPr/>
        <w:t>电视播音、音乐伴奏、音乐总监</w:t>
      </w:r>
      <w:r>
        <w:rPr>
          <w:rFonts w:ascii="Times New Roman" w:eastAsia="Times New Roman"/>
        </w:rPr>
        <w:t>/</w:t>
      </w:r>
      <w:r>
        <w:rPr/>
        <w:t>指挥、声学家、电影作曲家、舞蹈编导</w:t>
      </w:r>
    </w:p>
    <w:p>
      <w:pPr>
        <w:pStyle w:val="BodyText"/>
        <w:spacing w:before="9"/>
      </w:pPr>
    </w:p>
    <w:p>
      <w:pPr>
        <w:pStyle w:val="BodyText"/>
        <w:spacing w:line="242" w:lineRule="auto"/>
        <w:ind w:left="178" w:right="1923" w:firstLine="420"/>
        <w:jc w:val="both"/>
      </w:pPr>
      <w:r>
        <w:rPr>
          <w:spacing w:val="-9"/>
        </w:rPr>
        <w:t>调焦员、胶片安装员、摄影机车台场务、磁带或</w:t>
      </w:r>
      <w:r>
        <w:rPr>
          <w:spacing w:val="-13"/>
        </w:rPr>
        <w:t>影片记录、第一摄影助理、主管、脚本监督员、底片剪辑师、制片人与执行制片人、声音设计编辑、视觉</w:t>
      </w:r>
      <w:r>
        <w:rPr/>
        <w:t>效果协调员、第二摄制组导演</w:t>
      </w:r>
    </w:p>
    <w:p>
      <w:pPr>
        <w:spacing w:after="0" w:line="242" w:lineRule="auto"/>
        <w:jc w:val="both"/>
        <w:sectPr>
          <w:type w:val="continuous"/>
          <w:pgSz w:w="11910" w:h="16840"/>
          <w:pgMar w:top="1580" w:bottom="280" w:left="480" w:right="220"/>
          <w:cols w:num="2" w:equalWidth="0">
            <w:col w:w="3663" w:space="40"/>
            <w:col w:w="7507"/>
          </w:cols>
        </w:sectPr>
      </w:pPr>
    </w:p>
    <w:p>
      <w:pPr>
        <w:pStyle w:val="BodyText"/>
        <w:rPr>
          <w:sz w:val="20"/>
        </w:rPr>
      </w:pPr>
    </w:p>
    <w:p>
      <w:pPr>
        <w:pStyle w:val="BodyText"/>
        <w:spacing w:before="9"/>
        <w:rPr>
          <w:sz w:val="10"/>
        </w:rPr>
      </w:pPr>
    </w:p>
    <w:p>
      <w:pPr>
        <w:pStyle w:val="BodyText"/>
        <w:spacing w:line="30" w:lineRule="exact"/>
        <w:ind w:left="1296"/>
        <w:rPr>
          <w:sz w:val="3"/>
        </w:rPr>
      </w:pPr>
      <w:r>
        <w:rPr>
          <w:position w:val="0"/>
          <w:sz w:val="3"/>
        </w:rPr>
        <w:pict>
          <v:group style="width:403.9pt;height:1.45pt;mso-position-horizontal-relative:char;mso-position-vertical-relative:line" coordorigin="0,0" coordsize="8078,29">
            <v:line style="position:absolute" from="0,14" to="8078,14" stroked="true" strokeweight="1.44pt" strokecolor="#000000">
              <v:stroke dashstyle="solid"/>
            </v:line>
          </v:group>
        </w:pict>
      </w:r>
      <w:r>
        <w:rPr>
          <w:position w:val="0"/>
          <w:sz w:val="3"/>
        </w:rPr>
      </w:r>
    </w:p>
    <w:p>
      <w:pPr>
        <w:pStyle w:val="BodyText"/>
        <w:rPr>
          <w:sz w:val="20"/>
        </w:rPr>
      </w:pPr>
    </w:p>
    <w:p>
      <w:pPr>
        <w:pStyle w:val="BodyText"/>
        <w:spacing w:before="1"/>
        <w:rPr>
          <w:sz w:val="17"/>
        </w:rPr>
      </w:pPr>
    </w:p>
    <w:p>
      <w:pPr>
        <w:pStyle w:val="ListParagraph"/>
        <w:numPr>
          <w:ilvl w:val="0"/>
          <w:numId w:val="41"/>
        </w:numPr>
        <w:tabs>
          <w:tab w:pos="2101" w:val="left" w:leader="none"/>
        </w:tabs>
        <w:spacing w:line="240" w:lineRule="auto" w:before="74" w:after="0"/>
        <w:ind w:left="2101" w:right="0" w:hanging="181"/>
        <w:jc w:val="left"/>
        <w:rPr>
          <w:sz w:val="24"/>
        </w:rPr>
      </w:pPr>
      <w:r>
        <w:rPr>
          <w:sz w:val="24"/>
        </w:rPr>
        <w:t>专题讲座</w:t>
      </w:r>
    </w:p>
    <w:p>
      <w:pPr>
        <w:pStyle w:val="BodyText"/>
        <w:spacing w:line="364" w:lineRule="auto" w:before="161"/>
        <w:ind w:left="1320" w:right="1457" w:firstLine="600"/>
      </w:pPr>
      <w:r>
        <w:rPr/>
        <w:pict>
          <v:shape style="position:absolute;margin-left:90pt;margin-top:152.150009pt;width:144pt;height:.1pt;mso-position-horizontal-relative:page;mso-position-vertical-relative:paragraph;z-index:-251564032;mso-wrap-distance-left:0;mso-wrap-distance-right:0" coordorigin="1800,3043" coordsize="2880,0" path="m1800,3043l4680,3043e" filled="false" stroked="true" strokeweight="0pt" strokecolor="#000000">
            <v:path arrowok="t"/>
            <v:stroke dashstyle="solid"/>
            <w10:wrap type="topAndBottom"/>
          </v:shape>
        </w:pict>
      </w:r>
      <w:r>
        <w:rPr/>
        <w:t>专题讲座也是有效的生涯规划教育实施方式之一，发达国家的一些学校会</w:t>
      </w:r>
      <w:r>
        <w:rPr>
          <w:spacing w:val="-4"/>
        </w:rPr>
        <w:t>经常邀请各领域内的知名人士到校做讲座。如日本高中通常以</w:t>
      </w:r>
      <w:r>
        <w:rPr>
          <w:rFonts w:ascii="Times New Roman" w:hAnsi="Times New Roman" w:eastAsia="Times New Roman"/>
        </w:rPr>
        <w:t>“</w:t>
      </w:r>
      <w:r>
        <w:rPr/>
        <w:t>讲师</w:t>
      </w:r>
      <w:r>
        <w:rPr>
          <w:rFonts w:ascii="Times New Roman" w:hAnsi="Times New Roman" w:eastAsia="Times New Roman"/>
        </w:rPr>
        <w:t>”</w:t>
      </w:r>
      <w:r>
        <w:rPr/>
        <w:t>讲解为主的</w:t>
      </w:r>
      <w:r>
        <w:rPr>
          <w:spacing w:val="-7"/>
        </w:rPr>
        <w:t>形式开设讲座，增进高中生的生涯认知。“讲师”人选十分丰富，可以是学校辅</w:t>
      </w:r>
      <w:r>
        <w:rPr>
          <w:spacing w:val="-17"/>
        </w:rPr>
        <w:t>导员、校友、教授，也可以是企业人才；讲座的内容五花八门，涉及了职业领域、</w:t>
      </w:r>
      <w:r>
        <w:rPr>
          <w:spacing w:val="-11"/>
        </w:rPr>
        <w:t>职业前景、大学生活展望、高考志愿填报等；讲师的讲解过程也要注重与学生之</w:t>
      </w:r>
      <w:r>
        <w:rPr>
          <w:spacing w:val="-10"/>
        </w:rPr>
        <w:t>间的互动，重视解答学生的困惑，以此加强讲座的针对性和有效性。</w:t>
      </w:r>
      <w:r>
        <w:rPr>
          <w:rFonts w:ascii="Times New Roman" w:hAnsi="Times New Roman" w:eastAsia="Times New Roman"/>
          <w:position w:val="8"/>
          <w:sz w:val="15"/>
        </w:rPr>
        <w:t>[</w:t>
      </w:r>
      <w:hyperlink w:history="true" w:anchor="_bookmark179">
        <w:r>
          <w:rPr>
            <w:rFonts w:ascii="Times New Roman" w:hAnsi="Times New Roman" w:eastAsia="Times New Roman"/>
            <w:position w:val="8"/>
            <w:sz w:val="15"/>
          </w:rPr>
          <w:t>3</w:t>
        </w:r>
      </w:hyperlink>
      <w:r>
        <w:rPr>
          <w:rFonts w:ascii="Times New Roman" w:hAnsi="Times New Roman" w:eastAsia="Times New Roman"/>
          <w:position w:val="8"/>
          <w:sz w:val="15"/>
        </w:rPr>
        <w:t>]</w:t>
      </w:r>
      <w:r>
        <w:rPr/>
        <w:t>英国的伊</w:t>
      </w:r>
    </w:p>
    <w:p>
      <w:pPr>
        <w:spacing w:line="386" w:lineRule="auto" w:before="97"/>
        <w:ind w:left="1320" w:right="1629" w:firstLine="0"/>
        <w:jc w:val="left"/>
        <w:rPr>
          <w:rFonts w:ascii="Times New Roman"/>
          <w:sz w:val="18"/>
        </w:rPr>
      </w:pPr>
      <w:bookmarkStart w:name="_bookmark177" w:id="217"/>
      <w:bookmarkEnd w:id="217"/>
      <w:r>
        <w:rPr/>
      </w:r>
      <w:r>
        <w:rPr>
          <w:rFonts w:ascii="Times New Roman"/>
          <w:position w:val="7"/>
          <w:sz w:val="13"/>
        </w:rPr>
        <w:t>[1] </w:t>
      </w:r>
      <w:r>
        <w:rPr>
          <w:rFonts w:ascii="Times New Roman"/>
          <w:sz w:val="18"/>
        </w:rPr>
        <w:t>Advance CTE: State Leaders Connecting Learning to Work.Career Clusters.[EB/OL]..https://careertech.or g/Career-Clusters.2016-5-19.</w:t>
      </w:r>
    </w:p>
    <w:p>
      <w:pPr>
        <w:spacing w:line="215" w:lineRule="exact" w:before="0"/>
        <w:ind w:left="1320" w:right="0" w:firstLine="0"/>
        <w:jc w:val="left"/>
        <w:rPr>
          <w:rFonts w:ascii="Times New Roman"/>
          <w:sz w:val="18"/>
        </w:rPr>
      </w:pPr>
      <w:bookmarkStart w:name="_bookmark178" w:id="218"/>
      <w:bookmarkEnd w:id="218"/>
      <w:r>
        <w:rPr/>
      </w:r>
      <w:r>
        <w:rPr>
          <w:rFonts w:ascii="Times New Roman"/>
          <w:position w:val="7"/>
          <w:sz w:val="13"/>
        </w:rPr>
        <w:t>[2] </w:t>
      </w:r>
      <w:r>
        <w:rPr>
          <w:rFonts w:ascii="Times New Roman"/>
          <w:sz w:val="18"/>
        </w:rPr>
        <w:t>California CTE Standards and Framework Advisory Group.Career Technical Education Framework for</w:t>
      </w:r>
    </w:p>
    <w:p>
      <w:pPr>
        <w:spacing w:before="126"/>
        <w:ind w:left="1320" w:right="0" w:firstLine="0"/>
        <w:jc w:val="left"/>
        <w:rPr>
          <w:rFonts w:ascii="Times New Roman"/>
          <w:sz w:val="18"/>
        </w:rPr>
      </w:pPr>
      <w:r>
        <w:rPr>
          <w:rFonts w:ascii="Times New Roman"/>
          <w:sz w:val="18"/>
        </w:rPr>
        <w:t>California Public Schools.[EB/OL]</w:t>
      </w:r>
      <w:hyperlink r:id="rId73">
        <w:r>
          <w:rPr>
            <w:rFonts w:ascii="Times New Roman"/>
            <w:sz w:val="18"/>
          </w:rPr>
          <w:t>http://www.pdfdrive.com/career-technical-education-framework-for-california</w:t>
        </w:r>
      </w:hyperlink>
    </w:p>
    <w:p>
      <w:pPr>
        <w:spacing w:before="103"/>
        <w:ind w:left="1320" w:right="0" w:firstLine="0"/>
        <w:jc w:val="left"/>
        <w:rPr>
          <w:rFonts w:ascii="Times New Roman"/>
          <w:sz w:val="18"/>
        </w:rPr>
      </w:pPr>
      <w:r>
        <w:rPr>
          <w:rFonts w:ascii="Times New Roman"/>
          <w:sz w:val="18"/>
        </w:rPr>
        <w:t>-public-schools-e969532.html.2017-1-19.</w:t>
      </w:r>
    </w:p>
    <w:p>
      <w:pPr>
        <w:spacing w:before="110"/>
        <w:ind w:left="1320" w:right="0" w:firstLine="0"/>
        <w:jc w:val="left"/>
        <w:rPr>
          <w:rFonts w:ascii="Times New Roman" w:eastAsia="Times New Roman"/>
          <w:sz w:val="18"/>
        </w:rPr>
      </w:pPr>
      <w:bookmarkStart w:name="_bookmark179" w:id="219"/>
      <w:bookmarkEnd w:id="219"/>
      <w:r>
        <w:rPr/>
      </w:r>
      <w:r>
        <w:rPr>
          <w:rFonts w:ascii="Times New Roman" w:eastAsia="Times New Roman"/>
          <w:position w:val="7"/>
          <w:sz w:val="13"/>
        </w:rPr>
        <w:t>[3] </w:t>
      </w:r>
      <w:r>
        <w:rPr>
          <w:sz w:val="18"/>
        </w:rPr>
        <w:t>韩晓玥</w:t>
      </w:r>
      <w:r>
        <w:rPr>
          <w:rFonts w:ascii="Times New Roman" w:eastAsia="Times New Roman"/>
          <w:sz w:val="18"/>
        </w:rPr>
        <w:t>.</w:t>
      </w:r>
      <w:r>
        <w:rPr>
          <w:sz w:val="18"/>
        </w:rPr>
        <w:t>日本普通高中学生职业生涯教育研究</w:t>
      </w:r>
      <w:r>
        <w:rPr>
          <w:rFonts w:ascii="Times New Roman" w:eastAsia="Times New Roman"/>
          <w:sz w:val="18"/>
        </w:rPr>
        <w:t>.[D].</w:t>
      </w:r>
      <w:r>
        <w:rPr>
          <w:sz w:val="18"/>
        </w:rPr>
        <w:t>大连市：辽宁师范大学硕士论文，</w:t>
      </w:r>
      <w:r>
        <w:rPr>
          <w:rFonts w:ascii="Times New Roman" w:eastAsia="Times New Roman"/>
          <w:sz w:val="18"/>
        </w:rPr>
        <w:t>2009</w:t>
      </w:r>
      <w:r>
        <w:rPr>
          <w:sz w:val="18"/>
        </w:rPr>
        <w:t>：</w:t>
      </w:r>
      <w:r>
        <w:rPr>
          <w:rFonts w:ascii="Times New Roman" w:eastAsia="Times New Roman"/>
          <w:sz w:val="18"/>
        </w:rPr>
        <w:t>21.</w:t>
      </w:r>
    </w:p>
    <w:p>
      <w:pPr>
        <w:spacing w:after="0"/>
        <w:jc w:val="left"/>
        <w:rPr>
          <w:rFonts w:ascii="Times New Roman" w:eastAsia="Times New Roman"/>
          <w:sz w:val="18"/>
        </w:rPr>
        <w:sectPr>
          <w:type w:val="continuous"/>
          <w:pgSz w:w="11910" w:h="16840"/>
          <w:pgMar w:top="1580" w:bottom="280" w:left="480" w:right="220"/>
        </w:sectPr>
      </w:pPr>
    </w:p>
    <w:p>
      <w:pPr>
        <w:pStyle w:val="BodyText"/>
        <w:spacing w:before="6"/>
        <w:rPr>
          <w:rFonts w:ascii="Times New Roman"/>
          <w:sz w:val="12"/>
        </w:rPr>
      </w:pPr>
    </w:p>
    <w:p>
      <w:pPr>
        <w:pStyle w:val="BodyText"/>
        <w:spacing w:line="364" w:lineRule="auto" w:before="66"/>
        <w:ind w:left="1320" w:right="1577"/>
        <w:rPr>
          <w:rFonts w:ascii="Times New Roman" w:eastAsia="Times New Roman"/>
          <w:sz w:val="15"/>
        </w:rPr>
      </w:pPr>
      <w:r>
        <w:rPr>
          <w:spacing w:val="-6"/>
        </w:rPr>
        <w:t>顿公学经常会定期邀请各个行业内的精英，到校开展讲座，有时也会组织学生到</w:t>
      </w:r>
      <w:r>
        <w:rPr/>
        <w:t>中学或者大学听相关的专业兴趣讲座。</w:t>
      </w:r>
      <w:r>
        <w:rPr>
          <w:rFonts w:ascii="Times New Roman" w:eastAsia="Times New Roman"/>
          <w:position w:val="8"/>
          <w:sz w:val="15"/>
        </w:rPr>
        <w:t>[</w:t>
      </w:r>
      <w:hyperlink w:history="true" w:anchor="_bookmark180">
        <w:r>
          <w:rPr>
            <w:rFonts w:ascii="Times New Roman" w:eastAsia="Times New Roman"/>
            <w:position w:val="8"/>
            <w:sz w:val="15"/>
          </w:rPr>
          <w:t>1</w:t>
        </w:r>
      </w:hyperlink>
      <w:r>
        <w:rPr>
          <w:rFonts w:ascii="Times New Roman" w:eastAsia="Times New Roman"/>
          <w:position w:val="8"/>
          <w:sz w:val="15"/>
        </w:rPr>
        <w:t>]</w:t>
      </w:r>
    </w:p>
    <w:p>
      <w:pPr>
        <w:pStyle w:val="ListParagraph"/>
        <w:numPr>
          <w:ilvl w:val="0"/>
          <w:numId w:val="41"/>
        </w:numPr>
        <w:tabs>
          <w:tab w:pos="1981" w:val="left" w:leader="none"/>
        </w:tabs>
        <w:spacing w:line="240" w:lineRule="auto" w:before="1" w:after="0"/>
        <w:ind w:left="1981" w:right="0" w:hanging="182"/>
        <w:jc w:val="left"/>
        <w:rPr>
          <w:sz w:val="24"/>
        </w:rPr>
      </w:pPr>
      <w:r>
        <w:rPr>
          <w:sz w:val="24"/>
        </w:rPr>
        <w:t>个别指导</w:t>
      </w:r>
    </w:p>
    <w:p>
      <w:pPr>
        <w:pStyle w:val="BodyText"/>
        <w:spacing w:line="364" w:lineRule="auto" w:before="161"/>
        <w:ind w:left="1319" w:right="1445" w:firstLine="480"/>
        <w:rPr>
          <w:rFonts w:ascii="Times New Roman" w:hAnsi="Times New Roman" w:eastAsia="Times New Roman"/>
          <w:sz w:val="15"/>
        </w:rPr>
      </w:pPr>
      <w:r>
        <w:rPr>
          <w:spacing w:val="-6"/>
        </w:rPr>
        <w:t>每个学生都是独一无二的，有独特的个性，不同的学生之间也存在差异。因</w:t>
      </w:r>
      <w:r>
        <w:rPr>
          <w:spacing w:val="-10"/>
        </w:rPr>
        <w:t>此，有必要针对学生的个性特征与差异化需求展开生涯规划个别指导，发达国家</w:t>
      </w:r>
      <w:r>
        <w:rPr>
          <w:spacing w:val="-14"/>
        </w:rPr>
        <w:t>特别重视学生的个别生涯指导服务。在日本，普通高中有专门的生涯导师，生涯</w:t>
      </w:r>
      <w:r>
        <w:rPr>
          <w:spacing w:val="-18"/>
        </w:rPr>
        <w:t>导师会以多种多样的形式辅导学生，个别指导就是其中之一。生涯导师通过个人</w:t>
      </w:r>
      <w:r>
        <w:rPr>
          <w:spacing w:val="-9"/>
        </w:rPr>
        <w:t>辅导，为学生提供生涯信息，让学生摆脱生涯规划中的彷徨与困惑。</w:t>
      </w:r>
      <w:r>
        <w:rPr>
          <w:rFonts w:ascii="Times New Roman" w:hAnsi="Times New Roman" w:eastAsia="Times New Roman"/>
          <w:position w:val="8"/>
          <w:sz w:val="15"/>
        </w:rPr>
        <w:t>[</w:t>
      </w:r>
      <w:hyperlink w:history="true" w:anchor="_bookmark181">
        <w:r>
          <w:rPr>
            <w:rFonts w:ascii="Times New Roman" w:hAnsi="Times New Roman" w:eastAsia="Times New Roman"/>
            <w:position w:val="8"/>
            <w:sz w:val="15"/>
          </w:rPr>
          <w:t>2</w:t>
        </w:r>
      </w:hyperlink>
      <w:r>
        <w:rPr>
          <w:rFonts w:ascii="Times New Roman" w:hAnsi="Times New Roman" w:eastAsia="Times New Roman"/>
          <w:position w:val="8"/>
          <w:sz w:val="15"/>
        </w:rPr>
        <w:t>]</w:t>
      </w:r>
      <w:r>
        <w:rPr/>
        <w:t>在加拿大</w:t>
      </w:r>
      <w:r>
        <w:rPr>
          <w:spacing w:val="-9"/>
        </w:rPr>
        <w:t>安大略省，每个学校设有生涯中心，配备专职学习顾问，他们主要解答学生在职</w:t>
      </w:r>
      <w:r>
        <w:rPr>
          <w:spacing w:val="-8"/>
        </w:rPr>
        <w:t>业选择、从事该职业需要的教育以及实现目标的步骤这三个方面的问题。</w:t>
      </w:r>
      <w:r>
        <w:rPr>
          <w:rFonts w:ascii="Times New Roman" w:hAnsi="Times New Roman" w:eastAsia="Times New Roman"/>
          <w:position w:val="8"/>
          <w:sz w:val="15"/>
        </w:rPr>
        <w:t>[</w:t>
      </w:r>
      <w:hyperlink w:history="true" w:anchor="_bookmark182">
        <w:r>
          <w:rPr>
            <w:rFonts w:ascii="Times New Roman" w:hAnsi="Times New Roman" w:eastAsia="Times New Roman"/>
            <w:position w:val="8"/>
            <w:sz w:val="15"/>
          </w:rPr>
          <w:t>3</w:t>
        </w:r>
      </w:hyperlink>
      <w:r>
        <w:rPr>
          <w:rFonts w:ascii="Times New Roman" w:hAnsi="Times New Roman" w:eastAsia="Times New Roman"/>
          <w:position w:val="8"/>
          <w:sz w:val="15"/>
        </w:rPr>
        <w:t>]</w:t>
      </w:r>
      <w:r>
        <w:rPr/>
        <w:t>不仅</w:t>
      </w:r>
      <w:r>
        <w:rPr>
          <w:spacing w:val="-11"/>
        </w:rPr>
        <w:t>如此，在加拿大安大略省，幼儿园至 </w:t>
      </w:r>
      <w:r>
        <w:rPr>
          <w:rFonts w:ascii="Times New Roman" w:hAnsi="Times New Roman" w:eastAsia="Times New Roman"/>
        </w:rPr>
        <w:t>6 </w:t>
      </w:r>
      <w:r>
        <w:rPr>
          <w:spacing w:val="-4"/>
        </w:rPr>
        <w:t>年级的学生都有一份名为“关于我”的档</w:t>
      </w:r>
      <w:r>
        <w:rPr>
          <w:spacing w:val="-7"/>
        </w:rPr>
        <w:t>案，档案中有学生的照片、评论、同伴或家长的建议、教师的反馈等信息，</w:t>
      </w:r>
      <w:r>
        <w:rPr>
          <w:rFonts w:ascii="Times New Roman" w:hAnsi="Times New Roman" w:eastAsia="Times New Roman"/>
          <w:spacing w:val="-3"/>
        </w:rPr>
        <w:t>7-12 </w:t>
      </w:r>
      <w:r>
        <w:rPr>
          <w:spacing w:val="-2"/>
        </w:rPr>
        <w:t>年级的学生则开始制定个人通路计划</w:t>
      </w:r>
      <w:r>
        <w:rPr/>
        <w:t>（</w:t>
      </w:r>
      <w:r>
        <w:rPr>
          <w:rFonts w:ascii="Times New Roman" w:hAnsi="Times New Roman" w:eastAsia="Times New Roman"/>
        </w:rPr>
        <w:t>the Individual Pathways </w:t>
      </w:r>
      <w:r>
        <w:rPr>
          <w:rFonts w:ascii="Times New Roman" w:hAnsi="Times New Roman" w:eastAsia="Times New Roman"/>
          <w:spacing w:val="-5"/>
        </w:rPr>
        <w:t>Plan</w:t>
      </w:r>
      <w:r>
        <w:rPr>
          <w:spacing w:val="-17"/>
        </w:rPr>
        <w:t>，简称 </w:t>
      </w:r>
      <w:r>
        <w:rPr>
          <w:rFonts w:ascii="Times New Roman" w:hAnsi="Times New Roman" w:eastAsia="Times New Roman"/>
          <w:spacing w:val="-5"/>
        </w:rPr>
        <w:t>IPP</w:t>
      </w:r>
      <w:r>
        <w:rPr>
          <w:spacing w:val="-5"/>
        </w:rPr>
        <w:t>）， </w:t>
      </w:r>
      <w:r>
        <w:rPr>
          <w:rFonts w:ascii="Times New Roman" w:hAnsi="Times New Roman" w:eastAsia="Times New Roman"/>
        </w:rPr>
        <w:t>IPP </w:t>
      </w:r>
      <w:r>
        <w:rPr>
          <w:spacing w:val="-3"/>
        </w:rPr>
        <w:t>成为了学生进行个人规划的主要工具，不断积累的 </w:t>
      </w:r>
      <w:r>
        <w:rPr>
          <w:rFonts w:ascii="Times New Roman" w:hAnsi="Times New Roman" w:eastAsia="Times New Roman"/>
        </w:rPr>
        <w:t>IPP</w:t>
      </w:r>
      <w:r>
        <w:rPr/>
        <w:t>，为学生提供了宝贵</w:t>
      </w:r>
      <w:r>
        <w:rPr>
          <w:spacing w:val="-4"/>
        </w:rPr>
        <w:t>的资源，帮助他们进行个人规划。</w:t>
      </w:r>
      <w:r>
        <w:rPr>
          <w:rFonts w:ascii="Times New Roman" w:hAnsi="Times New Roman" w:eastAsia="Times New Roman"/>
          <w:position w:val="8"/>
          <w:sz w:val="15"/>
        </w:rPr>
        <w:t>[</w:t>
      </w:r>
      <w:hyperlink w:history="true" w:anchor="_bookmark183">
        <w:r>
          <w:rPr>
            <w:rFonts w:ascii="Times New Roman" w:hAnsi="Times New Roman" w:eastAsia="Times New Roman"/>
            <w:position w:val="8"/>
            <w:sz w:val="15"/>
          </w:rPr>
          <w:t>4</w:t>
        </w:r>
      </w:hyperlink>
      <w:r>
        <w:rPr>
          <w:rFonts w:ascii="Times New Roman" w:hAnsi="Times New Roman" w:eastAsia="Times New Roman"/>
          <w:position w:val="8"/>
          <w:sz w:val="15"/>
        </w:rPr>
        <w:t>]</w:t>
      </w:r>
      <w:r>
        <w:rPr>
          <w:spacing w:val="-1"/>
        </w:rPr>
        <w:t>美国中学非常注重学生的个性发展，每个学</w:t>
      </w:r>
      <w:r>
        <w:rPr>
          <w:spacing w:val="-7"/>
        </w:rPr>
        <w:t>生都有一份个性化的文件夹，要求教师平常注重积累和搜集学生的各项资料，包</w:t>
      </w:r>
      <w:r>
        <w:rPr>
          <w:spacing w:val="-18"/>
        </w:rPr>
        <w:t>括学生的学业成绩、个性特长、兴趣能力测验结果等，为学生生涯抉择提供参考。</w:t>
      </w:r>
      <w:r>
        <w:rPr>
          <w:rFonts w:ascii="Times New Roman" w:hAnsi="Times New Roman" w:eastAsia="Times New Roman"/>
          <w:spacing w:val="-18"/>
          <w:position w:val="8"/>
          <w:sz w:val="15"/>
        </w:rPr>
        <w:t>[</w:t>
      </w:r>
      <w:hyperlink w:history="true" w:anchor="_bookmark184">
        <w:r>
          <w:rPr>
            <w:rFonts w:ascii="Times New Roman" w:hAnsi="Times New Roman" w:eastAsia="Times New Roman"/>
            <w:spacing w:val="-18"/>
            <w:position w:val="8"/>
            <w:sz w:val="15"/>
          </w:rPr>
          <w:t>5</w:t>
        </w:r>
      </w:hyperlink>
      <w:r>
        <w:rPr>
          <w:rFonts w:ascii="Times New Roman" w:hAnsi="Times New Roman" w:eastAsia="Times New Roman"/>
          <w:spacing w:val="-18"/>
          <w:position w:val="8"/>
          <w:sz w:val="15"/>
        </w:rPr>
        <w:t>]</w:t>
      </w:r>
      <w:r>
        <w:rPr>
          <w:spacing w:val="-19"/>
        </w:rPr>
        <w:t>位于英国的兰开夏郡的公园高中</w:t>
      </w:r>
      <w:r>
        <w:rPr/>
        <w:t>（</w:t>
      </w:r>
      <w:r>
        <w:rPr>
          <w:rFonts w:ascii="Times New Roman" w:hAnsi="Times New Roman" w:eastAsia="Times New Roman"/>
        </w:rPr>
        <w:t>Parklands High </w:t>
      </w:r>
      <w:r>
        <w:rPr>
          <w:rFonts w:ascii="Times New Roman" w:hAnsi="Times New Roman" w:eastAsia="Times New Roman"/>
          <w:spacing w:val="-8"/>
        </w:rPr>
        <w:t>School</w:t>
      </w:r>
      <w:r>
        <w:rPr>
          <w:spacing w:val="-8"/>
        </w:rPr>
        <w:t>），</w:t>
      </w:r>
      <w:r>
        <w:rPr/>
        <w:t>每周四和周五让学</w:t>
      </w:r>
      <w:r>
        <w:rPr>
          <w:spacing w:val="-1"/>
        </w:rPr>
        <w:t>生与该校的生涯顾问</w:t>
      </w:r>
      <w:r>
        <w:rPr>
          <w:rFonts w:ascii="Times New Roman" w:hAnsi="Times New Roman" w:eastAsia="Times New Roman"/>
        </w:rPr>
        <w:t>(Mark</w:t>
      </w:r>
      <w:r>
        <w:rPr>
          <w:rFonts w:ascii="Times New Roman" w:hAnsi="Times New Roman" w:eastAsia="Times New Roman"/>
          <w:spacing w:val="8"/>
        </w:rPr>
        <w:t> </w:t>
      </w:r>
      <w:r>
        <w:rPr>
          <w:rFonts w:ascii="Times New Roman" w:hAnsi="Times New Roman" w:eastAsia="Times New Roman"/>
        </w:rPr>
        <w:t>Holt</w:t>
      </w:r>
      <w:r>
        <w:rPr/>
        <w:t>）就相关问题进行一对一交流。学生、家长、监</w:t>
      </w:r>
      <w:r>
        <w:rPr>
          <w:spacing w:val="-5"/>
        </w:rPr>
        <w:t>护人可通过邮件直接申请一次面对面的交流，也可通过邮件咨询与职业相关的问题，他会提供一些重要的建议和指导，也为一些学生提供个人行动指导。</w:t>
      </w:r>
      <w:r>
        <w:rPr>
          <w:rFonts w:ascii="Times New Roman" w:hAnsi="Times New Roman" w:eastAsia="Times New Roman"/>
          <w:spacing w:val="-5"/>
          <w:position w:val="8"/>
          <w:sz w:val="15"/>
        </w:rPr>
        <w:t>[</w:t>
      </w:r>
      <w:hyperlink w:history="true" w:anchor="_bookmark185">
        <w:r>
          <w:rPr>
            <w:rFonts w:ascii="Times New Roman" w:hAnsi="Times New Roman" w:eastAsia="Times New Roman"/>
            <w:spacing w:val="-5"/>
            <w:position w:val="8"/>
            <w:sz w:val="15"/>
          </w:rPr>
          <w:t>6</w:t>
        </w:r>
      </w:hyperlink>
      <w:r>
        <w:rPr>
          <w:rFonts w:ascii="Times New Roman" w:hAnsi="Times New Roman" w:eastAsia="Times New Roman"/>
          <w:spacing w:val="-5"/>
          <w:position w:val="8"/>
          <w:sz w:val="15"/>
        </w:rPr>
        <w:t>]</w:t>
      </w:r>
    </w:p>
    <w:p>
      <w:pPr>
        <w:pStyle w:val="BodyText"/>
        <w:rPr>
          <w:rFonts w:ascii="Times New Roman"/>
          <w:sz w:val="20"/>
        </w:rPr>
      </w:pPr>
    </w:p>
    <w:p>
      <w:pPr>
        <w:pStyle w:val="BodyText"/>
        <w:spacing w:before="9"/>
        <w:rPr>
          <w:rFonts w:ascii="Times New Roman"/>
          <w:sz w:val="19"/>
        </w:rPr>
      </w:pPr>
      <w:r>
        <w:rPr/>
        <w:pict>
          <v:shape style="position:absolute;margin-left:90pt;margin-top:13.329922pt;width:144pt;height:.1pt;mso-position-horizontal-relative:page;mso-position-vertical-relative:paragraph;z-index:-251563008;mso-wrap-distance-left:0;mso-wrap-distance-right:0" coordorigin="1800,267" coordsize="2880,0" path="m1800,267l4680,267e" filled="false" stroked="true" strokeweight="0pt" strokecolor="#000000">
            <v:path arrowok="t"/>
            <v:stroke dashstyle="solid"/>
            <w10:wrap type="topAndBottom"/>
          </v:shape>
        </w:pict>
      </w:r>
    </w:p>
    <w:p>
      <w:pPr>
        <w:spacing w:before="98"/>
        <w:ind w:left="1320" w:right="0" w:firstLine="0"/>
        <w:jc w:val="left"/>
        <w:rPr>
          <w:rFonts w:ascii="Times New Roman" w:eastAsia="Times New Roman"/>
          <w:sz w:val="18"/>
        </w:rPr>
      </w:pPr>
      <w:bookmarkStart w:name="_bookmark180" w:id="220"/>
      <w:bookmarkEnd w:id="220"/>
      <w:r>
        <w:rPr/>
      </w:r>
      <w:r>
        <w:rPr>
          <w:rFonts w:ascii="Times New Roman" w:eastAsia="Times New Roman"/>
          <w:position w:val="7"/>
          <w:sz w:val="13"/>
        </w:rPr>
        <w:t>[1] </w:t>
      </w:r>
      <w:r>
        <w:rPr>
          <w:sz w:val="18"/>
        </w:rPr>
        <w:t>刘晓倩</w:t>
      </w:r>
      <w:r>
        <w:rPr>
          <w:rFonts w:ascii="Times New Roman" w:eastAsia="Times New Roman"/>
          <w:sz w:val="18"/>
        </w:rPr>
        <w:t>.</w:t>
      </w:r>
      <w:r>
        <w:rPr>
          <w:sz w:val="18"/>
        </w:rPr>
        <w:t>英国中学生涯教育述评</w:t>
      </w:r>
      <w:r>
        <w:rPr>
          <w:rFonts w:ascii="Times New Roman" w:eastAsia="Times New Roman"/>
          <w:sz w:val="18"/>
        </w:rPr>
        <w:t>.[J].</w:t>
      </w:r>
      <w:r>
        <w:rPr>
          <w:sz w:val="18"/>
        </w:rPr>
        <w:t>外国中小学教育，</w:t>
      </w:r>
      <w:r>
        <w:rPr>
          <w:rFonts w:ascii="Times New Roman" w:eastAsia="Times New Roman"/>
          <w:sz w:val="18"/>
        </w:rPr>
        <w:t>2014</w:t>
      </w:r>
      <w:r>
        <w:rPr>
          <w:sz w:val="18"/>
        </w:rPr>
        <w:t>（</w:t>
      </w:r>
      <w:r>
        <w:rPr>
          <w:rFonts w:ascii="Times New Roman" w:eastAsia="Times New Roman"/>
          <w:sz w:val="18"/>
        </w:rPr>
        <w:t>6</w:t>
      </w:r>
      <w:r>
        <w:rPr>
          <w:sz w:val="18"/>
        </w:rPr>
        <w:t>）：</w:t>
      </w:r>
      <w:r>
        <w:rPr>
          <w:rFonts w:ascii="Times New Roman" w:eastAsia="Times New Roman"/>
          <w:sz w:val="18"/>
        </w:rPr>
        <w:t>28.</w:t>
      </w:r>
    </w:p>
    <w:p>
      <w:pPr>
        <w:spacing w:before="127"/>
        <w:ind w:left="1320" w:right="0" w:firstLine="0"/>
        <w:jc w:val="left"/>
        <w:rPr>
          <w:rFonts w:ascii="Times New Roman" w:eastAsia="Times New Roman"/>
          <w:sz w:val="18"/>
        </w:rPr>
      </w:pPr>
      <w:bookmarkStart w:name="_bookmark181" w:id="221"/>
      <w:bookmarkEnd w:id="221"/>
      <w:r>
        <w:rPr/>
      </w:r>
      <w:r>
        <w:rPr>
          <w:rFonts w:ascii="Times New Roman" w:eastAsia="Times New Roman"/>
          <w:position w:val="7"/>
          <w:sz w:val="13"/>
        </w:rPr>
        <w:t>[2] </w:t>
      </w:r>
      <w:r>
        <w:rPr>
          <w:sz w:val="18"/>
        </w:rPr>
        <w:t>韩晓玥</w:t>
      </w:r>
      <w:r>
        <w:rPr>
          <w:rFonts w:ascii="Times New Roman" w:eastAsia="Times New Roman"/>
          <w:sz w:val="18"/>
        </w:rPr>
        <w:t>.</w:t>
      </w:r>
      <w:r>
        <w:rPr>
          <w:sz w:val="18"/>
        </w:rPr>
        <w:t>日本普通高中学生职业生涯教育研究</w:t>
      </w:r>
      <w:r>
        <w:rPr>
          <w:rFonts w:ascii="Times New Roman" w:eastAsia="Times New Roman"/>
          <w:sz w:val="18"/>
        </w:rPr>
        <w:t>.[D].</w:t>
      </w:r>
      <w:r>
        <w:rPr>
          <w:sz w:val="18"/>
        </w:rPr>
        <w:t>大连市：辽宁师范大学硕士论文，</w:t>
      </w:r>
      <w:r>
        <w:rPr>
          <w:rFonts w:ascii="Times New Roman" w:eastAsia="Times New Roman"/>
          <w:sz w:val="18"/>
        </w:rPr>
        <w:t>2009</w:t>
      </w:r>
      <w:r>
        <w:rPr>
          <w:sz w:val="18"/>
        </w:rPr>
        <w:t>：</w:t>
      </w:r>
      <w:r>
        <w:rPr>
          <w:rFonts w:ascii="Times New Roman" w:eastAsia="Times New Roman"/>
          <w:sz w:val="18"/>
        </w:rPr>
        <w:t>22.</w:t>
      </w:r>
    </w:p>
    <w:p>
      <w:pPr>
        <w:spacing w:line="364" w:lineRule="auto" w:before="128"/>
        <w:ind w:left="1319" w:right="1641" w:firstLine="0"/>
        <w:jc w:val="both"/>
        <w:rPr>
          <w:rFonts w:ascii="Times New Roman" w:eastAsia="Times New Roman"/>
          <w:sz w:val="18"/>
        </w:rPr>
      </w:pPr>
      <w:bookmarkStart w:name="_bookmark182" w:id="222"/>
      <w:bookmarkEnd w:id="222"/>
      <w:r>
        <w:rPr/>
      </w:r>
      <w:r>
        <w:rPr>
          <w:rFonts w:ascii="Times New Roman" w:eastAsia="Times New Roman"/>
          <w:position w:val="7"/>
          <w:sz w:val="13"/>
        </w:rPr>
        <w:t>[3] </w:t>
      </w:r>
      <w:r>
        <w:rPr>
          <w:sz w:val="18"/>
        </w:rPr>
        <w:t>北美洲的职业生涯规划教育什么样</w:t>
      </w:r>
      <w:r>
        <w:rPr>
          <w:rFonts w:ascii="Times New Roman" w:eastAsia="Times New Roman"/>
          <w:sz w:val="18"/>
        </w:rPr>
        <w:t>?[EB/OL]</w:t>
      </w:r>
      <w:hyperlink r:id="rId74">
        <w:r>
          <w:rPr>
            <w:rFonts w:ascii="Times New Roman" w:eastAsia="Times New Roman"/>
            <w:sz w:val="18"/>
          </w:rPr>
          <w:t>.http://blog.sina.com.cn/s/blog_502e7a6d0102v5m5.html.2017.</w:t>
        </w:r>
      </w:hyperlink>
      <w:r>
        <w:rPr>
          <w:rFonts w:ascii="Times New Roman" w:eastAsia="Times New Roman"/>
          <w:sz w:val="18"/>
        </w:rPr>
        <w:t> 2-9.</w:t>
      </w:r>
    </w:p>
    <w:p>
      <w:pPr>
        <w:spacing w:line="374" w:lineRule="auto" w:before="0"/>
        <w:ind w:left="1319" w:right="1624" w:firstLine="0"/>
        <w:jc w:val="both"/>
        <w:rPr>
          <w:rFonts w:ascii="Times New Roman"/>
          <w:sz w:val="18"/>
        </w:rPr>
      </w:pPr>
      <w:bookmarkStart w:name="_bookmark183" w:id="223"/>
      <w:bookmarkEnd w:id="223"/>
      <w:r>
        <w:rPr/>
      </w:r>
      <w:r>
        <w:rPr>
          <w:rFonts w:ascii="Times New Roman"/>
          <w:position w:val="7"/>
          <w:sz w:val="13"/>
        </w:rPr>
        <w:t>[4] </w:t>
      </w:r>
      <w:r>
        <w:rPr>
          <w:rFonts w:ascii="Times New Roman"/>
          <w:sz w:val="18"/>
        </w:rPr>
        <w:t>The  Ontario  Public  Service.Creating  Pathways  to  Success-an  education  and  career/life  planning  progra m for ontario schools.[EB/OL]</w:t>
      </w:r>
      <w:hyperlink r:id="rId75">
        <w:r>
          <w:rPr>
            <w:rFonts w:ascii="Times New Roman"/>
            <w:sz w:val="18"/>
          </w:rPr>
          <w:t>.http://www.edu.gov.on.ca/eng/document/policy/cps/CreatingPathwaysSuccess.pd</w:t>
        </w:r>
      </w:hyperlink>
      <w:r>
        <w:rPr>
          <w:rFonts w:ascii="Times New Roman"/>
          <w:sz w:val="18"/>
        </w:rPr>
        <w:t> f.2017-2-14.</w:t>
      </w:r>
    </w:p>
    <w:p>
      <w:pPr>
        <w:spacing w:line="234" w:lineRule="exact" w:before="0"/>
        <w:ind w:left="1319" w:right="0" w:firstLine="0"/>
        <w:jc w:val="left"/>
        <w:rPr>
          <w:rFonts w:ascii="Times New Roman" w:eastAsia="Times New Roman"/>
          <w:sz w:val="18"/>
        </w:rPr>
      </w:pPr>
      <w:bookmarkStart w:name="_bookmark184" w:id="224"/>
      <w:bookmarkEnd w:id="224"/>
      <w:r>
        <w:rPr/>
      </w:r>
      <w:r>
        <w:rPr>
          <w:rFonts w:ascii="Times New Roman" w:eastAsia="Times New Roman"/>
          <w:position w:val="7"/>
          <w:sz w:val="13"/>
        </w:rPr>
        <w:t>[5] </w:t>
      </w:r>
      <w:r>
        <w:rPr>
          <w:sz w:val="18"/>
        </w:rPr>
        <w:t>刘云</w:t>
      </w:r>
      <w:r>
        <w:rPr>
          <w:rFonts w:ascii="Times New Roman" w:eastAsia="Times New Roman"/>
          <w:sz w:val="18"/>
        </w:rPr>
        <w:t>.</w:t>
      </w:r>
      <w:r>
        <w:rPr>
          <w:sz w:val="18"/>
        </w:rPr>
        <w:t>发达国家中学职业指导的特点及启示</w:t>
      </w:r>
      <w:r>
        <w:rPr>
          <w:rFonts w:ascii="Times New Roman" w:eastAsia="Times New Roman"/>
          <w:sz w:val="18"/>
        </w:rPr>
        <w:t>.[J]. </w:t>
      </w:r>
      <w:r>
        <w:rPr>
          <w:sz w:val="18"/>
        </w:rPr>
        <w:t>世界教育信息，</w:t>
      </w:r>
      <w:r>
        <w:rPr>
          <w:rFonts w:ascii="Times New Roman" w:eastAsia="Times New Roman"/>
          <w:sz w:val="18"/>
        </w:rPr>
        <w:t>2004</w:t>
      </w:r>
      <w:r>
        <w:rPr>
          <w:sz w:val="18"/>
        </w:rPr>
        <w:t>（</w:t>
      </w:r>
      <w:r>
        <w:rPr>
          <w:rFonts w:ascii="Times New Roman" w:eastAsia="Times New Roman"/>
          <w:sz w:val="18"/>
        </w:rPr>
        <w:t>6</w:t>
      </w:r>
      <w:r>
        <w:rPr>
          <w:sz w:val="18"/>
        </w:rPr>
        <w:t>）：</w:t>
      </w:r>
      <w:r>
        <w:rPr>
          <w:rFonts w:ascii="Times New Roman" w:eastAsia="Times New Roman"/>
          <w:sz w:val="18"/>
        </w:rPr>
        <w:t>17.</w:t>
      </w:r>
    </w:p>
    <w:p>
      <w:pPr>
        <w:spacing w:line="386" w:lineRule="auto" w:before="128"/>
        <w:ind w:left="1320" w:right="1644" w:firstLine="0"/>
        <w:jc w:val="both"/>
        <w:rPr>
          <w:rFonts w:ascii="Times New Roman"/>
          <w:sz w:val="18"/>
        </w:rPr>
      </w:pPr>
      <w:bookmarkStart w:name="_bookmark185" w:id="225"/>
      <w:bookmarkEnd w:id="225"/>
      <w:r>
        <w:rPr/>
      </w:r>
      <w:r>
        <w:rPr>
          <w:rFonts w:ascii="Times New Roman"/>
          <w:position w:val="7"/>
          <w:sz w:val="13"/>
        </w:rPr>
        <w:t>[6] </w:t>
      </w:r>
      <w:r>
        <w:rPr>
          <w:rFonts w:ascii="Times New Roman"/>
          <w:sz w:val="18"/>
        </w:rPr>
        <w:t>Parklands High School.Parklands High School-career.[EB/OL].</w:t>
      </w:r>
      <w:hyperlink r:id="rId76">
        <w:r>
          <w:rPr>
            <w:rFonts w:ascii="Times New Roman"/>
            <w:sz w:val="18"/>
          </w:rPr>
          <w:t>http://www.parklandsacademy.co.uk/careers.</w:t>
        </w:r>
      </w:hyperlink>
      <w:r>
        <w:rPr>
          <w:rFonts w:ascii="Times New Roman"/>
          <w:sz w:val="18"/>
        </w:rPr>
        <w:t> 2017-2-6.</w:t>
      </w:r>
    </w:p>
    <w:p>
      <w:pPr>
        <w:spacing w:after="0" w:line="386" w:lineRule="auto"/>
        <w:jc w:val="both"/>
        <w:rPr>
          <w:rFonts w:ascii="Times New Roman"/>
          <w:sz w:val="18"/>
        </w:rPr>
        <w:sectPr>
          <w:pgSz w:w="11910" w:h="16840"/>
          <w:pgMar w:header="878" w:footer="1191" w:top="1300" w:bottom="1380" w:left="480" w:right="220"/>
        </w:sectPr>
      </w:pPr>
    </w:p>
    <w:p>
      <w:pPr>
        <w:pStyle w:val="BodyText"/>
        <w:spacing w:before="4"/>
        <w:rPr>
          <w:rFonts w:ascii="Times New Roman"/>
          <w:sz w:val="21"/>
        </w:rPr>
      </w:pPr>
    </w:p>
    <w:p>
      <w:pPr>
        <w:pStyle w:val="Heading1"/>
        <w:numPr>
          <w:ilvl w:val="0"/>
          <w:numId w:val="42"/>
        </w:numPr>
        <w:tabs>
          <w:tab w:pos="1620" w:val="left" w:leader="none"/>
        </w:tabs>
        <w:spacing w:line="521" w:lineRule="exact" w:before="0" w:after="0"/>
        <w:ind w:left="1620" w:right="0" w:hanging="300"/>
        <w:jc w:val="left"/>
      </w:pPr>
      <w:bookmarkStart w:name="_bookmark186" w:id="226"/>
      <w:bookmarkEnd w:id="226"/>
      <w:r>
        <w:rPr>
          <w:b w:val="0"/>
        </w:rPr>
      </w:r>
      <w:bookmarkStart w:name="_bookmark186" w:id="227"/>
      <w:bookmarkEnd w:id="227"/>
      <w:r>
        <w:rPr>
          <w:spacing w:val="3"/>
        </w:rPr>
        <w:t>国内普通高中实施生涯规划教育现状——以</w:t>
      </w:r>
      <w:r>
        <w:rPr>
          <w:rFonts w:ascii="Times New Roman" w:hAnsi="Times New Roman" w:eastAsia="Times New Roman"/>
        </w:rPr>
        <w:t>XS</w:t>
      </w:r>
      <w:r>
        <w:rPr>
          <w:rFonts w:ascii="Times New Roman" w:hAnsi="Times New Roman" w:eastAsia="Times New Roman"/>
          <w:spacing w:val="-1"/>
        </w:rPr>
        <w:t> </w:t>
      </w:r>
      <w:r>
        <w:rPr/>
        <w:t>县为例</w:t>
      </w:r>
    </w:p>
    <w:p>
      <w:pPr>
        <w:pStyle w:val="BodyText"/>
        <w:spacing w:before="11"/>
        <w:rPr>
          <w:rFonts w:ascii="Microsoft JhengHei"/>
          <w:b/>
          <w:sz w:val="28"/>
        </w:rPr>
      </w:pPr>
    </w:p>
    <w:p>
      <w:pPr>
        <w:pStyle w:val="BodyText"/>
        <w:spacing w:line="364" w:lineRule="auto"/>
        <w:ind w:left="1320" w:right="1577" w:firstLine="480"/>
        <w:jc w:val="both"/>
      </w:pPr>
      <w:r>
        <w:rPr>
          <w:spacing w:val="-6"/>
        </w:rPr>
        <w:t>为了解现阶段普通高中生涯规划教育实施的情况，探析其与核心素养观理念</w:t>
      </w:r>
      <w:r>
        <w:rPr/>
        <w:t>下的生涯规划教育之间的差距，本研究特以导师参与的“</w:t>
      </w:r>
      <w:r>
        <w:rPr>
          <w:rFonts w:ascii="Times New Roman" w:hAnsi="Times New Roman" w:eastAsia="Times New Roman"/>
        </w:rPr>
        <w:t>XS </w:t>
      </w:r>
      <w:r>
        <w:rPr>
          <w:spacing w:val="-2"/>
        </w:rPr>
        <w:t>县基础教育创新工</w:t>
      </w:r>
      <w:r>
        <w:rPr>
          <w:spacing w:val="-11"/>
        </w:rPr>
        <w:t>程项目”为契机，将该项目高中组的五所普通高中作为研究样本，编制调查问卷</w:t>
      </w:r>
      <w:r>
        <w:rPr/>
        <w:t>与访谈提纲进行调研。</w:t>
      </w:r>
    </w:p>
    <w:p>
      <w:pPr>
        <w:pStyle w:val="BodyText"/>
        <w:spacing w:line="364" w:lineRule="auto" w:before="3"/>
        <w:ind w:left="1320" w:right="1457" w:firstLine="480"/>
      </w:pPr>
      <w:r>
        <w:rPr>
          <w:spacing w:val="1"/>
        </w:rPr>
        <w:t>本研究的实证资料来源主要是问卷调查与实地访谈。本次调查共发放问卷</w:t>
      </w:r>
      <w:r>
        <w:rPr>
          <w:rFonts w:ascii="Times New Roman" w:eastAsia="Times New Roman"/>
          <w:spacing w:val="1"/>
        </w:rPr>
        <w:t>873 </w:t>
      </w:r>
      <w:r>
        <w:rPr>
          <w:spacing w:val="-10"/>
        </w:rPr>
        <w:t>份，其中，学生问卷 </w:t>
      </w:r>
      <w:r>
        <w:rPr>
          <w:rFonts w:ascii="Times New Roman" w:eastAsia="Times New Roman"/>
        </w:rPr>
        <w:t>845 </w:t>
      </w:r>
      <w:r>
        <w:rPr>
          <w:spacing w:val="-12"/>
        </w:rPr>
        <w:t>份，涉及教师 </w:t>
      </w:r>
      <w:r>
        <w:rPr>
          <w:rFonts w:ascii="Times New Roman" w:eastAsia="Times New Roman"/>
        </w:rPr>
        <w:t>28 </w:t>
      </w:r>
      <w:r>
        <w:rPr>
          <w:spacing w:val="-8"/>
        </w:rPr>
        <w:t>名。回收有效的学生问卷 </w:t>
      </w:r>
      <w:r>
        <w:rPr>
          <w:rFonts w:ascii="Times New Roman" w:eastAsia="Times New Roman"/>
        </w:rPr>
        <w:t>801 </w:t>
      </w:r>
      <w:r>
        <w:rPr>
          <w:spacing w:val="-7"/>
        </w:rPr>
        <w:t>份， </w:t>
      </w:r>
      <w:r>
        <w:rPr>
          <w:spacing w:val="-6"/>
        </w:rPr>
        <w:t>学生问卷有效率为 </w:t>
      </w:r>
      <w:r>
        <w:rPr>
          <w:rFonts w:ascii="Times New Roman" w:eastAsia="Times New Roman"/>
        </w:rPr>
        <w:t>94.8%</w:t>
      </w:r>
      <w:r>
        <w:rPr>
          <w:spacing w:val="-4"/>
        </w:rPr>
        <w:t>，学生样本的构成情况详见表 </w:t>
      </w:r>
      <w:r>
        <w:rPr>
          <w:rFonts w:ascii="Times New Roman" w:eastAsia="Times New Roman"/>
        </w:rPr>
        <w:t>3.1</w:t>
      </w:r>
      <w:r>
        <w:rPr/>
        <w:t>；回收有效的教师问</w:t>
      </w:r>
      <w:r>
        <w:rPr>
          <w:spacing w:val="-31"/>
        </w:rPr>
        <w:t>卷 </w:t>
      </w:r>
      <w:r>
        <w:rPr>
          <w:rFonts w:ascii="Times New Roman" w:eastAsia="Times New Roman"/>
        </w:rPr>
        <w:t>28 </w:t>
      </w:r>
      <w:r>
        <w:rPr>
          <w:spacing w:val="-6"/>
        </w:rPr>
        <w:t>份，教师有效问卷为 </w:t>
      </w:r>
      <w:r>
        <w:rPr>
          <w:rFonts w:ascii="Times New Roman" w:eastAsia="Times New Roman"/>
        </w:rPr>
        <w:t>100%</w:t>
      </w:r>
      <w:r>
        <w:rPr/>
        <w:t>。</w:t>
      </w:r>
    </w:p>
    <w:p>
      <w:pPr>
        <w:pStyle w:val="BodyText"/>
        <w:spacing w:before="2"/>
        <w:rPr>
          <w:sz w:val="12"/>
        </w:rPr>
      </w:pPr>
    </w:p>
    <w:p>
      <w:pPr>
        <w:pStyle w:val="BodyText"/>
        <w:tabs>
          <w:tab w:pos="959" w:val="left" w:leader="none"/>
        </w:tabs>
        <w:spacing w:before="77"/>
        <w:ind w:right="375"/>
        <w:jc w:val="center"/>
      </w:pPr>
      <w:r>
        <w:rPr/>
        <w:t>表</w:t>
      </w:r>
      <w:r>
        <w:rPr>
          <w:spacing w:val="-60"/>
        </w:rPr>
        <w:t> </w:t>
      </w:r>
      <w:r>
        <w:rPr>
          <w:rFonts w:ascii="Times New Roman" w:eastAsia="Times New Roman"/>
        </w:rPr>
        <w:t>3.1</w:t>
        <w:tab/>
      </w:r>
      <w:r>
        <w:rPr/>
        <w:t>调研对象基本情况</w:t>
      </w:r>
    </w:p>
    <w:p>
      <w:pPr>
        <w:pStyle w:val="BodyText"/>
        <w:spacing w:before="1" w:after="1"/>
        <w:rPr>
          <w:sz w:val="12"/>
        </w:rPr>
      </w:pPr>
    </w:p>
    <w:tbl>
      <w:tblPr>
        <w:tblW w:w="0" w:type="auto"/>
        <w:jc w:val="left"/>
        <w:tblInd w:w="2773"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290"/>
        <w:gridCol w:w="1425"/>
        <w:gridCol w:w="1425"/>
        <w:gridCol w:w="1290"/>
      </w:tblGrid>
      <w:tr>
        <w:trPr>
          <w:trHeight w:val="467" w:hRule="atLeast"/>
        </w:trPr>
        <w:tc>
          <w:tcPr>
            <w:tcW w:w="1290" w:type="dxa"/>
          </w:tcPr>
          <w:p>
            <w:pPr>
              <w:pStyle w:val="TableParagraph"/>
              <w:rPr>
                <w:rFonts w:ascii="Times New Roman"/>
                <w:sz w:val="22"/>
              </w:rPr>
            </w:pPr>
          </w:p>
        </w:tc>
        <w:tc>
          <w:tcPr>
            <w:tcW w:w="1425" w:type="dxa"/>
          </w:tcPr>
          <w:p>
            <w:pPr>
              <w:pStyle w:val="TableParagraph"/>
              <w:spacing w:before="2"/>
              <w:ind w:left="470"/>
              <w:rPr>
                <w:rFonts w:ascii="Microsoft JhengHei" w:eastAsia="Microsoft JhengHei" w:hint="eastAsia"/>
                <w:b/>
                <w:sz w:val="24"/>
              </w:rPr>
            </w:pPr>
            <w:r>
              <w:rPr>
                <w:rFonts w:ascii="Microsoft JhengHei" w:eastAsia="Microsoft JhengHei" w:hint="eastAsia"/>
                <w:b/>
                <w:sz w:val="24"/>
              </w:rPr>
              <w:t>学校</w:t>
            </w:r>
          </w:p>
        </w:tc>
        <w:tc>
          <w:tcPr>
            <w:tcW w:w="1425" w:type="dxa"/>
          </w:tcPr>
          <w:p>
            <w:pPr>
              <w:pStyle w:val="TableParagraph"/>
              <w:spacing w:before="2"/>
              <w:ind w:left="682"/>
              <w:rPr>
                <w:rFonts w:ascii="Microsoft JhengHei" w:eastAsia="Microsoft JhengHei" w:hint="eastAsia"/>
                <w:b/>
                <w:sz w:val="24"/>
              </w:rPr>
            </w:pPr>
            <w:r>
              <w:rPr>
                <w:rFonts w:ascii="Microsoft JhengHei" w:eastAsia="Microsoft JhengHei" w:hint="eastAsia"/>
                <w:b/>
                <w:sz w:val="24"/>
              </w:rPr>
              <w:t>人数</w:t>
            </w:r>
          </w:p>
        </w:tc>
        <w:tc>
          <w:tcPr>
            <w:tcW w:w="1290" w:type="dxa"/>
          </w:tcPr>
          <w:p>
            <w:pPr>
              <w:pStyle w:val="TableParagraph"/>
              <w:spacing w:before="2"/>
              <w:ind w:left="284"/>
              <w:rPr>
                <w:rFonts w:ascii="Microsoft JhengHei" w:eastAsia="Microsoft JhengHei" w:hint="eastAsia"/>
                <w:b/>
                <w:sz w:val="24"/>
              </w:rPr>
            </w:pPr>
            <w:r>
              <w:rPr>
                <w:rFonts w:ascii="Microsoft JhengHei" w:eastAsia="Microsoft JhengHei" w:hint="eastAsia"/>
                <w:b/>
                <w:sz w:val="24"/>
              </w:rPr>
              <w:t>百分比</w:t>
            </w:r>
          </w:p>
        </w:tc>
      </w:tr>
      <w:tr>
        <w:trPr>
          <w:trHeight w:val="631" w:hRule="atLeast"/>
        </w:trPr>
        <w:tc>
          <w:tcPr>
            <w:tcW w:w="1290" w:type="dxa"/>
            <w:tcBorders>
              <w:bottom w:val="nil"/>
            </w:tcBorders>
          </w:tcPr>
          <w:p>
            <w:pPr>
              <w:pStyle w:val="TableParagraph"/>
              <w:rPr>
                <w:rFonts w:ascii="Times New Roman"/>
                <w:sz w:val="22"/>
              </w:rPr>
            </w:pPr>
          </w:p>
        </w:tc>
        <w:tc>
          <w:tcPr>
            <w:tcW w:w="1425" w:type="dxa"/>
            <w:tcBorders>
              <w:bottom w:val="nil"/>
            </w:tcBorders>
          </w:tcPr>
          <w:p>
            <w:pPr>
              <w:pStyle w:val="TableParagraph"/>
              <w:spacing w:before="7"/>
              <w:rPr>
                <w:sz w:val="18"/>
              </w:rPr>
            </w:pPr>
          </w:p>
          <w:p>
            <w:pPr>
              <w:pStyle w:val="TableParagraph"/>
              <w:ind w:left="108"/>
              <w:rPr>
                <w:sz w:val="24"/>
              </w:rPr>
            </w:pPr>
            <w:r>
              <w:rPr>
                <w:rFonts w:ascii="Times New Roman" w:eastAsia="Times New Roman"/>
                <w:sz w:val="24"/>
              </w:rPr>
              <w:t>X </w:t>
            </w:r>
            <w:r>
              <w:rPr>
                <w:sz w:val="24"/>
              </w:rPr>
              <w:t>中学</w:t>
            </w:r>
          </w:p>
        </w:tc>
        <w:tc>
          <w:tcPr>
            <w:tcW w:w="1425" w:type="dxa"/>
            <w:tcBorders>
              <w:bottom w:val="nil"/>
            </w:tcBorders>
          </w:tcPr>
          <w:p>
            <w:pPr>
              <w:pStyle w:val="TableParagraph"/>
              <w:spacing w:before="10"/>
              <w:rPr>
                <w:sz w:val="19"/>
              </w:rPr>
            </w:pPr>
          </w:p>
          <w:p>
            <w:pPr>
              <w:pStyle w:val="TableParagraph"/>
              <w:spacing w:before="1"/>
              <w:ind w:right="78"/>
              <w:jc w:val="right"/>
              <w:rPr>
                <w:rFonts w:ascii="Times New Roman"/>
                <w:sz w:val="24"/>
              </w:rPr>
            </w:pPr>
            <w:r>
              <w:rPr>
                <w:rFonts w:ascii="Times New Roman"/>
                <w:sz w:val="24"/>
              </w:rPr>
              <w:t>207</w:t>
            </w:r>
          </w:p>
        </w:tc>
        <w:tc>
          <w:tcPr>
            <w:tcW w:w="1290" w:type="dxa"/>
            <w:tcBorders>
              <w:bottom w:val="nil"/>
            </w:tcBorders>
          </w:tcPr>
          <w:p>
            <w:pPr>
              <w:pStyle w:val="TableParagraph"/>
              <w:spacing w:before="10"/>
              <w:rPr>
                <w:sz w:val="19"/>
              </w:rPr>
            </w:pPr>
          </w:p>
          <w:p>
            <w:pPr>
              <w:pStyle w:val="TableParagraph"/>
              <w:spacing w:before="1"/>
              <w:ind w:right="111"/>
              <w:jc w:val="right"/>
              <w:rPr>
                <w:rFonts w:ascii="Times New Roman"/>
                <w:sz w:val="24"/>
              </w:rPr>
            </w:pPr>
            <w:r>
              <w:rPr>
                <w:rFonts w:ascii="Times New Roman"/>
                <w:sz w:val="24"/>
              </w:rPr>
              <w:t>25.8%</w:t>
            </w:r>
          </w:p>
        </w:tc>
      </w:tr>
      <w:tr>
        <w:trPr>
          <w:trHeight w:val="467" w:hRule="atLeast"/>
        </w:trPr>
        <w:tc>
          <w:tcPr>
            <w:tcW w:w="1290" w:type="dxa"/>
            <w:tcBorders>
              <w:top w:val="nil"/>
              <w:bottom w:val="nil"/>
            </w:tcBorders>
          </w:tcPr>
          <w:p>
            <w:pPr>
              <w:pStyle w:val="TableParagraph"/>
              <w:spacing w:before="75"/>
              <w:ind w:left="106"/>
              <w:rPr>
                <w:sz w:val="24"/>
              </w:rPr>
            </w:pPr>
            <w:r>
              <w:rPr>
                <w:sz w:val="24"/>
              </w:rPr>
              <w:t>学校</w:t>
            </w:r>
          </w:p>
        </w:tc>
        <w:tc>
          <w:tcPr>
            <w:tcW w:w="1425" w:type="dxa"/>
            <w:tcBorders>
              <w:top w:val="nil"/>
              <w:bottom w:val="nil"/>
            </w:tcBorders>
          </w:tcPr>
          <w:p>
            <w:pPr>
              <w:pStyle w:val="TableParagraph"/>
              <w:spacing w:before="75"/>
              <w:ind w:left="108"/>
              <w:rPr>
                <w:sz w:val="24"/>
              </w:rPr>
            </w:pPr>
            <w:r>
              <w:rPr>
                <w:rFonts w:ascii="Times New Roman" w:eastAsia="Times New Roman"/>
                <w:sz w:val="24"/>
              </w:rPr>
              <w:t>B </w:t>
            </w:r>
            <w:r>
              <w:rPr>
                <w:sz w:val="24"/>
              </w:rPr>
              <w:t>中学</w:t>
            </w:r>
          </w:p>
        </w:tc>
        <w:tc>
          <w:tcPr>
            <w:tcW w:w="1425" w:type="dxa"/>
            <w:tcBorders>
              <w:top w:val="nil"/>
              <w:bottom w:val="nil"/>
            </w:tcBorders>
          </w:tcPr>
          <w:p>
            <w:pPr>
              <w:pStyle w:val="TableParagraph"/>
              <w:spacing w:before="91"/>
              <w:ind w:right="78"/>
              <w:jc w:val="right"/>
              <w:rPr>
                <w:rFonts w:ascii="Times New Roman"/>
                <w:sz w:val="24"/>
              </w:rPr>
            </w:pPr>
            <w:r>
              <w:rPr>
                <w:rFonts w:ascii="Times New Roman"/>
                <w:sz w:val="24"/>
              </w:rPr>
              <w:t>152</w:t>
            </w:r>
          </w:p>
        </w:tc>
        <w:tc>
          <w:tcPr>
            <w:tcW w:w="1290" w:type="dxa"/>
            <w:tcBorders>
              <w:top w:val="nil"/>
              <w:bottom w:val="nil"/>
            </w:tcBorders>
          </w:tcPr>
          <w:p>
            <w:pPr>
              <w:pStyle w:val="TableParagraph"/>
              <w:spacing w:before="91"/>
              <w:ind w:right="111"/>
              <w:jc w:val="right"/>
              <w:rPr>
                <w:rFonts w:ascii="Times New Roman"/>
                <w:sz w:val="24"/>
              </w:rPr>
            </w:pPr>
            <w:r>
              <w:rPr>
                <w:rFonts w:ascii="Times New Roman"/>
                <w:sz w:val="24"/>
              </w:rPr>
              <w:t>19.0%</w:t>
            </w:r>
          </w:p>
        </w:tc>
      </w:tr>
      <w:tr>
        <w:trPr>
          <w:trHeight w:val="467" w:hRule="atLeast"/>
        </w:trPr>
        <w:tc>
          <w:tcPr>
            <w:tcW w:w="1290" w:type="dxa"/>
            <w:tcBorders>
              <w:top w:val="nil"/>
              <w:bottom w:val="nil"/>
            </w:tcBorders>
          </w:tcPr>
          <w:p>
            <w:pPr>
              <w:pStyle w:val="TableParagraph"/>
              <w:rPr>
                <w:rFonts w:ascii="Times New Roman"/>
                <w:sz w:val="22"/>
              </w:rPr>
            </w:pPr>
          </w:p>
        </w:tc>
        <w:tc>
          <w:tcPr>
            <w:tcW w:w="1425" w:type="dxa"/>
            <w:tcBorders>
              <w:top w:val="nil"/>
              <w:bottom w:val="nil"/>
            </w:tcBorders>
          </w:tcPr>
          <w:p>
            <w:pPr>
              <w:pStyle w:val="TableParagraph"/>
              <w:spacing w:before="75"/>
              <w:ind w:left="108"/>
              <w:rPr>
                <w:sz w:val="24"/>
              </w:rPr>
            </w:pPr>
            <w:r>
              <w:rPr>
                <w:rFonts w:ascii="Times New Roman" w:eastAsia="Times New Roman"/>
                <w:sz w:val="24"/>
              </w:rPr>
              <w:t>S </w:t>
            </w:r>
            <w:r>
              <w:rPr>
                <w:sz w:val="24"/>
              </w:rPr>
              <w:t>中学</w:t>
            </w:r>
          </w:p>
        </w:tc>
        <w:tc>
          <w:tcPr>
            <w:tcW w:w="1425" w:type="dxa"/>
            <w:tcBorders>
              <w:top w:val="nil"/>
              <w:bottom w:val="nil"/>
            </w:tcBorders>
          </w:tcPr>
          <w:p>
            <w:pPr>
              <w:pStyle w:val="TableParagraph"/>
              <w:spacing w:before="91"/>
              <w:ind w:right="78"/>
              <w:jc w:val="right"/>
              <w:rPr>
                <w:rFonts w:ascii="Times New Roman"/>
                <w:sz w:val="24"/>
              </w:rPr>
            </w:pPr>
            <w:r>
              <w:rPr>
                <w:rFonts w:ascii="Times New Roman"/>
                <w:sz w:val="24"/>
              </w:rPr>
              <w:t>123</w:t>
            </w:r>
          </w:p>
        </w:tc>
        <w:tc>
          <w:tcPr>
            <w:tcW w:w="1290" w:type="dxa"/>
            <w:tcBorders>
              <w:top w:val="nil"/>
              <w:bottom w:val="nil"/>
            </w:tcBorders>
          </w:tcPr>
          <w:p>
            <w:pPr>
              <w:pStyle w:val="TableParagraph"/>
              <w:spacing w:before="91"/>
              <w:ind w:right="111"/>
              <w:jc w:val="right"/>
              <w:rPr>
                <w:rFonts w:ascii="Times New Roman"/>
                <w:sz w:val="24"/>
              </w:rPr>
            </w:pPr>
            <w:r>
              <w:rPr>
                <w:rFonts w:ascii="Times New Roman"/>
                <w:sz w:val="24"/>
              </w:rPr>
              <w:t>15.3%</w:t>
            </w:r>
          </w:p>
        </w:tc>
      </w:tr>
      <w:tr>
        <w:trPr>
          <w:trHeight w:val="467" w:hRule="atLeast"/>
        </w:trPr>
        <w:tc>
          <w:tcPr>
            <w:tcW w:w="1290" w:type="dxa"/>
            <w:tcBorders>
              <w:top w:val="nil"/>
              <w:bottom w:val="nil"/>
            </w:tcBorders>
          </w:tcPr>
          <w:p>
            <w:pPr>
              <w:pStyle w:val="TableParagraph"/>
              <w:rPr>
                <w:rFonts w:ascii="Times New Roman"/>
                <w:sz w:val="22"/>
              </w:rPr>
            </w:pPr>
          </w:p>
        </w:tc>
        <w:tc>
          <w:tcPr>
            <w:tcW w:w="1425" w:type="dxa"/>
            <w:tcBorders>
              <w:top w:val="nil"/>
              <w:bottom w:val="nil"/>
            </w:tcBorders>
          </w:tcPr>
          <w:p>
            <w:pPr>
              <w:pStyle w:val="TableParagraph"/>
              <w:spacing w:before="75"/>
              <w:ind w:left="108"/>
              <w:rPr>
                <w:sz w:val="24"/>
              </w:rPr>
            </w:pPr>
            <w:r>
              <w:rPr>
                <w:rFonts w:ascii="Times New Roman" w:eastAsia="Times New Roman"/>
                <w:sz w:val="24"/>
              </w:rPr>
              <w:t>E </w:t>
            </w:r>
            <w:r>
              <w:rPr>
                <w:sz w:val="24"/>
              </w:rPr>
              <w:t>中学</w:t>
            </w:r>
          </w:p>
        </w:tc>
        <w:tc>
          <w:tcPr>
            <w:tcW w:w="1425" w:type="dxa"/>
            <w:tcBorders>
              <w:top w:val="nil"/>
              <w:bottom w:val="nil"/>
            </w:tcBorders>
          </w:tcPr>
          <w:p>
            <w:pPr>
              <w:pStyle w:val="TableParagraph"/>
              <w:spacing w:before="91"/>
              <w:ind w:right="78"/>
              <w:jc w:val="right"/>
              <w:rPr>
                <w:rFonts w:ascii="Times New Roman"/>
                <w:sz w:val="24"/>
              </w:rPr>
            </w:pPr>
            <w:r>
              <w:rPr>
                <w:rFonts w:ascii="Times New Roman"/>
                <w:sz w:val="24"/>
              </w:rPr>
              <w:t>148</w:t>
            </w:r>
          </w:p>
        </w:tc>
        <w:tc>
          <w:tcPr>
            <w:tcW w:w="1290" w:type="dxa"/>
            <w:tcBorders>
              <w:top w:val="nil"/>
              <w:bottom w:val="nil"/>
            </w:tcBorders>
          </w:tcPr>
          <w:p>
            <w:pPr>
              <w:pStyle w:val="TableParagraph"/>
              <w:spacing w:before="91"/>
              <w:ind w:right="111"/>
              <w:jc w:val="right"/>
              <w:rPr>
                <w:rFonts w:ascii="Times New Roman"/>
                <w:sz w:val="24"/>
              </w:rPr>
            </w:pPr>
            <w:r>
              <w:rPr>
                <w:rFonts w:ascii="Times New Roman"/>
                <w:sz w:val="24"/>
              </w:rPr>
              <w:t>18.6%</w:t>
            </w:r>
          </w:p>
        </w:tc>
      </w:tr>
      <w:tr>
        <w:trPr>
          <w:trHeight w:val="467" w:hRule="atLeast"/>
        </w:trPr>
        <w:tc>
          <w:tcPr>
            <w:tcW w:w="1290" w:type="dxa"/>
            <w:tcBorders>
              <w:top w:val="nil"/>
              <w:bottom w:val="nil"/>
            </w:tcBorders>
          </w:tcPr>
          <w:p>
            <w:pPr>
              <w:pStyle w:val="TableParagraph"/>
              <w:rPr>
                <w:rFonts w:ascii="Times New Roman"/>
                <w:sz w:val="22"/>
              </w:rPr>
            </w:pPr>
          </w:p>
        </w:tc>
        <w:tc>
          <w:tcPr>
            <w:tcW w:w="1425" w:type="dxa"/>
            <w:tcBorders>
              <w:top w:val="nil"/>
              <w:bottom w:val="nil"/>
            </w:tcBorders>
          </w:tcPr>
          <w:p>
            <w:pPr>
              <w:pStyle w:val="TableParagraph"/>
              <w:spacing w:before="75"/>
              <w:ind w:left="108"/>
              <w:rPr>
                <w:sz w:val="24"/>
              </w:rPr>
            </w:pPr>
            <w:r>
              <w:rPr>
                <w:rFonts w:ascii="Times New Roman" w:eastAsia="Times New Roman"/>
                <w:sz w:val="24"/>
              </w:rPr>
              <w:t>Z </w:t>
            </w:r>
            <w:r>
              <w:rPr>
                <w:sz w:val="24"/>
              </w:rPr>
              <w:t>中学</w:t>
            </w:r>
          </w:p>
        </w:tc>
        <w:tc>
          <w:tcPr>
            <w:tcW w:w="1425" w:type="dxa"/>
            <w:tcBorders>
              <w:top w:val="nil"/>
              <w:bottom w:val="nil"/>
            </w:tcBorders>
          </w:tcPr>
          <w:p>
            <w:pPr>
              <w:pStyle w:val="TableParagraph"/>
              <w:spacing w:before="91"/>
              <w:ind w:right="78"/>
              <w:jc w:val="right"/>
              <w:rPr>
                <w:rFonts w:ascii="Times New Roman"/>
                <w:sz w:val="24"/>
              </w:rPr>
            </w:pPr>
            <w:r>
              <w:rPr>
                <w:rFonts w:ascii="Times New Roman"/>
                <w:sz w:val="24"/>
              </w:rPr>
              <w:t>171</w:t>
            </w:r>
          </w:p>
        </w:tc>
        <w:tc>
          <w:tcPr>
            <w:tcW w:w="1290" w:type="dxa"/>
            <w:tcBorders>
              <w:top w:val="nil"/>
              <w:bottom w:val="nil"/>
            </w:tcBorders>
          </w:tcPr>
          <w:p>
            <w:pPr>
              <w:pStyle w:val="TableParagraph"/>
              <w:spacing w:before="91"/>
              <w:ind w:right="111"/>
              <w:jc w:val="right"/>
              <w:rPr>
                <w:rFonts w:ascii="Times New Roman"/>
                <w:sz w:val="24"/>
              </w:rPr>
            </w:pPr>
            <w:r>
              <w:rPr>
                <w:rFonts w:ascii="Times New Roman"/>
                <w:sz w:val="24"/>
              </w:rPr>
              <w:t>21.3%</w:t>
            </w:r>
          </w:p>
        </w:tc>
      </w:tr>
      <w:tr>
        <w:trPr>
          <w:trHeight w:val="467" w:hRule="atLeast"/>
        </w:trPr>
        <w:tc>
          <w:tcPr>
            <w:tcW w:w="1290" w:type="dxa"/>
            <w:tcBorders>
              <w:top w:val="nil"/>
              <w:bottom w:val="nil"/>
            </w:tcBorders>
          </w:tcPr>
          <w:p>
            <w:pPr>
              <w:pStyle w:val="TableParagraph"/>
              <w:spacing w:before="75"/>
              <w:ind w:left="106"/>
              <w:rPr>
                <w:sz w:val="24"/>
              </w:rPr>
            </w:pPr>
            <w:r>
              <w:rPr>
                <w:sz w:val="24"/>
              </w:rPr>
              <w:t>年级</w:t>
            </w:r>
          </w:p>
        </w:tc>
        <w:tc>
          <w:tcPr>
            <w:tcW w:w="1425" w:type="dxa"/>
            <w:tcBorders>
              <w:top w:val="nil"/>
              <w:bottom w:val="nil"/>
            </w:tcBorders>
          </w:tcPr>
          <w:p>
            <w:pPr>
              <w:pStyle w:val="TableParagraph"/>
              <w:spacing w:before="75"/>
              <w:ind w:left="108"/>
              <w:rPr>
                <w:sz w:val="24"/>
              </w:rPr>
            </w:pPr>
            <w:r>
              <w:rPr>
                <w:sz w:val="24"/>
              </w:rPr>
              <w:t>高一</w:t>
            </w:r>
          </w:p>
        </w:tc>
        <w:tc>
          <w:tcPr>
            <w:tcW w:w="1425" w:type="dxa"/>
            <w:tcBorders>
              <w:top w:val="nil"/>
              <w:bottom w:val="nil"/>
            </w:tcBorders>
          </w:tcPr>
          <w:p>
            <w:pPr>
              <w:pStyle w:val="TableParagraph"/>
              <w:spacing w:before="91"/>
              <w:ind w:right="78"/>
              <w:jc w:val="right"/>
              <w:rPr>
                <w:rFonts w:ascii="Times New Roman"/>
                <w:sz w:val="24"/>
              </w:rPr>
            </w:pPr>
            <w:r>
              <w:rPr>
                <w:rFonts w:ascii="Times New Roman"/>
                <w:sz w:val="24"/>
              </w:rPr>
              <w:t>245</w:t>
            </w:r>
          </w:p>
        </w:tc>
        <w:tc>
          <w:tcPr>
            <w:tcW w:w="1290" w:type="dxa"/>
            <w:tcBorders>
              <w:top w:val="nil"/>
              <w:bottom w:val="nil"/>
            </w:tcBorders>
          </w:tcPr>
          <w:p>
            <w:pPr>
              <w:pStyle w:val="TableParagraph"/>
              <w:spacing w:before="91"/>
              <w:ind w:right="111"/>
              <w:jc w:val="right"/>
              <w:rPr>
                <w:rFonts w:ascii="Times New Roman"/>
                <w:sz w:val="24"/>
              </w:rPr>
            </w:pPr>
            <w:r>
              <w:rPr>
                <w:rFonts w:ascii="Times New Roman"/>
                <w:sz w:val="24"/>
              </w:rPr>
              <w:t>30.5%</w:t>
            </w:r>
          </w:p>
        </w:tc>
      </w:tr>
      <w:tr>
        <w:trPr>
          <w:trHeight w:val="467" w:hRule="atLeast"/>
        </w:trPr>
        <w:tc>
          <w:tcPr>
            <w:tcW w:w="1290" w:type="dxa"/>
            <w:tcBorders>
              <w:top w:val="nil"/>
              <w:bottom w:val="nil"/>
            </w:tcBorders>
          </w:tcPr>
          <w:p>
            <w:pPr>
              <w:pStyle w:val="TableParagraph"/>
              <w:rPr>
                <w:rFonts w:ascii="Times New Roman"/>
                <w:sz w:val="22"/>
              </w:rPr>
            </w:pPr>
          </w:p>
        </w:tc>
        <w:tc>
          <w:tcPr>
            <w:tcW w:w="1425" w:type="dxa"/>
            <w:tcBorders>
              <w:top w:val="nil"/>
              <w:bottom w:val="nil"/>
            </w:tcBorders>
          </w:tcPr>
          <w:p>
            <w:pPr>
              <w:pStyle w:val="TableParagraph"/>
              <w:spacing w:before="75"/>
              <w:ind w:left="108"/>
              <w:rPr>
                <w:sz w:val="24"/>
              </w:rPr>
            </w:pPr>
            <w:r>
              <w:rPr>
                <w:sz w:val="24"/>
              </w:rPr>
              <w:t>高二</w:t>
            </w:r>
          </w:p>
        </w:tc>
        <w:tc>
          <w:tcPr>
            <w:tcW w:w="1425" w:type="dxa"/>
            <w:tcBorders>
              <w:top w:val="nil"/>
              <w:bottom w:val="nil"/>
            </w:tcBorders>
          </w:tcPr>
          <w:p>
            <w:pPr>
              <w:pStyle w:val="TableParagraph"/>
              <w:spacing w:before="91"/>
              <w:ind w:right="78"/>
              <w:jc w:val="right"/>
              <w:rPr>
                <w:rFonts w:ascii="Times New Roman"/>
                <w:sz w:val="24"/>
              </w:rPr>
            </w:pPr>
            <w:r>
              <w:rPr>
                <w:rFonts w:ascii="Times New Roman"/>
                <w:sz w:val="24"/>
              </w:rPr>
              <w:t>258</w:t>
            </w:r>
          </w:p>
        </w:tc>
        <w:tc>
          <w:tcPr>
            <w:tcW w:w="1290" w:type="dxa"/>
            <w:tcBorders>
              <w:top w:val="nil"/>
              <w:bottom w:val="nil"/>
            </w:tcBorders>
          </w:tcPr>
          <w:p>
            <w:pPr>
              <w:pStyle w:val="TableParagraph"/>
              <w:spacing w:before="91"/>
              <w:ind w:right="111"/>
              <w:jc w:val="right"/>
              <w:rPr>
                <w:rFonts w:ascii="Times New Roman"/>
                <w:sz w:val="24"/>
              </w:rPr>
            </w:pPr>
            <w:r>
              <w:rPr>
                <w:rFonts w:ascii="Times New Roman"/>
                <w:sz w:val="24"/>
              </w:rPr>
              <w:t>32.2%</w:t>
            </w:r>
          </w:p>
        </w:tc>
      </w:tr>
      <w:tr>
        <w:trPr>
          <w:trHeight w:val="467" w:hRule="atLeast"/>
        </w:trPr>
        <w:tc>
          <w:tcPr>
            <w:tcW w:w="1290" w:type="dxa"/>
            <w:tcBorders>
              <w:top w:val="nil"/>
              <w:bottom w:val="nil"/>
            </w:tcBorders>
          </w:tcPr>
          <w:p>
            <w:pPr>
              <w:pStyle w:val="TableParagraph"/>
              <w:rPr>
                <w:rFonts w:ascii="Times New Roman"/>
                <w:sz w:val="22"/>
              </w:rPr>
            </w:pPr>
          </w:p>
        </w:tc>
        <w:tc>
          <w:tcPr>
            <w:tcW w:w="1425" w:type="dxa"/>
            <w:tcBorders>
              <w:top w:val="nil"/>
              <w:bottom w:val="nil"/>
            </w:tcBorders>
          </w:tcPr>
          <w:p>
            <w:pPr>
              <w:pStyle w:val="TableParagraph"/>
              <w:spacing w:before="75"/>
              <w:ind w:left="108"/>
              <w:rPr>
                <w:sz w:val="24"/>
              </w:rPr>
            </w:pPr>
            <w:r>
              <w:rPr>
                <w:sz w:val="24"/>
              </w:rPr>
              <w:t>高三</w:t>
            </w:r>
          </w:p>
        </w:tc>
        <w:tc>
          <w:tcPr>
            <w:tcW w:w="1425" w:type="dxa"/>
            <w:tcBorders>
              <w:top w:val="nil"/>
              <w:bottom w:val="nil"/>
            </w:tcBorders>
          </w:tcPr>
          <w:p>
            <w:pPr>
              <w:pStyle w:val="TableParagraph"/>
              <w:spacing w:before="91"/>
              <w:ind w:right="78"/>
              <w:jc w:val="right"/>
              <w:rPr>
                <w:rFonts w:ascii="Times New Roman"/>
                <w:sz w:val="24"/>
              </w:rPr>
            </w:pPr>
            <w:r>
              <w:rPr>
                <w:rFonts w:ascii="Times New Roman"/>
                <w:sz w:val="24"/>
              </w:rPr>
              <w:t>298</w:t>
            </w:r>
          </w:p>
        </w:tc>
        <w:tc>
          <w:tcPr>
            <w:tcW w:w="1290" w:type="dxa"/>
            <w:tcBorders>
              <w:top w:val="nil"/>
              <w:bottom w:val="nil"/>
            </w:tcBorders>
          </w:tcPr>
          <w:p>
            <w:pPr>
              <w:pStyle w:val="TableParagraph"/>
              <w:spacing w:before="91"/>
              <w:ind w:right="111"/>
              <w:jc w:val="right"/>
              <w:rPr>
                <w:rFonts w:ascii="Times New Roman"/>
                <w:sz w:val="24"/>
              </w:rPr>
            </w:pPr>
            <w:r>
              <w:rPr>
                <w:rFonts w:ascii="Times New Roman"/>
                <w:sz w:val="24"/>
              </w:rPr>
              <w:t>37.2%</w:t>
            </w:r>
          </w:p>
        </w:tc>
      </w:tr>
      <w:tr>
        <w:trPr>
          <w:trHeight w:val="468" w:hRule="atLeast"/>
        </w:trPr>
        <w:tc>
          <w:tcPr>
            <w:tcW w:w="1290" w:type="dxa"/>
            <w:tcBorders>
              <w:top w:val="nil"/>
              <w:bottom w:val="nil"/>
            </w:tcBorders>
          </w:tcPr>
          <w:p>
            <w:pPr>
              <w:pStyle w:val="TableParagraph"/>
              <w:spacing w:before="75"/>
              <w:ind w:left="106"/>
              <w:rPr>
                <w:sz w:val="24"/>
              </w:rPr>
            </w:pPr>
            <w:r>
              <w:rPr>
                <w:sz w:val="24"/>
              </w:rPr>
              <w:t>性别</w:t>
            </w:r>
          </w:p>
        </w:tc>
        <w:tc>
          <w:tcPr>
            <w:tcW w:w="1425" w:type="dxa"/>
            <w:tcBorders>
              <w:top w:val="nil"/>
              <w:bottom w:val="nil"/>
            </w:tcBorders>
          </w:tcPr>
          <w:p>
            <w:pPr>
              <w:pStyle w:val="TableParagraph"/>
              <w:spacing w:before="75"/>
              <w:ind w:left="108"/>
              <w:rPr>
                <w:sz w:val="24"/>
              </w:rPr>
            </w:pPr>
            <w:r>
              <w:rPr>
                <w:sz w:val="24"/>
              </w:rPr>
              <w:t>女</w:t>
            </w:r>
          </w:p>
        </w:tc>
        <w:tc>
          <w:tcPr>
            <w:tcW w:w="1425" w:type="dxa"/>
            <w:tcBorders>
              <w:top w:val="nil"/>
              <w:bottom w:val="nil"/>
            </w:tcBorders>
          </w:tcPr>
          <w:p>
            <w:pPr>
              <w:pStyle w:val="TableParagraph"/>
              <w:spacing w:before="91"/>
              <w:ind w:right="78"/>
              <w:jc w:val="right"/>
              <w:rPr>
                <w:rFonts w:ascii="Times New Roman"/>
                <w:sz w:val="24"/>
              </w:rPr>
            </w:pPr>
            <w:r>
              <w:rPr>
                <w:rFonts w:ascii="Times New Roman"/>
                <w:sz w:val="24"/>
              </w:rPr>
              <w:t>416</w:t>
            </w:r>
          </w:p>
        </w:tc>
        <w:tc>
          <w:tcPr>
            <w:tcW w:w="1290" w:type="dxa"/>
            <w:tcBorders>
              <w:top w:val="nil"/>
              <w:bottom w:val="nil"/>
            </w:tcBorders>
          </w:tcPr>
          <w:p>
            <w:pPr>
              <w:pStyle w:val="TableParagraph"/>
              <w:spacing w:before="91"/>
              <w:ind w:right="111"/>
              <w:jc w:val="right"/>
              <w:rPr>
                <w:rFonts w:ascii="Times New Roman"/>
                <w:sz w:val="24"/>
              </w:rPr>
            </w:pPr>
            <w:r>
              <w:rPr>
                <w:rFonts w:ascii="Times New Roman"/>
                <w:sz w:val="24"/>
              </w:rPr>
              <w:t>51.9%</w:t>
            </w:r>
          </w:p>
        </w:tc>
      </w:tr>
      <w:tr>
        <w:trPr>
          <w:trHeight w:val="620" w:hRule="atLeast"/>
        </w:trPr>
        <w:tc>
          <w:tcPr>
            <w:tcW w:w="1290" w:type="dxa"/>
            <w:tcBorders>
              <w:top w:val="nil"/>
            </w:tcBorders>
          </w:tcPr>
          <w:p>
            <w:pPr>
              <w:pStyle w:val="TableParagraph"/>
              <w:rPr>
                <w:rFonts w:ascii="Times New Roman"/>
                <w:sz w:val="22"/>
              </w:rPr>
            </w:pPr>
          </w:p>
        </w:tc>
        <w:tc>
          <w:tcPr>
            <w:tcW w:w="1425" w:type="dxa"/>
            <w:tcBorders>
              <w:top w:val="nil"/>
            </w:tcBorders>
          </w:tcPr>
          <w:p>
            <w:pPr>
              <w:pStyle w:val="TableParagraph"/>
              <w:spacing w:before="75"/>
              <w:ind w:left="108"/>
              <w:rPr>
                <w:sz w:val="24"/>
              </w:rPr>
            </w:pPr>
            <w:r>
              <w:rPr>
                <w:sz w:val="24"/>
              </w:rPr>
              <w:t>男</w:t>
            </w:r>
          </w:p>
        </w:tc>
        <w:tc>
          <w:tcPr>
            <w:tcW w:w="1425" w:type="dxa"/>
            <w:tcBorders>
              <w:top w:val="nil"/>
            </w:tcBorders>
          </w:tcPr>
          <w:p>
            <w:pPr>
              <w:pStyle w:val="TableParagraph"/>
              <w:spacing w:before="91"/>
              <w:ind w:right="78"/>
              <w:jc w:val="right"/>
              <w:rPr>
                <w:rFonts w:ascii="Times New Roman"/>
                <w:sz w:val="24"/>
              </w:rPr>
            </w:pPr>
            <w:r>
              <w:rPr>
                <w:rFonts w:ascii="Times New Roman"/>
                <w:sz w:val="24"/>
              </w:rPr>
              <w:t>385</w:t>
            </w:r>
          </w:p>
        </w:tc>
        <w:tc>
          <w:tcPr>
            <w:tcW w:w="1290" w:type="dxa"/>
            <w:tcBorders>
              <w:top w:val="nil"/>
            </w:tcBorders>
          </w:tcPr>
          <w:p>
            <w:pPr>
              <w:pStyle w:val="TableParagraph"/>
              <w:spacing w:before="91"/>
              <w:ind w:right="111"/>
              <w:jc w:val="right"/>
              <w:rPr>
                <w:rFonts w:ascii="Times New Roman"/>
                <w:sz w:val="24"/>
              </w:rPr>
            </w:pPr>
            <w:r>
              <w:rPr>
                <w:rFonts w:ascii="Times New Roman"/>
                <w:sz w:val="24"/>
              </w:rPr>
              <w:t>48.1%</w:t>
            </w:r>
          </w:p>
        </w:tc>
      </w:tr>
    </w:tbl>
    <w:p>
      <w:pPr>
        <w:pStyle w:val="BodyText"/>
        <w:rPr>
          <w:sz w:val="26"/>
        </w:rPr>
      </w:pPr>
    </w:p>
    <w:p>
      <w:pPr>
        <w:pStyle w:val="BodyText"/>
        <w:spacing w:line="364" w:lineRule="auto" w:before="217"/>
        <w:ind w:left="1320" w:right="1455" w:firstLine="480"/>
      </w:pPr>
      <w:r>
        <w:rPr>
          <w:spacing w:val="-7"/>
        </w:rPr>
        <w:t>学生问卷涉及四个维度：第一，学校生涯规划教育的效果，包括“自我认知</w:t>
      </w:r>
      <w:r>
        <w:rPr>
          <w:spacing w:val="-16"/>
        </w:rPr>
        <w:t>水平”，“生涯信息了解、探索情况”以及“生涯决策能力”这三个方面；第二， </w:t>
      </w:r>
      <w:r>
        <w:rPr>
          <w:spacing w:val="-5"/>
        </w:rPr>
        <w:t>“学生对学校生涯规划教育的了解”，包括“学校生涯规划教育目标”、“学校</w:t>
      </w:r>
      <w:r>
        <w:rPr>
          <w:spacing w:val="-13"/>
        </w:rPr>
        <w:t>生涯规划教育内容”、“学校生涯规划教育实施方式”；第三，“家长在学生生</w:t>
      </w:r>
      <w:r>
        <w:rPr>
          <w:spacing w:val="-14"/>
        </w:rPr>
        <w:t>涯规划中的作用”；其四，调查了学生对学校生涯规划教育的期待。教师的问卷</w:t>
      </w:r>
    </w:p>
    <w:p>
      <w:pPr>
        <w:spacing w:after="0" w:line="364" w:lineRule="auto"/>
        <w:sectPr>
          <w:pgSz w:w="11910" w:h="16840"/>
          <w:pgMar w:header="878" w:footer="1191" w:top="1300" w:bottom="1380" w:left="480" w:right="220"/>
        </w:sectPr>
      </w:pPr>
    </w:p>
    <w:p>
      <w:pPr>
        <w:pStyle w:val="BodyText"/>
        <w:spacing w:before="3"/>
        <w:rPr>
          <w:sz w:val="11"/>
        </w:rPr>
      </w:pPr>
    </w:p>
    <w:p>
      <w:pPr>
        <w:pStyle w:val="BodyText"/>
        <w:spacing w:line="364" w:lineRule="auto" w:before="66"/>
        <w:ind w:left="1320" w:right="1577"/>
        <w:jc w:val="both"/>
      </w:pPr>
      <w:bookmarkStart w:name="_bookmark187" w:id="228"/>
      <w:bookmarkEnd w:id="228"/>
      <w:r>
        <w:rPr/>
      </w:r>
      <w:r>
        <w:rPr>
          <w:spacing w:val="-8"/>
        </w:rPr>
        <w:t>与访谈涉及以下内容：第一，教师个人基本情况；第二，教师对生涯规划教育的</w:t>
      </w:r>
      <w:r>
        <w:rPr>
          <w:spacing w:val="-10"/>
        </w:rPr>
        <w:t>认识；第三，教师实践生涯规划教育的情况；第四，影响教师实施生涯规划教育的因素。此外，学校领导的访谈内容，除了领导对生涯规划教育的认识以外，还</w:t>
      </w:r>
      <w:r>
        <w:rPr/>
        <w:t>包括学校生涯规划教育的实施目标、实施方式、实施效果、实施困难等方面。</w:t>
      </w:r>
    </w:p>
    <w:p>
      <w:pPr>
        <w:pStyle w:val="BodyText"/>
        <w:spacing w:before="5"/>
        <w:rPr>
          <w:sz w:val="17"/>
        </w:rPr>
      </w:pPr>
    </w:p>
    <w:p>
      <w:pPr>
        <w:pStyle w:val="Heading2"/>
        <w:numPr>
          <w:ilvl w:val="1"/>
          <w:numId w:val="42"/>
        </w:numPr>
        <w:tabs>
          <w:tab w:pos="1810" w:val="left" w:leader="none"/>
        </w:tabs>
        <w:spacing w:line="240" w:lineRule="auto" w:before="0" w:after="0"/>
        <w:ind w:left="1809" w:right="0" w:hanging="490"/>
        <w:jc w:val="left"/>
      </w:pPr>
      <w:r>
        <w:rPr/>
        <w:t>生涯规划教育实施目标比较狭隘</w:t>
      </w:r>
    </w:p>
    <w:p>
      <w:pPr>
        <w:pStyle w:val="BodyText"/>
        <w:spacing w:before="5"/>
        <w:rPr>
          <w:rFonts w:ascii="Microsoft JhengHei"/>
          <w:b/>
          <w:sz w:val="22"/>
        </w:rPr>
      </w:pPr>
    </w:p>
    <w:p>
      <w:pPr>
        <w:pStyle w:val="BodyText"/>
        <w:spacing w:line="364" w:lineRule="auto"/>
        <w:ind w:left="1320" w:right="1455" w:firstLine="480"/>
      </w:pPr>
      <w:r>
        <w:rPr/>
        <w:t>基于核心素养观的生涯规划教育目标由“自主发展”、“生涯机会探索”、</w:t>
      </w:r>
      <w:r>
        <w:rPr>
          <w:spacing w:val="-15"/>
        </w:rPr>
        <w:t>“生涯规划与管理”三个方面构成，最终指向学生生涯规划素养的形成。换言之， </w:t>
      </w:r>
      <w:r>
        <w:rPr>
          <w:spacing w:val="-6"/>
        </w:rPr>
        <w:t>学生通过生涯规划教育的学习，应该清晰地认识自己；应清楚地了解社会环境和未来从事的职业，并能基于自身素质、社会环境、生涯发展规划个人发展路径。</w:t>
      </w:r>
      <w:r>
        <w:rPr>
          <w:spacing w:val="-10"/>
        </w:rPr>
        <w:t>这个过程中，学生将获得终身发展能力、沟通能力、信息技术能力、自主规划能</w:t>
      </w:r>
      <w:r>
        <w:rPr>
          <w:spacing w:val="-18"/>
        </w:rPr>
        <w:t>力、适应能力 </w:t>
      </w:r>
      <w:r>
        <w:rPr>
          <w:rFonts w:ascii="Times New Roman" w:hAnsi="Times New Roman" w:eastAsia="Times New Roman"/>
        </w:rPr>
        <w:t>5 </w:t>
      </w:r>
      <w:r>
        <w:rPr/>
        <w:t>类核心素养。</w:t>
      </w:r>
    </w:p>
    <w:p>
      <w:pPr>
        <w:pStyle w:val="BodyText"/>
        <w:spacing w:line="364" w:lineRule="auto" w:before="4"/>
        <w:ind w:left="1320" w:right="1577" w:firstLine="480"/>
        <w:jc w:val="both"/>
      </w:pPr>
      <w:r>
        <w:rPr>
          <w:spacing w:val="-10"/>
        </w:rPr>
        <w:t>调查显示，现阶段学校生涯规划教育实施目标比较狭隘，主要表现为学校领</w:t>
      </w:r>
      <w:r>
        <w:rPr>
          <w:spacing w:val="-5"/>
        </w:rPr>
        <w:t>导和生涯规划教师对生涯规划教育的实施目标认识不全面。他们认为生涯规划教</w:t>
      </w:r>
      <w:r>
        <w:rPr/>
        <w:t>育主要立足于高考与升学，忽视其对学生未来发展的影响力。</w:t>
      </w:r>
    </w:p>
    <w:p>
      <w:pPr>
        <w:pStyle w:val="BodyText"/>
        <w:spacing w:before="2"/>
        <w:rPr>
          <w:sz w:val="23"/>
        </w:rPr>
      </w:pPr>
    </w:p>
    <w:p>
      <w:pPr>
        <w:pStyle w:val="ListParagraph"/>
        <w:numPr>
          <w:ilvl w:val="2"/>
          <w:numId w:val="42"/>
        </w:numPr>
        <w:tabs>
          <w:tab w:pos="1920" w:val="left" w:leader="none"/>
        </w:tabs>
        <w:spacing w:line="240" w:lineRule="auto" w:before="0" w:after="0"/>
        <w:ind w:left="1920" w:right="0" w:hanging="600"/>
        <w:jc w:val="left"/>
        <w:rPr>
          <w:sz w:val="24"/>
        </w:rPr>
      </w:pPr>
      <w:r>
        <w:rPr>
          <w:sz w:val="24"/>
        </w:rPr>
        <w:t>学校负责人对实施目标的认识不足</w:t>
      </w:r>
    </w:p>
    <w:p>
      <w:pPr>
        <w:pStyle w:val="BodyText"/>
        <w:spacing w:before="9"/>
        <w:rPr>
          <w:sz w:val="35"/>
        </w:rPr>
      </w:pPr>
    </w:p>
    <w:p>
      <w:pPr>
        <w:pStyle w:val="BodyText"/>
        <w:spacing w:line="364" w:lineRule="auto" w:before="1"/>
        <w:ind w:left="1320" w:right="1577" w:firstLine="480"/>
        <w:jc w:val="both"/>
      </w:pPr>
      <w:r>
        <w:rPr>
          <w:spacing w:val="2"/>
        </w:rPr>
        <w:t>学校领导对生涯规划教育的基本认识关乎生涯规划教育在学校教育教学的</w:t>
      </w:r>
      <w:r>
        <w:rPr>
          <w:spacing w:val="-11"/>
        </w:rPr>
        <w:t>地位，及其发展的大致走向，而其对生涯规划教育实施目标的定位将直接影响到</w:t>
      </w:r>
      <w:r>
        <w:rPr/>
        <w:t>学校生涯规划教育的实施目标。</w:t>
      </w:r>
    </w:p>
    <w:p>
      <w:pPr>
        <w:pStyle w:val="BodyText"/>
        <w:spacing w:line="364" w:lineRule="auto" w:before="1"/>
        <w:ind w:left="1320" w:right="1577" w:firstLine="480"/>
        <w:jc w:val="both"/>
      </w:pPr>
      <w:r>
        <w:rPr>
          <w:spacing w:val="-9"/>
        </w:rPr>
        <w:t>在与领导面对面交谈中，笔者发现，他们对生涯规划教育的重要性已经有了</w:t>
      </w:r>
      <w:r>
        <w:rPr>
          <w:spacing w:val="-10"/>
        </w:rPr>
        <w:t>一定的认识，但对其实施目标的意义认识明显不足。大部分教师认为，实施生涯</w:t>
      </w:r>
      <w:r>
        <w:rPr>
          <w:spacing w:val="-5"/>
        </w:rPr>
        <w:t>规划教育是为了指导学生做出恰当的大学院校专业或职业选择，从而更好地应对</w:t>
      </w:r>
      <w:r>
        <w:rPr/>
        <w:t>高考改革。</w:t>
      </w:r>
    </w:p>
    <w:p>
      <w:pPr>
        <w:pStyle w:val="BodyText"/>
        <w:spacing w:line="364" w:lineRule="auto" w:before="3"/>
        <w:ind w:left="1319" w:right="1577" w:firstLine="480"/>
        <w:jc w:val="both"/>
      </w:pPr>
      <w:r>
        <w:rPr>
          <w:spacing w:val="-11"/>
        </w:rPr>
        <w:t>迫于高考压力，部分学校的生涯规划教育几乎止步于帮助学生做出高考科目</w:t>
      </w:r>
      <w:r>
        <w:rPr>
          <w:spacing w:val="-10"/>
        </w:rPr>
        <w:t>的选择。尤其在紧张的高三备考阶段，除了填报高考志愿时，学校会对学生进行</w:t>
      </w:r>
      <w:r>
        <w:rPr>
          <w:spacing w:val="-2"/>
        </w:rPr>
        <w:t>指导外，其它时候，生涯规划教育被搁置了。在笔者与 </w:t>
      </w:r>
      <w:r>
        <w:rPr>
          <w:rFonts w:ascii="Times New Roman" w:eastAsia="Times New Roman"/>
        </w:rPr>
        <w:t>Z </w:t>
      </w:r>
      <w:r>
        <w:rPr/>
        <w:t>领导的访谈中，这种情况体现得尤为明显。</w:t>
      </w:r>
    </w:p>
    <w:p>
      <w:pPr>
        <w:spacing w:after="0" w:line="364" w:lineRule="auto"/>
        <w:jc w:val="both"/>
        <w:sectPr>
          <w:pgSz w:w="11910" w:h="16840"/>
          <w:pgMar w:header="878" w:footer="1191" w:top="1300" w:bottom="1380" w:left="480" w:right="220"/>
        </w:sectPr>
      </w:pPr>
    </w:p>
    <w:p>
      <w:pPr>
        <w:pStyle w:val="BodyText"/>
        <w:spacing w:before="3"/>
        <w:rPr>
          <w:sz w:val="11"/>
        </w:rPr>
      </w:pPr>
    </w:p>
    <w:p>
      <w:pPr>
        <w:pStyle w:val="BodyText"/>
        <w:spacing w:before="66"/>
        <w:ind w:left="1740"/>
      </w:pPr>
      <w:r>
        <w:rPr/>
        <w:t>笔者：老师，您好！请问贵校开展生涯规划教育的主要目的是什么？</w:t>
      </w:r>
    </w:p>
    <w:p>
      <w:pPr>
        <w:pStyle w:val="BodyText"/>
        <w:spacing w:line="364" w:lineRule="auto" w:before="161"/>
        <w:ind w:left="1320" w:right="1455" w:firstLine="420"/>
      </w:pPr>
      <w:r>
        <w:rPr/>
        <w:t>Z</w:t>
      </w:r>
      <w:r>
        <w:rPr>
          <w:spacing w:val="-8"/>
        </w:rPr>
        <w:t> 领导：其实生涯规划教育的主要目的就是引导学生正确认识自我，帮助学</w:t>
      </w:r>
      <w:r>
        <w:rPr>
          <w:spacing w:val="-14"/>
        </w:rPr>
        <w:t>生建立起初步人生发展方向。如果学生不知道将来发展方向，那么他在学习和生</w:t>
      </w:r>
      <w:r>
        <w:rPr>
          <w:spacing w:val="-20"/>
        </w:rPr>
        <w:t>活中是十分迷茫的。因此，学校一定要发挥引导作用，让学生结合发展发现方向， </w:t>
      </w:r>
      <w:r>
        <w:rPr/>
        <w:t>合理选课、选考。</w:t>
      </w:r>
    </w:p>
    <w:p>
      <w:pPr>
        <w:pStyle w:val="BodyText"/>
        <w:spacing w:before="2"/>
        <w:ind w:left="1740"/>
      </w:pPr>
      <w:r>
        <w:rPr/>
        <w:t>笔者：那么，学校具体是怎么操作的呢？</w:t>
      </w:r>
    </w:p>
    <w:p>
      <w:pPr>
        <w:pStyle w:val="BodyText"/>
        <w:spacing w:line="364" w:lineRule="auto" w:before="160"/>
        <w:ind w:left="1320" w:right="1577" w:firstLine="420"/>
        <w:jc w:val="both"/>
      </w:pPr>
      <w:r>
        <w:rPr/>
        <w:t>Z</w:t>
      </w:r>
      <w:r>
        <w:rPr>
          <w:spacing w:val="-8"/>
        </w:rPr>
        <w:t> 领导：学校在学生高一的时候开始生涯规划教育校本课程，让学生认识自</w:t>
      </w:r>
      <w:r>
        <w:rPr>
          <w:spacing w:val="-11"/>
        </w:rPr>
        <w:t>己，帮他们选课；对于高二的学生，学校围绕学生的选课组织教学。学生的课虽</w:t>
      </w:r>
      <w:r>
        <w:rPr>
          <w:spacing w:val="-10"/>
        </w:rPr>
        <w:t>选好，大致方向也已经确定，理论上应该让学生体验选课的专业或职业。但因为</w:t>
      </w:r>
      <w:r>
        <w:rPr>
          <w:spacing w:val="-9"/>
        </w:rPr>
        <w:t>时间紧张，老师们都舍不得花这点时间。所以，现在高二、高三基本上没有生涯</w:t>
      </w:r>
      <w:r>
        <w:rPr/>
        <w:t>规划教育，再次指导就是高考后的志愿填报。</w:t>
      </w:r>
    </w:p>
    <w:p>
      <w:pPr>
        <w:pStyle w:val="BodyText"/>
        <w:spacing w:before="3"/>
        <w:ind w:left="1740"/>
      </w:pPr>
      <w:r>
        <w:rPr/>
        <w:t>笔者：高三学校没有进行生涯规划教育，还有别的原因吗？</w:t>
      </w:r>
    </w:p>
    <w:p>
      <w:pPr>
        <w:pStyle w:val="BodyText"/>
        <w:spacing w:line="364" w:lineRule="auto" w:before="161"/>
        <w:ind w:left="1320" w:right="1577" w:firstLine="420"/>
        <w:jc w:val="both"/>
      </w:pPr>
      <w:r>
        <w:rPr/>
        <w:t>Z</w:t>
      </w:r>
      <w:r>
        <w:rPr>
          <w:spacing w:val="-8"/>
        </w:rPr>
        <w:t> 领导：除了老师不愿意挪出时间以外，还因为学生们忙于应付各种考试！ </w:t>
      </w:r>
      <w:r>
        <w:rPr>
          <w:spacing w:val="-11"/>
        </w:rPr>
        <w:t>不仅如此，一旦高考科目确定，我们就没办法更改，如果再要指导学生转向其它</w:t>
      </w:r>
      <w:r>
        <w:rPr/>
        <w:t>学科，已经没有意义可言。</w:t>
      </w:r>
    </w:p>
    <w:p>
      <w:pPr>
        <w:pStyle w:val="BodyText"/>
      </w:pPr>
    </w:p>
    <w:p>
      <w:pPr>
        <w:pStyle w:val="BodyText"/>
        <w:spacing w:before="162"/>
        <w:ind w:left="6420"/>
        <w:rPr>
          <w:rFonts w:ascii="Times New Roman" w:hAnsi="Times New Roman" w:eastAsia="Times New Roman"/>
        </w:rPr>
      </w:pPr>
      <w:r>
        <w:rPr>
          <w:rFonts w:ascii="Times New Roman" w:hAnsi="Times New Roman" w:eastAsia="Times New Roman"/>
        </w:rPr>
        <w:t>—— </w:t>
      </w:r>
      <w:r>
        <w:rPr/>
        <w:t>访谈，</w:t>
      </w:r>
      <w:r>
        <w:rPr>
          <w:rFonts w:ascii="Times New Roman" w:hAnsi="Times New Roman" w:eastAsia="Times New Roman"/>
        </w:rPr>
        <w:t>Z </w:t>
      </w:r>
      <w:r>
        <w:rPr/>
        <w:t>领导，</w:t>
      </w:r>
      <w:r>
        <w:rPr>
          <w:rFonts w:ascii="Times New Roman" w:hAnsi="Times New Roman" w:eastAsia="Times New Roman"/>
        </w:rPr>
        <w:t>20161026</w:t>
      </w:r>
    </w:p>
    <w:p>
      <w:pPr>
        <w:pStyle w:val="BodyText"/>
        <w:rPr>
          <w:rFonts w:ascii="Times New Roman"/>
          <w:sz w:val="26"/>
        </w:rPr>
      </w:pPr>
    </w:p>
    <w:p>
      <w:pPr>
        <w:pStyle w:val="BodyText"/>
        <w:spacing w:before="8"/>
        <w:rPr>
          <w:rFonts w:ascii="Times New Roman"/>
          <w:sz w:val="28"/>
        </w:rPr>
      </w:pPr>
    </w:p>
    <w:p>
      <w:pPr>
        <w:pStyle w:val="BodyText"/>
        <w:spacing w:line="364" w:lineRule="auto"/>
        <w:ind w:left="1320" w:right="1577" w:firstLine="480"/>
        <w:jc w:val="both"/>
      </w:pPr>
      <w:r>
        <w:rPr>
          <w:spacing w:val="-25"/>
        </w:rPr>
        <w:t>从 </w:t>
      </w:r>
      <w:r>
        <w:rPr>
          <w:rFonts w:ascii="Times New Roman" w:eastAsia="Times New Roman"/>
        </w:rPr>
        <w:t>Z </w:t>
      </w:r>
      <w:r>
        <w:rPr/>
        <w:t>校长的谈话看来，他已认识到生涯规划教育的重要性，也谈及了生涯</w:t>
      </w:r>
      <w:r>
        <w:rPr>
          <w:spacing w:val="-3"/>
        </w:rPr>
        <w:t>规划教育应帮助学生明确发展方向。但是，</w:t>
      </w:r>
      <w:r>
        <w:rPr>
          <w:rFonts w:ascii="Times New Roman" w:eastAsia="Times New Roman"/>
          <w:spacing w:val="-15"/>
        </w:rPr>
        <w:t>Z </w:t>
      </w:r>
      <w:r>
        <w:rPr>
          <w:spacing w:val="-2"/>
        </w:rPr>
        <w:t>校长将其实施目标定位于指导学生</w:t>
      </w:r>
      <w:r>
        <w:rPr>
          <w:spacing w:val="-10"/>
        </w:rPr>
        <w:t>选课及选考，这种理解的出发点仍是学生的高考，缺乏对生涯规划教育实施目标</w:t>
      </w:r>
      <w:r>
        <w:rPr>
          <w:spacing w:val="-2"/>
        </w:rPr>
        <w:t>更深层次的思考，可见其认识上的局限性。另一方面，笔者也感受到了 </w:t>
      </w:r>
      <w:r>
        <w:rPr>
          <w:rFonts w:ascii="Times New Roman" w:eastAsia="Times New Roman"/>
        </w:rPr>
        <w:t>Z </w:t>
      </w:r>
      <w:r>
        <w:rPr>
          <w:spacing w:val="2"/>
        </w:rPr>
        <w:t>校长</w:t>
      </w:r>
      <w:r>
        <w:rPr>
          <w:spacing w:val="-8"/>
        </w:rPr>
        <w:t>的无奈之处，学校在实施过程中，有应试压力，受制于各种考试，无暇顾及考试</w:t>
      </w:r>
      <w:r>
        <w:rPr/>
        <w:t>之外的内容。因此，生涯规划教育的主要目的仍是应对高考。</w:t>
      </w:r>
    </w:p>
    <w:p>
      <w:pPr>
        <w:pStyle w:val="BodyText"/>
        <w:spacing w:line="364" w:lineRule="auto" w:before="3"/>
        <w:ind w:left="1320" w:right="1577" w:firstLine="480"/>
        <w:jc w:val="both"/>
      </w:pPr>
      <w:r>
        <w:rPr>
          <w:spacing w:val="-6"/>
        </w:rPr>
        <w:t>另一位学校领导在谈到学校生涯规划教育目标时，一脸错愕。他认为学校是因为高考改革的政策不得不开展生涯规划教育，更提不上深刻思考过生涯规划教</w:t>
      </w:r>
      <w:r>
        <w:rPr/>
        <w:t>育开展之于学生的重要意义。他在访谈中这样说道：</w:t>
      </w:r>
    </w:p>
    <w:p>
      <w:pPr>
        <w:pStyle w:val="BodyText"/>
      </w:pPr>
    </w:p>
    <w:p>
      <w:pPr>
        <w:pStyle w:val="BodyText"/>
        <w:spacing w:before="163"/>
        <w:ind w:left="1740"/>
      </w:pPr>
      <w:r>
        <w:rPr/>
        <w:t>“呃……现在国家的政策要求这样，那么我们就按照上层的意思，规划学校</w:t>
      </w:r>
    </w:p>
    <w:p>
      <w:pPr>
        <w:spacing w:after="0"/>
        <w:sectPr>
          <w:pgSz w:w="11910" w:h="16840"/>
          <w:pgMar w:header="878" w:footer="1191" w:top="1300" w:bottom="1380" w:left="480" w:right="220"/>
        </w:sectPr>
      </w:pPr>
    </w:p>
    <w:p>
      <w:pPr>
        <w:pStyle w:val="BodyText"/>
        <w:spacing w:before="3"/>
        <w:rPr>
          <w:sz w:val="11"/>
        </w:rPr>
      </w:pPr>
    </w:p>
    <w:p>
      <w:pPr>
        <w:pStyle w:val="BodyText"/>
        <w:spacing w:line="364" w:lineRule="auto" w:before="66"/>
        <w:ind w:left="1320" w:right="1457"/>
      </w:pPr>
      <w:bookmarkStart w:name="_bookmark188" w:id="229"/>
      <w:bookmarkEnd w:id="229"/>
      <w:r>
        <w:rPr/>
      </w:r>
      <w:r>
        <w:rPr>
          <w:spacing w:val="-20"/>
        </w:rPr>
        <w:t>课程的顶层设计，然后展开工作。新课改也确实有这方面的要求，有选课，是吧？ </w:t>
      </w:r>
      <w:r>
        <w:rPr>
          <w:spacing w:val="-24"/>
        </w:rPr>
        <w:t>学生自己选择哪些学科进行高考。如果让学生谈理想，谈以后要做什么样的工作， </w:t>
      </w:r>
      <w:r>
        <w:rPr/>
        <w:t>学生对这方面的思考确实是比较少的，实施生涯规划教育还是有一定意义的。”</w:t>
      </w:r>
    </w:p>
    <w:p>
      <w:pPr>
        <w:pStyle w:val="BodyText"/>
        <w:spacing w:before="2"/>
        <w:ind w:left="6513"/>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D</w:t>
      </w:r>
      <w:r>
        <w:rPr>
          <w:rFonts w:ascii="Times New Roman" w:hAnsi="Times New Roman" w:eastAsia="Times New Roman"/>
          <w:spacing w:val="-1"/>
        </w:rPr>
        <w:t> </w:t>
      </w:r>
      <w:r>
        <w:rPr/>
        <w:t>领导，</w:t>
      </w:r>
      <w:r>
        <w:rPr>
          <w:rFonts w:ascii="Times New Roman" w:hAnsi="Times New Roman" w:eastAsia="Times New Roman"/>
        </w:rPr>
        <w:t>20161026</w:t>
      </w:r>
    </w:p>
    <w:p>
      <w:pPr>
        <w:pStyle w:val="BodyText"/>
        <w:rPr>
          <w:rFonts w:ascii="Times New Roman"/>
          <w:sz w:val="26"/>
        </w:rPr>
      </w:pPr>
    </w:p>
    <w:p>
      <w:pPr>
        <w:pStyle w:val="BodyText"/>
        <w:rPr>
          <w:rFonts w:ascii="Times New Roman"/>
          <w:sz w:val="26"/>
        </w:rPr>
      </w:pPr>
    </w:p>
    <w:p>
      <w:pPr>
        <w:pStyle w:val="BodyText"/>
        <w:spacing w:before="6"/>
        <w:rPr>
          <w:rFonts w:ascii="Times New Roman"/>
          <w:sz w:val="28"/>
        </w:rPr>
      </w:pPr>
    </w:p>
    <w:p>
      <w:pPr>
        <w:pStyle w:val="ListParagraph"/>
        <w:numPr>
          <w:ilvl w:val="2"/>
          <w:numId w:val="42"/>
        </w:numPr>
        <w:tabs>
          <w:tab w:pos="1920" w:val="left" w:leader="none"/>
        </w:tabs>
        <w:spacing w:line="240" w:lineRule="auto" w:before="0" w:after="0"/>
        <w:ind w:left="1920" w:right="0" w:hanging="600"/>
        <w:jc w:val="left"/>
        <w:rPr>
          <w:sz w:val="24"/>
        </w:rPr>
      </w:pPr>
      <w:r>
        <w:rPr>
          <w:sz w:val="24"/>
        </w:rPr>
        <w:t>教师对实施目标的理解存在偏差</w:t>
      </w:r>
    </w:p>
    <w:p>
      <w:pPr>
        <w:pStyle w:val="BodyText"/>
        <w:spacing w:before="7"/>
        <w:rPr>
          <w:sz w:val="35"/>
        </w:rPr>
      </w:pPr>
    </w:p>
    <w:p>
      <w:pPr>
        <w:pStyle w:val="BodyText"/>
        <w:spacing w:line="364" w:lineRule="auto"/>
        <w:ind w:left="1320" w:right="1577" w:firstLine="480"/>
        <w:jc w:val="both"/>
      </w:pPr>
      <w:r>
        <w:rPr>
          <w:spacing w:val="-5"/>
        </w:rPr>
        <w:t>生涯规划教育教师是学校开展生涯规划教育的主力军，他们对生涯规划教育</w:t>
      </w:r>
      <w:r>
        <w:rPr>
          <w:spacing w:val="-8"/>
        </w:rPr>
        <w:t>实施目标的理解至关重要。调查显示，学校生涯规划教育教师对生涯规划教育实</w:t>
      </w:r>
      <w:r>
        <w:rPr>
          <w:spacing w:val="-7"/>
        </w:rPr>
        <w:t>施目标的认识存在一定的偏差，他们认为生涯规划教育是一种方向性指导，主要帮助学生认识当下的自己，并结合自身条件进行选课，选专业和大学。这些教师</w:t>
      </w:r>
      <w:r>
        <w:rPr/>
        <w:t>仍停留于对学生的心理指导，在一定程度上弱化了对学生未来规划与发展的指导，也忽视了对学生能力的培养。</w:t>
      </w:r>
    </w:p>
    <w:p>
      <w:pPr>
        <w:pStyle w:val="BodyText"/>
        <w:spacing w:before="4"/>
        <w:ind w:left="1800"/>
        <w:jc w:val="both"/>
      </w:pPr>
      <w:r>
        <w:rPr/>
        <w:t>笔者在与 </w:t>
      </w:r>
      <w:r>
        <w:rPr>
          <w:rFonts w:ascii="Times New Roman" w:eastAsia="Times New Roman"/>
        </w:rPr>
        <w:t>C </w:t>
      </w:r>
      <w:r>
        <w:rPr/>
        <w:t>教师的交谈中，得到了这样的回答：</w:t>
      </w:r>
    </w:p>
    <w:p>
      <w:pPr>
        <w:pStyle w:val="BodyText"/>
        <w:rPr>
          <w:sz w:val="26"/>
        </w:rPr>
      </w:pPr>
    </w:p>
    <w:p>
      <w:pPr>
        <w:pStyle w:val="BodyText"/>
        <w:rPr>
          <w:sz w:val="23"/>
        </w:rPr>
      </w:pPr>
    </w:p>
    <w:p>
      <w:pPr>
        <w:pStyle w:val="BodyText"/>
        <w:spacing w:before="1"/>
        <w:ind w:left="1739"/>
      </w:pPr>
      <w:r>
        <w:rPr/>
        <w:t>笔者：老师，您好！您认为学校开展生涯规划教育的目的是什么？</w:t>
      </w:r>
    </w:p>
    <w:p>
      <w:pPr>
        <w:pStyle w:val="BodyText"/>
        <w:spacing w:line="364" w:lineRule="auto" w:before="160"/>
        <w:ind w:left="1320" w:right="1457" w:firstLine="420"/>
        <w:jc w:val="both"/>
      </w:pPr>
      <w:r>
        <w:rPr>
          <w:rFonts w:ascii="Times New Roman" w:eastAsia="Times New Roman"/>
        </w:rPr>
        <w:t>C </w:t>
      </w:r>
      <w:r>
        <w:rPr>
          <w:spacing w:val="-4"/>
        </w:rPr>
        <w:t>教师：最主要使高考更有针对性。帮助学生认识自己，让学生能根据自身</w:t>
      </w:r>
      <w:r>
        <w:rPr>
          <w:spacing w:val="-10"/>
        </w:rPr>
        <w:t>的优势、特长等找到发展方向，知道自己将来要读什么大学，做什么工作。这样</w:t>
      </w:r>
      <w:r>
        <w:rPr>
          <w:spacing w:val="-12"/>
        </w:rPr>
        <w:t>做的好处就是，使学生未来学习和生活的目标更加清晰。所以，我觉得生涯规划</w:t>
      </w:r>
      <w:r>
        <w:rPr>
          <w:spacing w:val="-17"/>
        </w:rPr>
        <w:t>教育，尤其要关注学生现在的选课，这是一个人的职业生涯中非常重要的转折点。</w:t>
      </w:r>
    </w:p>
    <w:p>
      <w:pPr>
        <w:pStyle w:val="BodyText"/>
        <w:spacing w:before="2"/>
        <w:ind w:left="1740"/>
      </w:pPr>
      <w:r>
        <w:rPr/>
        <w:t>笔者：那您能结合学校的办学理念谈谈学校开展生涯规划教育的目的吗？</w:t>
      </w:r>
    </w:p>
    <w:p>
      <w:pPr>
        <w:pStyle w:val="BodyText"/>
        <w:spacing w:line="364" w:lineRule="auto" w:before="161"/>
        <w:ind w:left="1320" w:right="1457" w:firstLine="420"/>
      </w:pPr>
      <w:r>
        <w:rPr>
          <w:rFonts w:ascii="Times New Roman" w:eastAsia="Times New Roman"/>
        </w:rPr>
        <w:t>C </w:t>
      </w:r>
      <w:r>
        <w:rPr>
          <w:spacing w:val="-15"/>
        </w:rPr>
        <w:t>教师：这方面我不太了解。你应该要去问 </w:t>
      </w:r>
      <w:r>
        <w:rPr>
          <w:rFonts w:ascii="Times New Roman" w:eastAsia="Times New Roman"/>
        </w:rPr>
        <w:t>L </w:t>
      </w:r>
      <w:r>
        <w:rPr>
          <w:spacing w:val="-9"/>
        </w:rPr>
        <w:t>老师，他主要负责统筹规划的， </w:t>
      </w:r>
      <w:r>
        <w:rPr/>
        <w:t>我只是在上生涯规划教育这门课而已。</w:t>
      </w:r>
    </w:p>
    <w:p>
      <w:pPr>
        <w:pStyle w:val="BodyText"/>
        <w:spacing w:before="1"/>
        <w:ind w:left="6525"/>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C </w:t>
      </w:r>
      <w:r>
        <w:rPr/>
        <w:t>教师，</w:t>
      </w:r>
      <w:r>
        <w:rPr>
          <w:rFonts w:ascii="Times New Roman" w:hAnsi="Times New Roman" w:eastAsia="Times New Roman"/>
        </w:rPr>
        <w:t>20161026</w:t>
      </w:r>
    </w:p>
    <w:p>
      <w:pPr>
        <w:pStyle w:val="BodyText"/>
        <w:rPr>
          <w:rFonts w:ascii="Times New Roman"/>
          <w:sz w:val="26"/>
        </w:rPr>
      </w:pPr>
    </w:p>
    <w:p>
      <w:pPr>
        <w:pStyle w:val="BodyText"/>
        <w:spacing w:before="8"/>
        <w:rPr>
          <w:rFonts w:ascii="Times New Roman"/>
          <w:sz w:val="28"/>
        </w:rPr>
      </w:pPr>
    </w:p>
    <w:p>
      <w:pPr>
        <w:pStyle w:val="BodyText"/>
        <w:spacing w:line="364" w:lineRule="auto"/>
        <w:ind w:left="1320" w:right="1455" w:firstLine="480"/>
      </w:pPr>
      <w:r>
        <w:rPr>
          <w:spacing w:val="-5"/>
        </w:rPr>
        <w:t>从访谈中不难发现，</w:t>
      </w:r>
      <w:r>
        <w:rPr>
          <w:rFonts w:ascii="Times New Roman" w:eastAsia="Times New Roman"/>
          <w:spacing w:val="-38"/>
        </w:rPr>
        <w:t>C</w:t>
      </w:r>
      <w:r>
        <w:rPr>
          <w:rFonts w:ascii="Times New Roman" w:eastAsia="Times New Roman"/>
          <w:spacing w:val="-22"/>
        </w:rPr>
        <w:t> </w:t>
      </w:r>
      <w:r>
        <w:rPr/>
        <w:t>教师对生涯规划教育目标的理解局限于帮助学生确立</w:t>
      </w:r>
      <w:r>
        <w:rPr>
          <w:spacing w:val="-7"/>
        </w:rPr>
        <w:t>当前的发展方向，更好地应付高考，并未涉及到对学生的生涯规划，以及能力培</w:t>
      </w:r>
      <w:r>
        <w:rPr>
          <w:spacing w:val="-18"/>
        </w:rPr>
        <w:t>养层面。而谈及学校层面的目的时，她表现得十分抗拒，甚至想将自己置身事外。</w:t>
      </w:r>
      <w:r>
        <w:rPr>
          <w:spacing w:val="-9"/>
        </w:rPr>
        <w:t>在她看来，这门课程是任务，不得不完成，实际上，该教师并没有真正理解生涯</w:t>
      </w:r>
    </w:p>
    <w:p>
      <w:pPr>
        <w:spacing w:after="0" w:line="364" w:lineRule="auto"/>
        <w:sectPr>
          <w:pgSz w:w="11910" w:h="16840"/>
          <w:pgMar w:header="878" w:footer="1191" w:top="1300" w:bottom="1380" w:left="480" w:right="220"/>
        </w:sectPr>
      </w:pPr>
    </w:p>
    <w:p>
      <w:pPr>
        <w:pStyle w:val="BodyText"/>
        <w:spacing w:before="3"/>
        <w:rPr>
          <w:sz w:val="11"/>
        </w:rPr>
      </w:pPr>
    </w:p>
    <w:p>
      <w:pPr>
        <w:pStyle w:val="BodyText"/>
        <w:spacing w:before="66"/>
        <w:ind w:left="1320"/>
      </w:pPr>
      <w:bookmarkStart w:name="_bookmark189" w:id="230"/>
      <w:bookmarkEnd w:id="230"/>
      <w:r>
        <w:rPr/>
      </w:r>
      <w:r>
        <w:rPr/>
        <w:t>规划教育课程的意义。</w:t>
      </w:r>
    </w:p>
    <w:p>
      <w:pPr>
        <w:pStyle w:val="BodyText"/>
        <w:spacing w:before="9"/>
        <w:rPr>
          <w:sz w:val="29"/>
        </w:rPr>
      </w:pPr>
    </w:p>
    <w:p>
      <w:pPr>
        <w:pStyle w:val="Heading2"/>
        <w:numPr>
          <w:ilvl w:val="1"/>
          <w:numId w:val="42"/>
        </w:numPr>
        <w:tabs>
          <w:tab w:pos="1810" w:val="left" w:leader="none"/>
        </w:tabs>
        <w:spacing w:line="240" w:lineRule="auto" w:before="0" w:after="0"/>
        <w:ind w:left="1809" w:right="0" w:hanging="490"/>
        <w:jc w:val="left"/>
      </w:pPr>
      <w:r>
        <w:rPr/>
        <w:t>生涯规划教育实施内容比较局限</w:t>
      </w:r>
    </w:p>
    <w:p>
      <w:pPr>
        <w:pStyle w:val="BodyText"/>
        <w:spacing w:before="5"/>
        <w:rPr>
          <w:rFonts w:ascii="Microsoft JhengHei"/>
          <w:b/>
          <w:sz w:val="22"/>
        </w:rPr>
      </w:pPr>
    </w:p>
    <w:p>
      <w:pPr>
        <w:pStyle w:val="BodyText"/>
        <w:spacing w:line="364" w:lineRule="auto"/>
        <w:ind w:left="1320" w:right="1577" w:firstLine="480"/>
        <w:jc w:val="both"/>
      </w:pPr>
      <w:r>
        <w:rPr>
          <w:spacing w:val="-4"/>
        </w:rPr>
        <w:t>本研究认为基于核心素养观的生涯规划教育内容应当围绕自我认知领域、生</w:t>
      </w:r>
      <w:r>
        <w:rPr>
          <w:spacing w:val="-11"/>
        </w:rPr>
        <w:t>活领域、职业领域、学习领域这四个方面来组织课程与教学。但是，现阶段普通</w:t>
      </w:r>
      <w:r>
        <w:rPr/>
        <w:t>高中的生涯规划教育内容总体较为局限。</w:t>
      </w:r>
    </w:p>
    <w:p>
      <w:pPr>
        <w:pStyle w:val="BodyText"/>
        <w:spacing w:before="2"/>
        <w:rPr>
          <w:sz w:val="23"/>
        </w:rPr>
      </w:pPr>
    </w:p>
    <w:p>
      <w:pPr>
        <w:pStyle w:val="ListParagraph"/>
        <w:numPr>
          <w:ilvl w:val="2"/>
          <w:numId w:val="42"/>
        </w:numPr>
        <w:tabs>
          <w:tab w:pos="1920" w:val="left" w:leader="none"/>
        </w:tabs>
        <w:spacing w:line="240" w:lineRule="auto" w:before="1" w:after="0"/>
        <w:ind w:left="1920" w:right="0" w:hanging="600"/>
        <w:jc w:val="left"/>
        <w:rPr>
          <w:sz w:val="24"/>
        </w:rPr>
      </w:pPr>
      <w:r>
        <w:rPr>
          <w:sz w:val="24"/>
        </w:rPr>
        <w:t>实施内容偏重于职业指导</w:t>
      </w:r>
    </w:p>
    <w:p>
      <w:pPr>
        <w:pStyle w:val="BodyText"/>
        <w:spacing w:before="9"/>
        <w:rPr>
          <w:sz w:val="35"/>
        </w:rPr>
      </w:pPr>
    </w:p>
    <w:p>
      <w:pPr>
        <w:pStyle w:val="BodyText"/>
        <w:spacing w:line="364" w:lineRule="auto"/>
        <w:ind w:left="1319" w:right="1485" w:firstLine="480"/>
      </w:pPr>
      <w:r>
        <w:rPr>
          <w:spacing w:val="1"/>
        </w:rPr>
        <w:t>调查表明，目前我国普通高中的生涯规划教育内容难以挣脱职业指导的樊</w:t>
      </w:r>
      <w:r>
        <w:rPr/>
        <w:t>篱，侧重于帮助学生明确职业发展方向，因而忽视学生能力的培养。具体而言， </w:t>
      </w:r>
      <w:r>
        <w:rPr>
          <w:spacing w:val="-10"/>
        </w:rPr>
        <w:t>我们可以从 </w:t>
      </w:r>
      <w:r>
        <w:rPr>
          <w:rFonts w:ascii="Times New Roman" w:eastAsia="Times New Roman"/>
        </w:rPr>
        <w:t>X </w:t>
      </w:r>
      <w:r>
        <w:rPr>
          <w:spacing w:val="-12"/>
        </w:rPr>
        <w:t>中学、</w:t>
      </w:r>
      <w:r>
        <w:rPr>
          <w:rFonts w:ascii="Times New Roman" w:eastAsia="Times New Roman"/>
        </w:rPr>
        <w:t>S </w:t>
      </w:r>
      <w:r>
        <w:rPr>
          <w:spacing w:val="-12"/>
        </w:rPr>
        <w:t>中学、</w:t>
      </w:r>
      <w:r>
        <w:rPr>
          <w:rFonts w:ascii="Times New Roman" w:eastAsia="Times New Roman"/>
        </w:rPr>
        <w:t>E </w:t>
      </w:r>
      <w:r>
        <w:rPr/>
        <w:t>中学的生涯规划教育内容中窥视当前大部分普通高中的生涯规划教育内容。</w:t>
      </w:r>
    </w:p>
    <w:p>
      <w:pPr>
        <w:pStyle w:val="BodyText"/>
      </w:pPr>
    </w:p>
    <w:p>
      <w:pPr>
        <w:pStyle w:val="BodyText"/>
        <w:spacing w:line="364" w:lineRule="auto" w:before="163"/>
        <w:ind w:left="1319" w:right="1457" w:firstLine="420"/>
      </w:pPr>
      <w:r>
        <w:rPr>
          <w:spacing w:val="-3"/>
        </w:rPr>
        <w:t>“学生刚进入高中时，我们会对学生进行测试，用于了解学生的心理健康状</w:t>
      </w:r>
      <w:r>
        <w:rPr>
          <w:spacing w:val="-10"/>
        </w:rPr>
        <w:t>况、职业倾向，心理方面的情况，并存档。霍兰德职业倾向测试结果会反馈给学生，帮助学生了解自己。学校在每个年级侧重的内容都不同：一年级，重点在于</w:t>
      </w:r>
      <w:r>
        <w:rPr>
          <w:spacing w:val="-18"/>
        </w:rPr>
        <w:t>使学生了解自己、认识自己；二年级，让学生去了解职业，认识职业了；三年级， </w:t>
      </w:r>
      <w:r>
        <w:rPr/>
        <w:t>要让学生去了解大学跟专业。”</w:t>
      </w:r>
    </w:p>
    <w:p>
      <w:pPr>
        <w:pStyle w:val="BodyText"/>
        <w:spacing w:before="3"/>
        <w:ind w:left="5767"/>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X </w:t>
      </w:r>
      <w:r>
        <w:rPr/>
        <w:t>中学 </w:t>
      </w:r>
      <w:r>
        <w:rPr>
          <w:rFonts w:ascii="Times New Roman" w:hAnsi="Times New Roman" w:eastAsia="Times New Roman"/>
        </w:rPr>
        <w:t>Z </w:t>
      </w:r>
      <w:r>
        <w:rPr/>
        <w:t>教师，</w:t>
      </w:r>
      <w:r>
        <w:rPr>
          <w:rFonts w:ascii="Times New Roman" w:hAnsi="Times New Roman" w:eastAsia="Times New Roman"/>
        </w:rPr>
        <w:t>20161026</w:t>
      </w:r>
    </w:p>
    <w:p>
      <w:pPr>
        <w:pStyle w:val="BodyText"/>
        <w:rPr>
          <w:rFonts w:ascii="Times New Roman"/>
          <w:sz w:val="26"/>
        </w:rPr>
      </w:pPr>
    </w:p>
    <w:p>
      <w:pPr>
        <w:pStyle w:val="BodyText"/>
        <w:spacing w:before="8"/>
        <w:rPr>
          <w:rFonts w:ascii="Times New Roman"/>
          <w:sz w:val="28"/>
        </w:rPr>
      </w:pPr>
    </w:p>
    <w:p>
      <w:pPr>
        <w:pStyle w:val="BodyText"/>
        <w:spacing w:line="364" w:lineRule="auto"/>
        <w:ind w:left="1320" w:right="1577" w:firstLine="480"/>
        <w:jc w:val="both"/>
      </w:pPr>
      <w:r>
        <w:rPr>
          <w:spacing w:val="-30"/>
        </w:rPr>
        <w:t>从 </w:t>
      </w:r>
      <w:r>
        <w:rPr>
          <w:rFonts w:ascii="Times New Roman" w:eastAsia="Times New Roman"/>
        </w:rPr>
        <w:t>Z </w:t>
      </w:r>
      <w:r>
        <w:rPr>
          <w:spacing w:val="-4"/>
        </w:rPr>
        <w:t>教师的访谈中可知，</w:t>
      </w:r>
      <w:r>
        <w:rPr>
          <w:rFonts w:ascii="Times New Roman" w:eastAsia="Times New Roman"/>
          <w:spacing w:val="-29"/>
        </w:rPr>
        <w:t>X </w:t>
      </w:r>
      <w:r>
        <w:rPr>
          <w:spacing w:val="-5"/>
        </w:rPr>
        <w:t>中学的生涯规划教育内容主要有三个方面，帮助</w:t>
      </w:r>
      <w:r>
        <w:rPr>
          <w:spacing w:val="-9"/>
        </w:rPr>
        <w:t>学生认识自己，认识职业，认识大学和专业，以及做出职业选择。这几个方面的</w:t>
      </w:r>
      <w:r>
        <w:rPr>
          <w:spacing w:val="-1"/>
        </w:rPr>
        <w:t>内容基本上围绕学生未来的就业方向展开。可见，确立学生职业发展方向是 </w:t>
      </w:r>
      <w:r>
        <w:rPr>
          <w:rFonts w:ascii="Times New Roman" w:eastAsia="Times New Roman"/>
        </w:rPr>
        <w:t>X </w:t>
      </w:r>
      <w:r>
        <w:rPr/>
        <w:t>中学生涯规划教育的重点内容。</w:t>
      </w:r>
    </w:p>
    <w:p>
      <w:pPr>
        <w:pStyle w:val="BodyText"/>
      </w:pPr>
    </w:p>
    <w:p>
      <w:pPr>
        <w:pStyle w:val="BodyText"/>
        <w:spacing w:line="364" w:lineRule="auto" w:before="163"/>
        <w:ind w:left="1320" w:right="1577" w:firstLine="420"/>
        <w:jc w:val="both"/>
      </w:pPr>
      <w:r>
        <w:rPr>
          <w:spacing w:val="-3"/>
        </w:rPr>
        <w:t>“现在我在做的生涯规划教育主要有三个部分。这三部分就是知己知彼，职</w:t>
      </w:r>
      <w:r>
        <w:rPr>
          <w:spacing w:val="-11"/>
        </w:rPr>
        <w:t>业探索，抉择与行动。这是我所理解的我们生涯规划要做的事情。在知己知彼部</w:t>
      </w:r>
      <w:r>
        <w:rPr>
          <w:spacing w:val="-10"/>
        </w:rPr>
        <w:t>分，我会让学生了解他们的兴趣、性格、能力等，让他们认识自己。在职业探索方面，学生需要具备职业能力素养，正确的职业价值观等。但这很难，我能做到</w:t>
      </w:r>
    </w:p>
    <w:p>
      <w:pPr>
        <w:spacing w:after="0" w:line="364" w:lineRule="auto"/>
        <w:jc w:val="both"/>
        <w:sectPr>
          <w:pgSz w:w="11910" w:h="16840"/>
          <w:pgMar w:header="878" w:footer="1191" w:top="1300" w:bottom="1380" w:left="480" w:right="220"/>
        </w:sectPr>
      </w:pPr>
    </w:p>
    <w:p>
      <w:pPr>
        <w:pStyle w:val="BodyText"/>
        <w:spacing w:before="3"/>
        <w:rPr>
          <w:sz w:val="11"/>
        </w:rPr>
      </w:pPr>
    </w:p>
    <w:p>
      <w:pPr>
        <w:pStyle w:val="BodyText"/>
        <w:spacing w:line="364" w:lineRule="auto" w:before="66"/>
        <w:ind w:left="1320" w:right="1577"/>
        <w:jc w:val="both"/>
      </w:pPr>
      <w:bookmarkStart w:name="_bookmark190" w:id="231"/>
      <w:bookmarkEnd w:id="231"/>
      <w:r>
        <w:rPr/>
      </w:r>
      <w:r>
        <w:rPr>
          <w:spacing w:val="-6"/>
        </w:rPr>
        <w:t>的就是让他们利用自己已有资源去搜寻一些信息，整理信息并进行汇报，如专业</w:t>
      </w:r>
      <w:r>
        <w:rPr>
          <w:spacing w:val="-10"/>
        </w:rPr>
        <w:t>介绍。另外，我会让他们做一个对生涯人物访谈活动。关于抉择跟行动，更多以</w:t>
      </w:r>
      <w:r>
        <w:rPr/>
        <w:t>模拟为主，如说模拟填报志愿，模拟活动和游戏。”</w:t>
      </w:r>
    </w:p>
    <w:p>
      <w:pPr>
        <w:pStyle w:val="BodyText"/>
        <w:spacing w:before="2"/>
        <w:ind w:left="5808"/>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S </w:t>
      </w:r>
      <w:r>
        <w:rPr/>
        <w:t>中学 </w:t>
      </w:r>
      <w:r>
        <w:rPr>
          <w:rFonts w:ascii="Times New Roman" w:hAnsi="Times New Roman" w:eastAsia="Times New Roman"/>
        </w:rPr>
        <w:t>L </w:t>
      </w:r>
      <w:r>
        <w:rPr/>
        <w:t>教师，</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455" w:firstLine="480"/>
      </w:pPr>
      <w:r>
        <w:rPr>
          <w:spacing w:val="-30"/>
        </w:rPr>
        <w:t>从 </w:t>
      </w:r>
      <w:r>
        <w:rPr>
          <w:rFonts w:ascii="Times New Roman" w:eastAsia="Times New Roman"/>
        </w:rPr>
        <w:t>L </w:t>
      </w:r>
      <w:r>
        <w:rPr>
          <w:spacing w:val="-1"/>
        </w:rPr>
        <w:t>教师反馈的信息看来，</w:t>
      </w:r>
      <w:r>
        <w:rPr>
          <w:rFonts w:ascii="Times New Roman" w:eastAsia="Times New Roman"/>
          <w:spacing w:val="-4"/>
        </w:rPr>
        <w:t>S </w:t>
      </w:r>
      <w:r>
        <w:rPr>
          <w:spacing w:val="-5"/>
        </w:rPr>
        <w:t>中学的生涯规划教育内容与 </w:t>
      </w:r>
      <w:r>
        <w:rPr>
          <w:rFonts w:ascii="Times New Roman" w:eastAsia="Times New Roman"/>
        </w:rPr>
        <w:t>X </w:t>
      </w:r>
      <w:r>
        <w:rPr>
          <w:spacing w:val="-3"/>
        </w:rPr>
        <w:t>中学大同小异， </w:t>
      </w:r>
      <w:r>
        <w:rPr>
          <w:spacing w:val="-7"/>
        </w:rPr>
        <w:t>几乎没有显著的区别，从认识自我，到了解职业与社会，再做出决策，始终围绕职业指导。</w:t>
      </w:r>
    </w:p>
    <w:p>
      <w:pPr>
        <w:pStyle w:val="BodyText"/>
      </w:pPr>
    </w:p>
    <w:p>
      <w:pPr>
        <w:pStyle w:val="BodyText"/>
        <w:spacing w:line="364" w:lineRule="auto" w:before="163"/>
        <w:ind w:left="1320" w:right="1455" w:firstLine="420"/>
        <w:jc w:val="both"/>
      </w:pPr>
      <w:r>
        <w:rPr>
          <w:spacing w:val="-9"/>
        </w:rPr>
        <w:t>“学校的生涯规划教育包括以下内容：知己是学生对自己的了解，比如兴趣、</w:t>
      </w:r>
      <w:r>
        <w:rPr>
          <w:spacing w:val="-16"/>
        </w:rPr>
        <w:t>能力、价值观、性格等方面。知彼需要学生了解学校大学的信息，了解外界环境、</w:t>
      </w:r>
      <w:r>
        <w:rPr/>
        <w:t>社会发展趋势，了解宏观政策，以及对工作世界进行探索等。然后再进行抉择， </w:t>
      </w:r>
      <w:r>
        <w:rPr>
          <w:spacing w:val="-16"/>
        </w:rPr>
        <w:t>展开行动。如果学生确立了学习上的目标，就需要落实到平时的学业规划方面的。</w:t>
      </w:r>
      <w:r>
        <w:rPr/>
        <w:t>有时也会开展一些活动，用于发展学生的能力，培养学生的兴趣等。”</w:t>
      </w:r>
    </w:p>
    <w:p>
      <w:pPr>
        <w:pStyle w:val="BodyText"/>
        <w:spacing w:before="3"/>
        <w:ind w:left="5779"/>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E </w:t>
      </w:r>
      <w:r>
        <w:rPr/>
        <w:t>中学 </w:t>
      </w:r>
      <w:r>
        <w:rPr>
          <w:rFonts w:ascii="Times New Roman" w:hAnsi="Times New Roman" w:eastAsia="Times New Roman"/>
        </w:rPr>
        <w:t>C </w:t>
      </w:r>
      <w:r>
        <w:rPr/>
        <w:t>教师，</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517" w:firstLine="480"/>
        <w:jc w:val="both"/>
      </w:pPr>
      <w:r>
        <w:rPr/>
        <w:t>相比之下，</w:t>
      </w:r>
      <w:r>
        <w:rPr>
          <w:rFonts w:ascii="Times New Roman" w:eastAsia="Times New Roman"/>
        </w:rPr>
        <w:t>E </w:t>
      </w:r>
      <w:r>
        <w:rPr>
          <w:spacing w:val="-1"/>
        </w:rPr>
        <w:t>中学对于学生的生涯规划教育并未止步于明确职业发展方向， </w:t>
      </w:r>
      <w:r>
        <w:rPr>
          <w:spacing w:val="-6"/>
        </w:rPr>
        <w:t>而设置了随后的行动环节，鼓励学生在多方面进行自我规划，并鼓励学生实践这些目标。但万变不离其宗，就业指导仍是核心要义。</w:t>
      </w:r>
    </w:p>
    <w:p>
      <w:pPr>
        <w:pStyle w:val="BodyText"/>
        <w:spacing w:before="5"/>
        <w:rPr>
          <w:sz w:val="23"/>
        </w:rPr>
      </w:pPr>
    </w:p>
    <w:p>
      <w:pPr>
        <w:pStyle w:val="ListParagraph"/>
        <w:numPr>
          <w:ilvl w:val="2"/>
          <w:numId w:val="42"/>
        </w:numPr>
        <w:tabs>
          <w:tab w:pos="1920" w:val="left" w:leader="none"/>
        </w:tabs>
        <w:spacing w:line="240" w:lineRule="auto" w:before="0" w:after="0"/>
        <w:ind w:left="1920" w:right="0" w:hanging="600"/>
        <w:jc w:val="left"/>
        <w:rPr>
          <w:sz w:val="24"/>
        </w:rPr>
      </w:pPr>
      <w:r>
        <w:rPr>
          <w:sz w:val="24"/>
        </w:rPr>
        <w:t>学生期待实施内容的多元化</w:t>
      </w:r>
    </w:p>
    <w:p>
      <w:pPr>
        <w:pStyle w:val="BodyText"/>
        <w:spacing w:before="7"/>
        <w:rPr>
          <w:sz w:val="35"/>
        </w:rPr>
      </w:pPr>
    </w:p>
    <w:p>
      <w:pPr>
        <w:pStyle w:val="BodyText"/>
        <w:spacing w:line="364" w:lineRule="auto"/>
        <w:ind w:left="1320" w:right="1577" w:firstLine="480"/>
        <w:jc w:val="both"/>
      </w:pPr>
      <w:r>
        <w:rPr>
          <w:spacing w:val="-7"/>
        </w:rPr>
        <w:t>从学生对问卷第 </w:t>
      </w:r>
      <w:r>
        <w:rPr>
          <w:rFonts w:ascii="Times New Roman" w:hAnsi="Times New Roman" w:eastAsia="Times New Roman"/>
        </w:rPr>
        <w:t>34 </w:t>
      </w:r>
      <w:r>
        <w:rPr>
          <w:spacing w:val="-1"/>
        </w:rPr>
        <w:t>题“请你谈谈对学校生涯规划教育的意见或建议”的作</w:t>
      </w:r>
      <w:r>
        <w:rPr>
          <w:spacing w:val="-10"/>
        </w:rPr>
        <w:t>答情况来看，多数高中生对目前学校生涯规划教育的内容并不满意，他们期待更</w:t>
      </w:r>
      <w:r>
        <w:rPr>
          <w:spacing w:val="-6"/>
        </w:rPr>
        <w:t>为丰富的生涯规划教育内容，渴望学校能够提供更多与自我、社会、职业、大学</w:t>
      </w:r>
      <w:r>
        <w:rPr/>
        <w:t>院校以及专业相关的内容。</w:t>
      </w:r>
    </w:p>
    <w:p>
      <w:pPr>
        <w:pStyle w:val="BodyText"/>
        <w:spacing w:line="364" w:lineRule="auto" w:before="3"/>
        <w:ind w:left="1320" w:right="1577" w:firstLine="480"/>
      </w:pPr>
      <w:r>
        <w:rPr>
          <w:spacing w:val="-11"/>
        </w:rPr>
        <w:t>第一，多数学生表示，学校的生涯规划教育在帮助他们了解自我的方面还做</w:t>
      </w:r>
      <w:r>
        <w:rPr/>
        <w:t>的不够，希望学校的生涯规划教育能够为他们认清自己提供切实的帮助。</w:t>
      </w:r>
    </w:p>
    <w:p>
      <w:pPr>
        <w:pStyle w:val="BodyText"/>
      </w:pPr>
    </w:p>
    <w:p>
      <w:pPr>
        <w:pStyle w:val="BodyText"/>
        <w:spacing w:before="161"/>
        <w:ind w:left="685" w:right="525"/>
        <w:jc w:val="center"/>
      </w:pPr>
      <w:r>
        <w:rPr/>
        <w:t>“学校的生涯规划教育没有太过明确的方向，对学校介绍不充分，也无法教</w:t>
      </w:r>
    </w:p>
    <w:p>
      <w:pPr>
        <w:spacing w:after="0"/>
        <w:jc w:val="center"/>
        <w:sectPr>
          <w:pgSz w:w="11910" w:h="16840"/>
          <w:pgMar w:header="878" w:footer="1191" w:top="1300" w:bottom="1380" w:left="480" w:right="220"/>
        </w:sectPr>
      </w:pPr>
    </w:p>
    <w:p>
      <w:pPr>
        <w:pStyle w:val="BodyText"/>
        <w:spacing w:before="3"/>
        <w:rPr>
          <w:sz w:val="11"/>
        </w:rPr>
      </w:pPr>
    </w:p>
    <w:p>
      <w:pPr>
        <w:spacing w:after="0"/>
        <w:rPr>
          <w:sz w:val="11"/>
        </w:rPr>
        <w:sectPr>
          <w:pgSz w:w="11910" w:h="16840"/>
          <w:pgMar w:header="878" w:footer="1191" w:top="1300" w:bottom="1380" w:left="480" w:right="220"/>
        </w:sectPr>
      </w:pPr>
    </w:p>
    <w:p>
      <w:pPr>
        <w:pStyle w:val="BodyText"/>
        <w:spacing w:before="66"/>
        <w:ind w:left="1320"/>
      </w:pPr>
      <w:r>
        <w:rPr/>
        <w:t>我们认识自身。”</w:t>
      </w:r>
    </w:p>
    <w:p>
      <w:pPr>
        <w:pStyle w:val="BodyText"/>
        <w:rPr>
          <w:sz w:val="26"/>
        </w:rPr>
      </w:pPr>
      <w:r>
        <w:rPr/>
        <w:br w:type="column"/>
      </w:r>
      <w:r>
        <w:rPr>
          <w:sz w:val="26"/>
        </w:rPr>
      </w:r>
    </w:p>
    <w:p>
      <w:pPr>
        <w:pStyle w:val="BodyText"/>
        <w:spacing w:before="201"/>
        <w:ind w:left="1320"/>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1</w:t>
      </w:r>
      <w:r>
        <w:rPr/>
        <w:t>，</w:t>
      </w:r>
      <w:r>
        <w:rPr>
          <w:rFonts w:ascii="Times New Roman" w:hAnsi="Times New Roman" w:eastAsia="Times New Roman"/>
        </w:rPr>
        <w:t>20161026</w:t>
      </w:r>
    </w:p>
    <w:p>
      <w:pPr>
        <w:spacing w:after="0"/>
        <w:rPr>
          <w:rFonts w:ascii="Times New Roman" w:hAnsi="Times New Roman" w:eastAsia="Times New Roman"/>
        </w:rPr>
        <w:sectPr>
          <w:type w:val="continuous"/>
          <w:pgSz w:w="11910" w:h="16840"/>
          <w:pgMar w:top="1580" w:bottom="280" w:left="480" w:right="220"/>
          <w:cols w:num="2" w:equalWidth="0">
            <w:col w:w="3281" w:space="1966"/>
            <w:col w:w="5963"/>
          </w:cols>
        </w:sectPr>
      </w:pPr>
    </w:p>
    <w:p>
      <w:pPr>
        <w:pStyle w:val="BodyText"/>
        <w:rPr>
          <w:rFonts w:ascii="Times New Roman"/>
          <w:sz w:val="20"/>
        </w:rPr>
      </w:pPr>
    </w:p>
    <w:p>
      <w:pPr>
        <w:pStyle w:val="BodyText"/>
        <w:spacing w:before="10"/>
        <w:rPr>
          <w:rFonts w:ascii="Times New Roman"/>
          <w:sz w:val="28"/>
        </w:rPr>
      </w:pPr>
    </w:p>
    <w:p>
      <w:pPr>
        <w:pStyle w:val="BodyText"/>
        <w:spacing w:line="364" w:lineRule="auto" w:before="66"/>
        <w:ind w:left="1320" w:right="1545" w:firstLine="420"/>
      </w:pPr>
      <w:r>
        <w:rPr/>
        <w:t>“主要有两点，一、让我们能够正确认识自己，选择自己喜欢的道路；二、能让自己清楚认识到内心的想法。”</w:t>
      </w:r>
    </w:p>
    <w:p>
      <w:pPr>
        <w:pStyle w:val="BodyText"/>
        <w:spacing w:before="2"/>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2</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ind w:left="839" w:right="525"/>
        <w:jc w:val="center"/>
      </w:pPr>
      <w:r>
        <w:rPr/>
        <w:t>“应让我们明白自身的优点及个性，这会对未来工作的选择有很大的帮助。”</w:t>
      </w:r>
    </w:p>
    <w:p>
      <w:pPr>
        <w:pStyle w:val="BodyText"/>
        <w:spacing w:before="16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3</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577" w:firstLine="420"/>
        <w:jc w:val="both"/>
      </w:pPr>
      <w:r>
        <w:rPr>
          <w:spacing w:val="-3"/>
        </w:rPr>
        <w:t>“我认为学校的生涯规划教育不应该出现对特定职业的导向性，而应当引导</w:t>
      </w:r>
      <w:r>
        <w:rPr>
          <w:spacing w:val="-9"/>
        </w:rPr>
        <w:t>每个学生了解自己，消除学生对职业之间地位差异的鼓励，引导学生的生涯多样</w:t>
      </w:r>
      <w:r>
        <w:rPr/>
        <w:t>化。”</w:t>
      </w:r>
    </w:p>
    <w:p>
      <w:pPr>
        <w:pStyle w:val="BodyText"/>
        <w:spacing w:before="2"/>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4</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before="1"/>
        <w:ind w:left="1320" w:right="1580" w:firstLine="420"/>
      </w:pPr>
      <w:r>
        <w:rPr/>
        <w:t>“（</w:t>
      </w:r>
      <w:r>
        <w:rPr>
          <w:rFonts w:ascii="Times New Roman" w:hAnsi="Times New Roman" w:eastAsia="Times New Roman"/>
        </w:rPr>
        <w:t>1</w:t>
      </w:r>
      <w:r>
        <w:rPr/>
        <w:t>）认识自我，完善自我与自我沟通，心理沟通，对未来职业的指导建议；（</w:t>
      </w:r>
      <w:r>
        <w:rPr>
          <w:rFonts w:ascii="Times New Roman" w:hAnsi="Times New Roman" w:eastAsia="Times New Roman"/>
        </w:rPr>
        <w:t>2</w:t>
      </w:r>
      <w:r>
        <w:rPr/>
        <w:t>）更加亲切，更加接地气，更有趣味性，更有目的性。”</w:t>
      </w:r>
    </w:p>
    <w:p>
      <w:pPr>
        <w:pStyle w:val="BodyText"/>
        <w:spacing w:before="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5</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19" w:right="1457" w:firstLine="448"/>
      </w:pPr>
      <w:r>
        <w:rPr>
          <w:spacing w:val="-15"/>
        </w:rPr>
        <w:t>第二，一些学生呼吁学校提供更为详尽的关于社会发展、职业以及大学院校、</w:t>
      </w:r>
      <w:r>
        <w:rPr/>
        <w:t>专业相关的内容，以帮助他们更好地进行生涯规划。</w:t>
      </w:r>
    </w:p>
    <w:p>
      <w:pPr>
        <w:pStyle w:val="BodyText"/>
      </w:pPr>
    </w:p>
    <w:p>
      <w:pPr>
        <w:pStyle w:val="BodyText"/>
      </w:pPr>
    </w:p>
    <w:p>
      <w:pPr>
        <w:pStyle w:val="BodyText"/>
      </w:pPr>
    </w:p>
    <w:p>
      <w:pPr>
        <w:pStyle w:val="BodyText"/>
      </w:pPr>
    </w:p>
    <w:p>
      <w:pPr>
        <w:pStyle w:val="BodyText"/>
        <w:spacing w:line="364" w:lineRule="auto" w:before="176"/>
        <w:ind w:left="1319" w:right="1524" w:firstLine="420"/>
      </w:pPr>
      <w:r>
        <w:rPr/>
        <w:t>“了解目前的就业形势，希望能够全面了解自己，选择喜欢的专业。目前对专业的了解不够全面，选择范围有限。 ”</w:t>
      </w:r>
    </w:p>
    <w:p>
      <w:pPr>
        <w:pStyle w:val="BodyText"/>
        <w:spacing w:before="1"/>
        <w:ind w:left="6566"/>
        <w:rPr>
          <w:rFonts w:ascii="Times New Roman" w:hAnsi="Times New Roman" w:eastAsia="Times New Roman"/>
        </w:rPr>
      </w:pPr>
      <w:r>
        <w:rPr>
          <w:rFonts w:ascii="Times New Roman" w:hAnsi="Times New Roman" w:eastAsia="Times New Roman"/>
        </w:rPr>
        <w:t>——</w:t>
      </w:r>
      <w:r>
        <w:rPr>
          <w:spacing w:val="-10"/>
        </w:rPr>
        <w:t>问卷，学生 </w:t>
      </w:r>
      <w:r>
        <w:rPr>
          <w:rFonts w:ascii="Times New Roman" w:hAnsi="Times New Roman" w:eastAsia="Times New Roman"/>
        </w:rPr>
        <w:t>1</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ind w:left="685" w:right="525"/>
        <w:jc w:val="center"/>
      </w:pPr>
      <w:r>
        <w:rPr>
          <w:spacing w:val="-5"/>
        </w:rPr>
        <w:t>“提供更加细化、现实，适合于自身的职业信息与院校专业录取标准与发展</w:t>
      </w:r>
    </w:p>
    <w:p>
      <w:pPr>
        <w:spacing w:after="0"/>
        <w:jc w:val="center"/>
        <w:sectPr>
          <w:type w:val="continuous"/>
          <w:pgSz w:w="11910" w:h="16840"/>
          <w:pgMar w:top="1580" w:bottom="280" w:left="480" w:right="220"/>
        </w:sectPr>
      </w:pPr>
    </w:p>
    <w:p>
      <w:pPr>
        <w:pStyle w:val="BodyText"/>
        <w:spacing w:before="3"/>
        <w:rPr>
          <w:sz w:val="11"/>
        </w:rPr>
      </w:pPr>
    </w:p>
    <w:p>
      <w:pPr>
        <w:spacing w:after="0"/>
        <w:rPr>
          <w:sz w:val="11"/>
        </w:rPr>
        <w:sectPr>
          <w:pgSz w:w="11910" w:h="16840"/>
          <w:pgMar w:header="878" w:footer="1191" w:top="1300" w:bottom="1380" w:left="480" w:right="220"/>
        </w:sectPr>
      </w:pPr>
    </w:p>
    <w:p>
      <w:pPr>
        <w:pStyle w:val="BodyText"/>
        <w:spacing w:before="66"/>
        <w:ind w:left="1320"/>
      </w:pPr>
      <w:r>
        <w:rPr/>
        <w:t>前景。”</w:t>
      </w:r>
    </w:p>
    <w:p>
      <w:pPr>
        <w:pStyle w:val="BodyText"/>
        <w:rPr>
          <w:sz w:val="26"/>
        </w:rPr>
      </w:pPr>
      <w:r>
        <w:rPr/>
        <w:br w:type="column"/>
      </w:r>
      <w:r>
        <w:rPr>
          <w:sz w:val="26"/>
        </w:rPr>
      </w:r>
    </w:p>
    <w:p>
      <w:pPr>
        <w:pStyle w:val="BodyText"/>
        <w:spacing w:before="201"/>
        <w:ind w:left="1320"/>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2</w:t>
      </w:r>
      <w:r>
        <w:rPr/>
        <w:t>，</w:t>
      </w:r>
      <w:r>
        <w:rPr>
          <w:rFonts w:ascii="Times New Roman" w:hAnsi="Times New Roman" w:eastAsia="Times New Roman"/>
        </w:rPr>
        <w:t>20161026</w:t>
      </w:r>
    </w:p>
    <w:p>
      <w:pPr>
        <w:spacing w:after="0"/>
        <w:rPr>
          <w:rFonts w:ascii="Times New Roman" w:hAnsi="Times New Roman" w:eastAsia="Times New Roman"/>
        </w:rPr>
        <w:sectPr>
          <w:type w:val="continuous"/>
          <w:pgSz w:w="11910" w:h="16840"/>
          <w:pgMar w:top="1580" w:bottom="280" w:left="480" w:right="220"/>
          <w:cols w:num="2" w:equalWidth="0">
            <w:col w:w="2321" w:space="2926"/>
            <w:col w:w="5963"/>
          </w:cols>
        </w:sectPr>
      </w:pPr>
    </w:p>
    <w:p>
      <w:pPr>
        <w:pStyle w:val="BodyText"/>
        <w:rPr>
          <w:rFonts w:ascii="Times New Roman"/>
          <w:sz w:val="20"/>
        </w:rPr>
      </w:pPr>
    </w:p>
    <w:p>
      <w:pPr>
        <w:pStyle w:val="BodyText"/>
        <w:spacing w:before="10"/>
        <w:rPr>
          <w:rFonts w:ascii="Times New Roman"/>
          <w:sz w:val="28"/>
        </w:rPr>
      </w:pPr>
    </w:p>
    <w:p>
      <w:pPr>
        <w:pStyle w:val="BodyText"/>
        <w:spacing w:line="364" w:lineRule="auto" w:before="66"/>
        <w:ind w:left="1320" w:right="1529" w:firstLine="420"/>
      </w:pPr>
      <w:r>
        <w:rPr/>
        <w:t>“更详细的，如指导学生选择性价比最高的学校，专业，进行综合分析，让学生对每一所学校都有一定程度的了解。”</w:t>
      </w:r>
    </w:p>
    <w:p>
      <w:pPr>
        <w:pStyle w:val="BodyText"/>
        <w:spacing w:before="2"/>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3</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523" w:firstLine="420"/>
      </w:pPr>
      <w:r>
        <w:rPr/>
        <w:t>“关于职业的选择以及当今社会产业的变迁，根据社会发展而向学生说明趋势。”</w:t>
      </w:r>
    </w:p>
    <w:p>
      <w:pPr>
        <w:pStyle w:val="BodyText"/>
        <w:spacing w:before="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4</w:t>
      </w:r>
      <w:r>
        <w:rPr/>
        <w:t>，</w:t>
      </w:r>
      <w:r>
        <w:rPr>
          <w:rFonts w:ascii="Times New Roman" w:hAnsi="Times New Roman" w:eastAsia="Times New Roman"/>
        </w:rPr>
        <w:t>20161026</w:t>
      </w:r>
    </w:p>
    <w:p>
      <w:pPr>
        <w:pStyle w:val="BodyText"/>
        <w:rPr>
          <w:rFonts w:ascii="Times New Roman"/>
          <w:sz w:val="26"/>
        </w:rPr>
      </w:pPr>
    </w:p>
    <w:p>
      <w:pPr>
        <w:pStyle w:val="BodyText"/>
        <w:spacing w:before="8"/>
        <w:rPr>
          <w:rFonts w:ascii="Times New Roman"/>
          <w:sz w:val="28"/>
        </w:rPr>
      </w:pPr>
    </w:p>
    <w:p>
      <w:pPr>
        <w:pStyle w:val="BodyText"/>
        <w:ind w:left="1740"/>
      </w:pPr>
      <w:r>
        <w:rPr/>
        <w:t>“希望学校在选课、选专业、选职业进行辅导，就业技能的培养。”</w:t>
      </w:r>
    </w:p>
    <w:p>
      <w:pPr>
        <w:pStyle w:val="BodyText"/>
        <w:spacing w:before="160"/>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5</w:t>
      </w:r>
      <w:r>
        <w:rPr/>
        <w:t>，</w:t>
      </w:r>
      <w:r>
        <w:rPr>
          <w:rFonts w:ascii="Times New Roman" w:hAnsi="Times New Roman" w:eastAsia="Times New Roman"/>
        </w:rPr>
        <w:t>20161026</w:t>
      </w:r>
    </w:p>
    <w:p>
      <w:pPr>
        <w:pStyle w:val="BodyText"/>
        <w:rPr>
          <w:rFonts w:ascii="Times New Roman"/>
          <w:sz w:val="26"/>
        </w:rPr>
      </w:pPr>
    </w:p>
    <w:p>
      <w:pPr>
        <w:pStyle w:val="BodyText"/>
        <w:spacing w:before="8"/>
        <w:rPr>
          <w:rFonts w:ascii="Times New Roman"/>
          <w:sz w:val="28"/>
        </w:rPr>
      </w:pPr>
    </w:p>
    <w:p>
      <w:pPr>
        <w:pStyle w:val="BodyText"/>
        <w:spacing w:line="364" w:lineRule="auto"/>
        <w:ind w:left="1320" w:right="1523" w:firstLine="420"/>
      </w:pPr>
      <w:r>
        <w:rPr/>
        <w:t>“对社会各职业身份地位做个解释，对未来职业的趋势有个解释，工资方面对我们这些刚毕业的来说提多少合适。”</w:t>
      </w:r>
    </w:p>
    <w:p>
      <w:pPr>
        <w:pStyle w:val="BodyText"/>
        <w:spacing w:before="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6</w:t>
      </w:r>
      <w:r>
        <w:rPr/>
        <w:t>，</w:t>
      </w:r>
      <w:r>
        <w:rPr>
          <w:rFonts w:ascii="Times New Roman" w:hAnsi="Times New Roman" w:eastAsia="Times New Roman"/>
        </w:rPr>
        <w:t>20161026</w:t>
      </w:r>
    </w:p>
    <w:p>
      <w:pPr>
        <w:pStyle w:val="BodyText"/>
        <w:rPr>
          <w:rFonts w:ascii="Times New Roman"/>
          <w:sz w:val="26"/>
        </w:rPr>
      </w:pPr>
    </w:p>
    <w:p>
      <w:pPr>
        <w:pStyle w:val="BodyText"/>
        <w:spacing w:before="8"/>
        <w:rPr>
          <w:rFonts w:ascii="Times New Roman"/>
          <w:sz w:val="28"/>
        </w:rPr>
      </w:pPr>
    </w:p>
    <w:p>
      <w:pPr>
        <w:pStyle w:val="BodyText"/>
        <w:spacing w:line="364" w:lineRule="auto"/>
        <w:ind w:left="1320" w:right="1523" w:firstLine="420"/>
      </w:pPr>
      <w:r>
        <w:rPr/>
        <w:t>“希望学校提供一个较清晰、明确的生涯规划教育，让我们对以后的各类不同类型职业有一种大致的认识和了解，以及现有的一些职业所需的要求。”</w:t>
      </w:r>
    </w:p>
    <w:p>
      <w:pPr>
        <w:pStyle w:val="BodyText"/>
        <w:spacing w:before="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7</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577" w:firstLine="480"/>
      </w:pPr>
      <w:r>
        <w:rPr>
          <w:spacing w:val="-10"/>
        </w:rPr>
        <w:t>第三，除了生涯规划教育相关的理论知识外，学生也普遍反映需要学校进行</w:t>
      </w:r>
      <w:r>
        <w:rPr/>
        <w:t>就业技能的培养，希望个人能力能够得到锻炼和提升。</w:t>
      </w:r>
    </w:p>
    <w:p>
      <w:pPr>
        <w:pStyle w:val="BodyText"/>
      </w:pPr>
    </w:p>
    <w:p>
      <w:pPr>
        <w:pStyle w:val="BodyText"/>
        <w:spacing w:line="364" w:lineRule="auto" w:before="162"/>
        <w:ind w:left="1320" w:right="1577" w:firstLine="480"/>
      </w:pPr>
      <w:r>
        <w:rPr>
          <w:spacing w:val="-6"/>
        </w:rPr>
        <w:t>“希望学校提供更多方面的职业技能指导，让我们多锻炼锻炼，而不仅仅是</w:t>
      </w:r>
      <w:r>
        <w:rPr/>
        <w:t>学术指导。”</w:t>
      </w:r>
    </w:p>
    <w:p>
      <w:pPr>
        <w:pStyle w:val="BodyText"/>
        <w:spacing w:before="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1</w:t>
      </w:r>
      <w:r>
        <w:rPr/>
        <w:t>，</w:t>
      </w:r>
      <w:r>
        <w:rPr>
          <w:rFonts w:ascii="Times New Roman" w:hAnsi="Times New Roman" w:eastAsia="Times New Roman"/>
        </w:rPr>
        <w:t>20161026</w:t>
      </w:r>
    </w:p>
    <w:p>
      <w:pPr>
        <w:spacing w:after="0"/>
        <w:rPr>
          <w:rFonts w:ascii="Times New Roman" w:hAnsi="Times New Roman" w:eastAsia="Times New Roman"/>
        </w:rPr>
        <w:sectPr>
          <w:type w:val="continuous"/>
          <w:pgSz w:w="11910" w:h="16840"/>
          <w:pgMar w:top="1580" w:bottom="280" w:left="480" w:right="220"/>
        </w:sectPr>
      </w:pPr>
    </w:p>
    <w:p>
      <w:pPr>
        <w:pStyle w:val="BodyText"/>
        <w:spacing w:before="6"/>
        <w:rPr>
          <w:rFonts w:ascii="Times New Roman"/>
          <w:sz w:val="12"/>
        </w:rPr>
      </w:pPr>
    </w:p>
    <w:p>
      <w:pPr>
        <w:pStyle w:val="BodyText"/>
        <w:spacing w:before="66"/>
        <w:ind w:left="1800"/>
      </w:pPr>
      <w:bookmarkStart w:name="_bookmark191" w:id="232"/>
      <w:bookmarkEnd w:id="232"/>
      <w:r>
        <w:rPr/>
      </w:r>
      <w:r>
        <w:rPr/>
        <w:t>“要结合自身的特长开展职业技能训练，不然走上社会什么都不会。”</w:t>
      </w:r>
    </w:p>
    <w:p>
      <w:pPr>
        <w:pStyle w:val="BodyText"/>
        <w:spacing w:before="160"/>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2</w:t>
      </w:r>
      <w:r>
        <w:rPr/>
        <w:t>，</w:t>
      </w:r>
      <w:r>
        <w:rPr>
          <w:rFonts w:ascii="Times New Roman" w:hAnsi="Times New Roman" w:eastAsia="Times New Roman"/>
        </w:rPr>
        <w:t>20161026</w:t>
      </w:r>
    </w:p>
    <w:p>
      <w:pPr>
        <w:pStyle w:val="BodyText"/>
        <w:rPr>
          <w:rFonts w:ascii="Times New Roman"/>
          <w:sz w:val="26"/>
        </w:rPr>
      </w:pPr>
    </w:p>
    <w:p>
      <w:pPr>
        <w:pStyle w:val="BodyText"/>
        <w:spacing w:before="8"/>
        <w:rPr>
          <w:rFonts w:ascii="Times New Roman"/>
          <w:sz w:val="28"/>
        </w:rPr>
      </w:pPr>
    </w:p>
    <w:p>
      <w:pPr>
        <w:pStyle w:val="BodyText"/>
        <w:ind w:left="1800"/>
      </w:pPr>
      <w:r>
        <w:rPr/>
        <w:t>“要加强实用性，针对性的对于理想职业开展技能学习。”</w:t>
      </w:r>
    </w:p>
    <w:p>
      <w:pPr>
        <w:pStyle w:val="BodyText"/>
        <w:spacing w:before="16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3</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577" w:firstLine="480"/>
      </w:pPr>
      <w:r>
        <w:rPr>
          <w:spacing w:val="-8"/>
        </w:rPr>
        <w:t>“针对各专业的技术指导，提升职业技能，开展社会实践活动，而不是纸上</w:t>
      </w:r>
      <w:r>
        <w:rPr/>
        <w:t>谈兵。”</w:t>
      </w:r>
    </w:p>
    <w:p>
      <w:pPr>
        <w:pStyle w:val="BodyText"/>
        <w:spacing w:before="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4</w:t>
      </w:r>
      <w:r>
        <w:rPr/>
        <w:t>，</w:t>
      </w:r>
      <w:r>
        <w:rPr>
          <w:rFonts w:ascii="Times New Roman" w:hAnsi="Times New Roman" w:eastAsia="Times New Roman"/>
        </w:rPr>
        <w:t>20161026</w:t>
      </w:r>
    </w:p>
    <w:p>
      <w:pPr>
        <w:pStyle w:val="BodyText"/>
        <w:rPr>
          <w:rFonts w:ascii="Times New Roman"/>
          <w:sz w:val="26"/>
        </w:rPr>
      </w:pPr>
    </w:p>
    <w:p>
      <w:pPr>
        <w:pStyle w:val="BodyText"/>
        <w:spacing w:before="8"/>
        <w:rPr>
          <w:rFonts w:ascii="Times New Roman"/>
          <w:sz w:val="28"/>
        </w:rPr>
      </w:pPr>
    </w:p>
    <w:p>
      <w:pPr>
        <w:pStyle w:val="BodyText"/>
        <w:ind w:left="1800"/>
      </w:pPr>
      <w:r>
        <w:rPr/>
        <w:t>“多一些技能培养，让我们具备未来职业发展需要的能力。”</w:t>
      </w:r>
    </w:p>
    <w:p>
      <w:pPr>
        <w:pStyle w:val="BodyText"/>
        <w:spacing w:before="160"/>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5</w:t>
      </w:r>
      <w:r>
        <w:rPr/>
        <w:t>，</w:t>
      </w:r>
      <w:r>
        <w:rPr>
          <w:rFonts w:ascii="Times New Roman" w:hAnsi="Times New Roman" w:eastAsia="Times New Roman"/>
        </w:rPr>
        <w:t>20161026</w:t>
      </w:r>
    </w:p>
    <w:p>
      <w:pPr>
        <w:pStyle w:val="BodyText"/>
        <w:rPr>
          <w:rFonts w:ascii="Times New Roman"/>
          <w:sz w:val="26"/>
        </w:rPr>
      </w:pPr>
    </w:p>
    <w:p>
      <w:pPr>
        <w:pStyle w:val="BodyText"/>
        <w:spacing w:before="8"/>
        <w:rPr>
          <w:rFonts w:ascii="Times New Roman"/>
          <w:sz w:val="28"/>
        </w:rPr>
      </w:pPr>
    </w:p>
    <w:p>
      <w:pPr>
        <w:pStyle w:val="BodyText"/>
        <w:spacing w:line="364" w:lineRule="auto"/>
        <w:ind w:left="1320" w:right="1577" w:firstLine="480"/>
        <w:jc w:val="both"/>
      </w:pPr>
      <w:r>
        <w:rPr>
          <w:spacing w:val="2"/>
        </w:rPr>
        <w:t>这些朴实而又真挚的回答直接反映了当前普通高中生涯规划教育内容的弊</w:t>
      </w:r>
      <w:r>
        <w:rPr>
          <w:spacing w:val="-10"/>
        </w:rPr>
        <w:t>端。可见，学校的生涯规划教育内容已经无法满足学生的需求。当学生缺乏对生</w:t>
      </w:r>
      <w:r>
        <w:rPr>
          <w:spacing w:val="-11"/>
        </w:rPr>
        <w:t>活、职业的认知时，在选择专业或者职业时仍将存在困惑，也会造成选择的盲目</w:t>
      </w:r>
      <w:r>
        <w:rPr>
          <w:spacing w:val="-9"/>
        </w:rPr>
        <w:t>性，以致于学生不能充分利用自身的优势做出合理的选择。显然，这对个人和社</w:t>
      </w:r>
      <w:r>
        <w:rPr/>
        <w:t>会的长远发展都极为不利。</w:t>
      </w:r>
    </w:p>
    <w:p>
      <w:pPr>
        <w:pStyle w:val="BodyText"/>
      </w:pPr>
    </w:p>
    <w:p>
      <w:pPr>
        <w:pStyle w:val="BodyText"/>
        <w:spacing w:before="12"/>
        <w:rPr>
          <w:sz w:val="29"/>
        </w:rPr>
      </w:pPr>
    </w:p>
    <w:p>
      <w:pPr>
        <w:pStyle w:val="Heading2"/>
        <w:numPr>
          <w:ilvl w:val="1"/>
          <w:numId w:val="42"/>
        </w:numPr>
        <w:tabs>
          <w:tab w:pos="1810" w:val="left" w:leader="none"/>
        </w:tabs>
        <w:spacing w:line="240" w:lineRule="auto" w:before="0" w:after="0"/>
        <w:ind w:left="1809" w:right="0" w:hanging="490"/>
        <w:jc w:val="left"/>
      </w:pPr>
      <w:r>
        <w:rPr/>
        <w:t>生涯规划教育实施方式较为单一</w:t>
      </w:r>
    </w:p>
    <w:p>
      <w:pPr>
        <w:pStyle w:val="BodyText"/>
        <w:spacing w:before="5"/>
        <w:rPr>
          <w:rFonts w:ascii="Microsoft JhengHei"/>
          <w:b/>
          <w:sz w:val="22"/>
        </w:rPr>
      </w:pPr>
    </w:p>
    <w:p>
      <w:pPr>
        <w:pStyle w:val="BodyText"/>
        <w:spacing w:line="364" w:lineRule="auto"/>
        <w:ind w:left="1320" w:right="1457" w:firstLine="480"/>
      </w:pPr>
      <w:r>
        <w:rPr>
          <w:spacing w:val="-16"/>
        </w:rPr>
        <w:t>如前所述，本研究认为生涯规划教育的实施应强调实践性，除体验式学习外， </w:t>
      </w:r>
      <w:r>
        <w:rPr/>
        <w:t>还应包括生涯规划课程群、个别指导等丰富多元的实施路径。</w:t>
      </w:r>
    </w:p>
    <w:p>
      <w:pPr>
        <w:pStyle w:val="BodyText"/>
        <w:spacing w:line="364" w:lineRule="auto" w:before="1"/>
        <w:ind w:left="1320" w:right="1577" w:firstLine="480"/>
        <w:jc w:val="both"/>
      </w:pPr>
      <w:r>
        <w:rPr>
          <w:spacing w:val="-10"/>
        </w:rPr>
        <w:t>调查显示，目前我国普通高中生涯规划教育的实施途径比较单一，主要局限于学校内部，且多停留在理论讲授层面，生涯体验式活动较少。学校的生涯规划</w:t>
      </w:r>
      <w:r>
        <w:rPr>
          <w:spacing w:val="-6"/>
        </w:rPr>
        <w:t>教育以生涯规划教育校本课程为主，有时也会利用班队课开展生涯规划教育。另</w:t>
      </w:r>
      <w:r>
        <w:rPr>
          <w:spacing w:val="-9"/>
        </w:rPr>
        <w:t>外，学校开设的社团和选修课也是生涯规划教育实施的载体。但是，以班队课实</w:t>
      </w:r>
      <w:r>
        <w:rPr>
          <w:spacing w:val="-7"/>
        </w:rPr>
        <w:t>施生涯规划教育具有极大的不稳定性，生涯规划教育并不是班队课主题的唯一选</w:t>
      </w:r>
      <w:r>
        <w:rPr>
          <w:spacing w:val="-11"/>
        </w:rPr>
        <w:t>择，因此，班队课并不能对学生施以系统而连贯的教育。学生在选择社团或选修</w:t>
      </w:r>
    </w:p>
    <w:p>
      <w:pPr>
        <w:spacing w:after="0" w:line="364" w:lineRule="auto"/>
        <w:jc w:val="both"/>
        <w:sectPr>
          <w:pgSz w:w="11910" w:h="16840"/>
          <w:pgMar w:header="878" w:footer="1191" w:top="1300" w:bottom="1380" w:left="480" w:right="220"/>
        </w:sectPr>
      </w:pPr>
    </w:p>
    <w:p>
      <w:pPr>
        <w:pStyle w:val="BodyText"/>
        <w:spacing w:before="3"/>
        <w:rPr>
          <w:sz w:val="11"/>
        </w:rPr>
      </w:pPr>
    </w:p>
    <w:p>
      <w:pPr>
        <w:pStyle w:val="BodyText"/>
        <w:spacing w:line="364" w:lineRule="auto" w:before="66"/>
        <w:ind w:left="1320" w:right="1577"/>
        <w:jc w:val="both"/>
      </w:pPr>
      <w:bookmarkStart w:name="_bookmark192" w:id="233"/>
      <w:bookmarkEnd w:id="233"/>
      <w:r>
        <w:rPr/>
      </w:r>
      <w:r>
        <w:rPr>
          <w:spacing w:val="-10"/>
        </w:rPr>
        <w:t>课时，基本上根据自身的兴趣和爱好进行选择，学校没有给予相关指导，也没有</w:t>
      </w:r>
      <w:r>
        <w:rPr>
          <w:spacing w:val="-5"/>
        </w:rPr>
        <w:t>引导学生将社团活动和选修课的学习与生涯发展挂钩，因此，社团或选修课产生</w:t>
      </w:r>
      <w:r>
        <w:rPr/>
        <w:t>的教育效果也十分有限。</w:t>
      </w:r>
    </w:p>
    <w:p>
      <w:pPr>
        <w:pStyle w:val="BodyText"/>
        <w:spacing w:line="364" w:lineRule="auto" w:before="2"/>
        <w:ind w:left="1320" w:right="1577" w:firstLine="480"/>
        <w:jc w:val="both"/>
      </w:pPr>
      <w:r>
        <w:rPr>
          <w:spacing w:val="-10"/>
        </w:rPr>
        <w:t>另外，学校并未组织职场参观、见习等生涯体验式活动，即使一些学校鼓励</w:t>
      </w:r>
      <w:r>
        <w:rPr>
          <w:spacing w:val="-7"/>
        </w:rPr>
        <w:t>学生利用寒暑假进行社会实践，但这一类活动也基本流于形式。可见，生涯体验</w:t>
      </w:r>
      <w:r>
        <w:rPr/>
        <w:t>式活动并未充分发挥其对学生的指导作用。</w:t>
      </w:r>
    </w:p>
    <w:p>
      <w:pPr>
        <w:pStyle w:val="BodyText"/>
        <w:spacing w:before="4"/>
        <w:rPr>
          <w:sz w:val="23"/>
        </w:rPr>
      </w:pPr>
    </w:p>
    <w:p>
      <w:pPr>
        <w:pStyle w:val="ListParagraph"/>
        <w:numPr>
          <w:ilvl w:val="2"/>
          <w:numId w:val="42"/>
        </w:numPr>
        <w:tabs>
          <w:tab w:pos="1920" w:val="left" w:leader="none"/>
        </w:tabs>
        <w:spacing w:line="240" w:lineRule="auto" w:before="1" w:after="0"/>
        <w:ind w:left="1920" w:right="0" w:hanging="600"/>
        <w:jc w:val="left"/>
        <w:rPr>
          <w:sz w:val="24"/>
        </w:rPr>
      </w:pPr>
      <w:r>
        <w:rPr>
          <w:sz w:val="24"/>
        </w:rPr>
        <w:t>生涯规划教育校本课程占主导</w:t>
      </w:r>
    </w:p>
    <w:p>
      <w:pPr>
        <w:pStyle w:val="BodyText"/>
        <w:spacing w:before="7"/>
        <w:rPr>
          <w:sz w:val="35"/>
        </w:rPr>
      </w:pPr>
    </w:p>
    <w:p>
      <w:pPr>
        <w:pStyle w:val="BodyText"/>
        <w:spacing w:line="364" w:lineRule="auto"/>
        <w:ind w:left="1320" w:right="1577" w:firstLine="480"/>
        <w:jc w:val="both"/>
      </w:pPr>
      <w:r>
        <w:rPr>
          <w:spacing w:val="-7"/>
        </w:rPr>
        <w:t>从学生问卷的反馈情况来看，在学校生涯规划教育的实施方式中，生涯规划</w:t>
      </w:r>
      <w:r>
        <w:rPr>
          <w:spacing w:val="-3"/>
        </w:rPr>
        <w:t>教育校本课程占主导地位，发挥着主要的作用。如表 </w:t>
      </w:r>
      <w:r>
        <w:rPr>
          <w:rFonts w:ascii="Times New Roman" w:eastAsia="Times New Roman"/>
        </w:rPr>
        <w:t>4.2 </w:t>
      </w:r>
      <w:r>
        <w:rPr/>
        <w:t>所示：</w:t>
      </w:r>
    </w:p>
    <w:p>
      <w:pPr>
        <w:pStyle w:val="BodyText"/>
        <w:spacing w:before="7"/>
        <w:rPr>
          <w:sz w:val="14"/>
        </w:rPr>
      </w:pPr>
    </w:p>
    <w:p>
      <w:pPr>
        <w:pStyle w:val="BodyText"/>
        <w:spacing w:before="74"/>
        <w:ind w:right="285"/>
        <w:jc w:val="center"/>
      </w:pPr>
      <w:r>
        <w:rPr/>
        <w:t>表 </w:t>
      </w:r>
      <w:r>
        <w:rPr>
          <w:rFonts w:ascii="Times New Roman" w:eastAsia="Times New Roman"/>
        </w:rPr>
        <w:t>3.2 </w:t>
      </w:r>
      <w:r>
        <w:rPr/>
        <w:t>生涯规划教育实施方式重要性排序</w:t>
      </w:r>
    </w:p>
    <w:p>
      <w:pPr>
        <w:pStyle w:val="BodyText"/>
        <w:spacing w:before="7"/>
        <w:rPr>
          <w:sz w:val="22"/>
        </w:rPr>
      </w:pPr>
    </w:p>
    <w:tbl>
      <w:tblPr>
        <w:tblW w:w="0" w:type="auto"/>
        <w:jc w:val="left"/>
        <w:tblInd w:w="177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2708"/>
        <w:gridCol w:w="1282"/>
        <w:gridCol w:w="1560"/>
        <w:gridCol w:w="1500"/>
      </w:tblGrid>
      <w:tr>
        <w:trPr>
          <w:trHeight w:val="468" w:hRule="atLeast"/>
        </w:trPr>
        <w:tc>
          <w:tcPr>
            <w:tcW w:w="2708" w:type="dxa"/>
            <w:vMerge w:val="restart"/>
          </w:tcPr>
          <w:p>
            <w:pPr>
              <w:pStyle w:val="TableParagraph"/>
              <w:spacing w:before="79"/>
              <w:ind w:left="873"/>
              <w:rPr>
                <w:sz w:val="24"/>
              </w:rPr>
            </w:pPr>
            <w:r>
              <w:rPr>
                <w:sz w:val="24"/>
              </w:rPr>
              <w:t>实施方式</w:t>
            </w:r>
          </w:p>
        </w:tc>
        <w:tc>
          <w:tcPr>
            <w:tcW w:w="4342" w:type="dxa"/>
            <w:gridSpan w:val="3"/>
          </w:tcPr>
          <w:p>
            <w:pPr>
              <w:pStyle w:val="TableParagraph"/>
              <w:spacing w:before="79"/>
              <w:ind w:left="1791" w:right="1761"/>
              <w:jc w:val="center"/>
              <w:rPr>
                <w:sz w:val="24"/>
              </w:rPr>
            </w:pPr>
            <w:r>
              <w:rPr>
                <w:sz w:val="24"/>
              </w:rPr>
              <w:t>百分比</w:t>
            </w:r>
          </w:p>
        </w:tc>
      </w:tr>
      <w:tr>
        <w:trPr>
          <w:trHeight w:val="467" w:hRule="atLeast"/>
        </w:trPr>
        <w:tc>
          <w:tcPr>
            <w:tcW w:w="2708" w:type="dxa"/>
            <w:vMerge/>
            <w:tcBorders>
              <w:top w:val="nil"/>
            </w:tcBorders>
          </w:tcPr>
          <w:p>
            <w:pPr>
              <w:rPr>
                <w:sz w:val="2"/>
                <w:szCs w:val="2"/>
              </w:rPr>
            </w:pPr>
          </w:p>
        </w:tc>
        <w:tc>
          <w:tcPr>
            <w:tcW w:w="1282" w:type="dxa"/>
          </w:tcPr>
          <w:p>
            <w:pPr>
              <w:pStyle w:val="TableParagraph"/>
              <w:spacing w:before="80"/>
              <w:ind w:right="77"/>
              <w:jc w:val="right"/>
              <w:rPr>
                <w:sz w:val="24"/>
              </w:rPr>
            </w:pPr>
            <w:r>
              <w:rPr>
                <w:sz w:val="24"/>
              </w:rPr>
              <w:t>第一</w:t>
            </w:r>
          </w:p>
        </w:tc>
        <w:tc>
          <w:tcPr>
            <w:tcW w:w="1560" w:type="dxa"/>
          </w:tcPr>
          <w:p>
            <w:pPr>
              <w:pStyle w:val="TableParagraph"/>
              <w:spacing w:before="80"/>
              <w:ind w:right="77"/>
              <w:jc w:val="right"/>
              <w:rPr>
                <w:sz w:val="24"/>
              </w:rPr>
            </w:pPr>
            <w:r>
              <w:rPr>
                <w:sz w:val="24"/>
              </w:rPr>
              <w:t>第二</w:t>
            </w:r>
          </w:p>
        </w:tc>
        <w:tc>
          <w:tcPr>
            <w:tcW w:w="1500" w:type="dxa"/>
          </w:tcPr>
          <w:p>
            <w:pPr>
              <w:pStyle w:val="TableParagraph"/>
              <w:spacing w:before="80"/>
              <w:ind w:right="77"/>
              <w:jc w:val="right"/>
              <w:rPr>
                <w:sz w:val="24"/>
              </w:rPr>
            </w:pPr>
            <w:r>
              <w:rPr>
                <w:sz w:val="24"/>
              </w:rPr>
              <w:t>第三</w:t>
            </w:r>
          </w:p>
        </w:tc>
      </w:tr>
      <w:tr>
        <w:trPr>
          <w:trHeight w:val="472" w:hRule="atLeast"/>
        </w:trPr>
        <w:tc>
          <w:tcPr>
            <w:tcW w:w="2708" w:type="dxa"/>
            <w:tcBorders>
              <w:bottom w:val="nil"/>
            </w:tcBorders>
          </w:tcPr>
          <w:p>
            <w:pPr>
              <w:pStyle w:val="TableParagraph"/>
              <w:spacing w:before="79"/>
              <w:ind w:left="108"/>
              <w:rPr>
                <w:sz w:val="24"/>
              </w:rPr>
            </w:pPr>
            <w:r>
              <w:rPr>
                <w:sz w:val="24"/>
              </w:rPr>
              <w:t>生涯规划教育校本课程</w:t>
            </w:r>
          </w:p>
        </w:tc>
        <w:tc>
          <w:tcPr>
            <w:tcW w:w="1282" w:type="dxa"/>
            <w:tcBorders>
              <w:bottom w:val="nil"/>
            </w:tcBorders>
          </w:tcPr>
          <w:p>
            <w:pPr>
              <w:pStyle w:val="TableParagraph"/>
              <w:spacing w:before="95"/>
              <w:ind w:right="76"/>
              <w:jc w:val="right"/>
              <w:rPr>
                <w:rFonts w:ascii="Times New Roman"/>
                <w:sz w:val="24"/>
              </w:rPr>
            </w:pPr>
            <w:r>
              <w:rPr>
                <w:rFonts w:ascii="Times New Roman"/>
                <w:sz w:val="24"/>
              </w:rPr>
              <w:t>40.0%</w:t>
            </w:r>
          </w:p>
        </w:tc>
        <w:tc>
          <w:tcPr>
            <w:tcW w:w="1560" w:type="dxa"/>
            <w:tcBorders>
              <w:bottom w:val="nil"/>
            </w:tcBorders>
          </w:tcPr>
          <w:p>
            <w:pPr>
              <w:pStyle w:val="TableParagraph"/>
              <w:spacing w:before="95"/>
              <w:ind w:right="76"/>
              <w:jc w:val="right"/>
              <w:rPr>
                <w:rFonts w:ascii="Times New Roman"/>
                <w:sz w:val="24"/>
              </w:rPr>
            </w:pPr>
            <w:r>
              <w:rPr>
                <w:rFonts w:ascii="Times New Roman"/>
                <w:sz w:val="24"/>
              </w:rPr>
              <w:t>20.6%</w:t>
            </w:r>
          </w:p>
        </w:tc>
        <w:tc>
          <w:tcPr>
            <w:tcW w:w="1500" w:type="dxa"/>
            <w:tcBorders>
              <w:bottom w:val="nil"/>
            </w:tcBorders>
          </w:tcPr>
          <w:p>
            <w:pPr>
              <w:pStyle w:val="TableParagraph"/>
              <w:spacing w:before="95"/>
              <w:ind w:right="76"/>
              <w:jc w:val="right"/>
              <w:rPr>
                <w:rFonts w:ascii="Times New Roman"/>
                <w:sz w:val="24"/>
              </w:rPr>
            </w:pPr>
            <w:r>
              <w:rPr>
                <w:rFonts w:ascii="Times New Roman"/>
                <w:sz w:val="24"/>
              </w:rPr>
              <w:t>10.1%</w:t>
            </w:r>
          </w:p>
        </w:tc>
      </w:tr>
      <w:tr>
        <w:trPr>
          <w:trHeight w:val="467" w:hRule="atLeast"/>
        </w:trPr>
        <w:tc>
          <w:tcPr>
            <w:tcW w:w="2708" w:type="dxa"/>
            <w:tcBorders>
              <w:top w:val="nil"/>
              <w:bottom w:val="nil"/>
            </w:tcBorders>
          </w:tcPr>
          <w:p>
            <w:pPr>
              <w:pStyle w:val="TableParagraph"/>
              <w:spacing w:before="75"/>
              <w:ind w:left="108"/>
              <w:rPr>
                <w:sz w:val="24"/>
              </w:rPr>
            </w:pPr>
            <w:r>
              <w:rPr>
                <w:sz w:val="24"/>
              </w:rPr>
              <w:t>专题讲座和主题班会</w:t>
            </w:r>
          </w:p>
        </w:tc>
        <w:tc>
          <w:tcPr>
            <w:tcW w:w="1282" w:type="dxa"/>
            <w:tcBorders>
              <w:top w:val="nil"/>
              <w:bottom w:val="nil"/>
            </w:tcBorders>
          </w:tcPr>
          <w:p>
            <w:pPr>
              <w:pStyle w:val="TableParagraph"/>
              <w:spacing w:before="91"/>
              <w:ind w:right="76"/>
              <w:jc w:val="right"/>
              <w:rPr>
                <w:rFonts w:ascii="Times New Roman"/>
                <w:sz w:val="24"/>
              </w:rPr>
            </w:pPr>
            <w:r>
              <w:rPr>
                <w:rFonts w:ascii="Times New Roman"/>
                <w:sz w:val="24"/>
              </w:rPr>
              <w:t>13.7%</w:t>
            </w:r>
          </w:p>
        </w:tc>
        <w:tc>
          <w:tcPr>
            <w:tcW w:w="1560" w:type="dxa"/>
            <w:tcBorders>
              <w:top w:val="nil"/>
              <w:bottom w:val="nil"/>
            </w:tcBorders>
          </w:tcPr>
          <w:p>
            <w:pPr>
              <w:pStyle w:val="TableParagraph"/>
              <w:spacing w:before="91"/>
              <w:ind w:right="76"/>
              <w:jc w:val="right"/>
              <w:rPr>
                <w:rFonts w:ascii="Times New Roman"/>
                <w:sz w:val="24"/>
              </w:rPr>
            </w:pPr>
            <w:r>
              <w:rPr>
                <w:rFonts w:ascii="Times New Roman"/>
                <w:sz w:val="24"/>
              </w:rPr>
              <w:t>22.1%</w:t>
            </w:r>
          </w:p>
        </w:tc>
        <w:tc>
          <w:tcPr>
            <w:tcW w:w="1500" w:type="dxa"/>
            <w:tcBorders>
              <w:top w:val="nil"/>
              <w:bottom w:val="nil"/>
            </w:tcBorders>
          </w:tcPr>
          <w:p>
            <w:pPr>
              <w:pStyle w:val="TableParagraph"/>
              <w:spacing w:before="91"/>
              <w:ind w:right="76"/>
              <w:jc w:val="right"/>
              <w:rPr>
                <w:rFonts w:ascii="Times New Roman"/>
                <w:sz w:val="24"/>
              </w:rPr>
            </w:pPr>
            <w:r>
              <w:rPr>
                <w:rFonts w:ascii="Times New Roman"/>
                <w:sz w:val="24"/>
              </w:rPr>
              <w:t>14.8%</w:t>
            </w:r>
          </w:p>
        </w:tc>
      </w:tr>
      <w:tr>
        <w:trPr>
          <w:trHeight w:val="467" w:hRule="atLeast"/>
        </w:trPr>
        <w:tc>
          <w:tcPr>
            <w:tcW w:w="2708" w:type="dxa"/>
            <w:tcBorders>
              <w:top w:val="nil"/>
              <w:bottom w:val="nil"/>
            </w:tcBorders>
          </w:tcPr>
          <w:p>
            <w:pPr>
              <w:pStyle w:val="TableParagraph"/>
              <w:spacing w:before="75"/>
              <w:ind w:left="108"/>
              <w:rPr>
                <w:sz w:val="24"/>
              </w:rPr>
            </w:pPr>
            <w:r>
              <w:rPr>
                <w:sz w:val="24"/>
              </w:rPr>
              <w:t>社会实践</w:t>
            </w:r>
          </w:p>
        </w:tc>
        <w:tc>
          <w:tcPr>
            <w:tcW w:w="1282" w:type="dxa"/>
            <w:tcBorders>
              <w:top w:val="nil"/>
              <w:bottom w:val="nil"/>
            </w:tcBorders>
          </w:tcPr>
          <w:p>
            <w:pPr>
              <w:pStyle w:val="TableParagraph"/>
              <w:spacing w:before="91"/>
              <w:ind w:right="76"/>
              <w:jc w:val="right"/>
              <w:rPr>
                <w:rFonts w:ascii="Times New Roman"/>
                <w:sz w:val="24"/>
              </w:rPr>
            </w:pPr>
            <w:r>
              <w:rPr>
                <w:rFonts w:ascii="Times New Roman"/>
                <w:sz w:val="24"/>
              </w:rPr>
              <w:t>18.8%</w:t>
            </w:r>
          </w:p>
        </w:tc>
        <w:tc>
          <w:tcPr>
            <w:tcW w:w="1560" w:type="dxa"/>
            <w:tcBorders>
              <w:top w:val="nil"/>
              <w:bottom w:val="nil"/>
            </w:tcBorders>
          </w:tcPr>
          <w:p>
            <w:pPr>
              <w:pStyle w:val="TableParagraph"/>
              <w:spacing w:before="91"/>
              <w:ind w:right="76"/>
              <w:jc w:val="right"/>
              <w:rPr>
                <w:rFonts w:ascii="Times New Roman"/>
                <w:sz w:val="24"/>
              </w:rPr>
            </w:pPr>
            <w:r>
              <w:rPr>
                <w:rFonts w:ascii="Times New Roman"/>
                <w:sz w:val="24"/>
              </w:rPr>
              <w:t>20.5%</w:t>
            </w:r>
          </w:p>
        </w:tc>
        <w:tc>
          <w:tcPr>
            <w:tcW w:w="1500" w:type="dxa"/>
            <w:tcBorders>
              <w:top w:val="nil"/>
              <w:bottom w:val="nil"/>
            </w:tcBorders>
          </w:tcPr>
          <w:p>
            <w:pPr>
              <w:pStyle w:val="TableParagraph"/>
              <w:spacing w:before="91"/>
              <w:ind w:right="76"/>
              <w:jc w:val="right"/>
              <w:rPr>
                <w:rFonts w:ascii="Times New Roman"/>
                <w:sz w:val="24"/>
              </w:rPr>
            </w:pPr>
            <w:r>
              <w:rPr>
                <w:rFonts w:ascii="Times New Roman"/>
                <w:sz w:val="24"/>
              </w:rPr>
              <w:t>22.9%</w:t>
            </w:r>
          </w:p>
        </w:tc>
      </w:tr>
      <w:tr>
        <w:trPr>
          <w:trHeight w:val="467" w:hRule="atLeast"/>
        </w:trPr>
        <w:tc>
          <w:tcPr>
            <w:tcW w:w="2708" w:type="dxa"/>
            <w:tcBorders>
              <w:top w:val="nil"/>
              <w:bottom w:val="nil"/>
            </w:tcBorders>
          </w:tcPr>
          <w:p>
            <w:pPr>
              <w:pStyle w:val="TableParagraph"/>
              <w:spacing w:before="75"/>
              <w:ind w:left="108"/>
              <w:rPr>
                <w:sz w:val="24"/>
              </w:rPr>
            </w:pPr>
            <w:r>
              <w:rPr>
                <w:sz w:val="24"/>
              </w:rPr>
              <w:t>兴趣社团</w:t>
            </w:r>
          </w:p>
        </w:tc>
        <w:tc>
          <w:tcPr>
            <w:tcW w:w="1282" w:type="dxa"/>
            <w:tcBorders>
              <w:top w:val="nil"/>
              <w:bottom w:val="nil"/>
            </w:tcBorders>
          </w:tcPr>
          <w:p>
            <w:pPr>
              <w:pStyle w:val="TableParagraph"/>
              <w:spacing w:before="91"/>
              <w:ind w:right="76"/>
              <w:jc w:val="right"/>
              <w:rPr>
                <w:rFonts w:ascii="Times New Roman"/>
                <w:sz w:val="24"/>
              </w:rPr>
            </w:pPr>
            <w:r>
              <w:rPr>
                <w:rFonts w:ascii="Times New Roman"/>
                <w:sz w:val="24"/>
              </w:rPr>
              <w:t>11.1%</w:t>
            </w:r>
          </w:p>
        </w:tc>
        <w:tc>
          <w:tcPr>
            <w:tcW w:w="1560" w:type="dxa"/>
            <w:tcBorders>
              <w:top w:val="nil"/>
              <w:bottom w:val="nil"/>
            </w:tcBorders>
          </w:tcPr>
          <w:p>
            <w:pPr>
              <w:pStyle w:val="TableParagraph"/>
              <w:spacing w:before="91"/>
              <w:ind w:right="76"/>
              <w:jc w:val="right"/>
              <w:rPr>
                <w:rFonts w:ascii="Times New Roman"/>
                <w:sz w:val="24"/>
              </w:rPr>
            </w:pPr>
            <w:r>
              <w:rPr>
                <w:rFonts w:ascii="Times New Roman"/>
                <w:sz w:val="24"/>
              </w:rPr>
              <w:t>15.1%</w:t>
            </w:r>
          </w:p>
        </w:tc>
        <w:tc>
          <w:tcPr>
            <w:tcW w:w="1500" w:type="dxa"/>
            <w:tcBorders>
              <w:top w:val="nil"/>
              <w:bottom w:val="nil"/>
            </w:tcBorders>
          </w:tcPr>
          <w:p>
            <w:pPr>
              <w:pStyle w:val="TableParagraph"/>
              <w:spacing w:before="91"/>
              <w:ind w:right="76"/>
              <w:jc w:val="right"/>
              <w:rPr>
                <w:rFonts w:ascii="Times New Roman"/>
                <w:sz w:val="24"/>
              </w:rPr>
            </w:pPr>
            <w:r>
              <w:rPr>
                <w:rFonts w:ascii="Times New Roman"/>
                <w:sz w:val="24"/>
              </w:rPr>
              <w:t>19.5%</w:t>
            </w:r>
          </w:p>
        </w:tc>
      </w:tr>
      <w:tr>
        <w:trPr>
          <w:trHeight w:val="467" w:hRule="atLeast"/>
        </w:trPr>
        <w:tc>
          <w:tcPr>
            <w:tcW w:w="2708" w:type="dxa"/>
            <w:tcBorders>
              <w:top w:val="nil"/>
              <w:bottom w:val="nil"/>
            </w:tcBorders>
          </w:tcPr>
          <w:p>
            <w:pPr>
              <w:pStyle w:val="TableParagraph"/>
              <w:spacing w:before="75"/>
              <w:ind w:left="108"/>
              <w:rPr>
                <w:sz w:val="24"/>
              </w:rPr>
            </w:pPr>
            <w:r>
              <w:rPr>
                <w:sz w:val="24"/>
              </w:rPr>
              <w:t>教师个别辅导</w:t>
            </w:r>
          </w:p>
        </w:tc>
        <w:tc>
          <w:tcPr>
            <w:tcW w:w="1282" w:type="dxa"/>
            <w:tcBorders>
              <w:top w:val="nil"/>
              <w:bottom w:val="nil"/>
            </w:tcBorders>
          </w:tcPr>
          <w:p>
            <w:pPr>
              <w:pStyle w:val="TableParagraph"/>
              <w:spacing w:before="91"/>
              <w:ind w:right="76"/>
              <w:jc w:val="right"/>
              <w:rPr>
                <w:rFonts w:ascii="Times New Roman"/>
                <w:sz w:val="24"/>
              </w:rPr>
            </w:pPr>
            <w:r>
              <w:rPr>
                <w:rFonts w:ascii="Times New Roman"/>
                <w:sz w:val="24"/>
              </w:rPr>
              <w:t>6.1%</w:t>
            </w:r>
          </w:p>
        </w:tc>
        <w:tc>
          <w:tcPr>
            <w:tcW w:w="1560" w:type="dxa"/>
            <w:tcBorders>
              <w:top w:val="nil"/>
              <w:bottom w:val="nil"/>
            </w:tcBorders>
          </w:tcPr>
          <w:p>
            <w:pPr>
              <w:pStyle w:val="TableParagraph"/>
              <w:spacing w:before="91"/>
              <w:ind w:right="76"/>
              <w:jc w:val="right"/>
              <w:rPr>
                <w:rFonts w:ascii="Times New Roman"/>
                <w:sz w:val="24"/>
              </w:rPr>
            </w:pPr>
            <w:r>
              <w:rPr>
                <w:rFonts w:ascii="Times New Roman"/>
                <w:sz w:val="24"/>
              </w:rPr>
              <w:t>7.3%</w:t>
            </w:r>
          </w:p>
        </w:tc>
        <w:tc>
          <w:tcPr>
            <w:tcW w:w="1500" w:type="dxa"/>
            <w:tcBorders>
              <w:top w:val="nil"/>
              <w:bottom w:val="nil"/>
            </w:tcBorders>
          </w:tcPr>
          <w:p>
            <w:pPr>
              <w:pStyle w:val="TableParagraph"/>
              <w:spacing w:before="91"/>
              <w:ind w:right="76"/>
              <w:jc w:val="right"/>
              <w:rPr>
                <w:rFonts w:ascii="Times New Roman"/>
                <w:sz w:val="24"/>
              </w:rPr>
            </w:pPr>
            <w:r>
              <w:rPr>
                <w:rFonts w:ascii="Times New Roman"/>
                <w:sz w:val="24"/>
              </w:rPr>
              <w:t>11.8%</w:t>
            </w:r>
          </w:p>
        </w:tc>
      </w:tr>
      <w:tr>
        <w:trPr>
          <w:trHeight w:val="467" w:hRule="atLeast"/>
        </w:trPr>
        <w:tc>
          <w:tcPr>
            <w:tcW w:w="2708" w:type="dxa"/>
            <w:tcBorders>
              <w:top w:val="nil"/>
              <w:bottom w:val="nil"/>
            </w:tcBorders>
          </w:tcPr>
          <w:p>
            <w:pPr>
              <w:pStyle w:val="TableParagraph"/>
              <w:spacing w:before="75"/>
              <w:ind w:left="108"/>
              <w:rPr>
                <w:sz w:val="24"/>
              </w:rPr>
            </w:pPr>
            <w:r>
              <w:rPr>
                <w:sz w:val="24"/>
              </w:rPr>
              <w:t>心理测验</w:t>
            </w:r>
          </w:p>
        </w:tc>
        <w:tc>
          <w:tcPr>
            <w:tcW w:w="1282" w:type="dxa"/>
            <w:tcBorders>
              <w:top w:val="nil"/>
              <w:bottom w:val="nil"/>
            </w:tcBorders>
          </w:tcPr>
          <w:p>
            <w:pPr>
              <w:pStyle w:val="TableParagraph"/>
              <w:spacing w:before="91"/>
              <w:ind w:right="76"/>
              <w:jc w:val="right"/>
              <w:rPr>
                <w:rFonts w:ascii="Times New Roman"/>
                <w:sz w:val="24"/>
              </w:rPr>
            </w:pPr>
            <w:r>
              <w:rPr>
                <w:rFonts w:ascii="Times New Roman"/>
                <w:sz w:val="24"/>
              </w:rPr>
              <w:t>7.4%</w:t>
            </w:r>
          </w:p>
        </w:tc>
        <w:tc>
          <w:tcPr>
            <w:tcW w:w="1560" w:type="dxa"/>
            <w:tcBorders>
              <w:top w:val="nil"/>
              <w:bottom w:val="nil"/>
            </w:tcBorders>
          </w:tcPr>
          <w:p>
            <w:pPr>
              <w:pStyle w:val="TableParagraph"/>
              <w:spacing w:before="91"/>
              <w:ind w:right="76"/>
              <w:jc w:val="right"/>
              <w:rPr>
                <w:rFonts w:ascii="Times New Roman"/>
                <w:sz w:val="24"/>
              </w:rPr>
            </w:pPr>
            <w:r>
              <w:rPr>
                <w:rFonts w:ascii="Times New Roman"/>
                <w:sz w:val="24"/>
              </w:rPr>
              <w:t>10.3%</w:t>
            </w:r>
          </w:p>
        </w:tc>
        <w:tc>
          <w:tcPr>
            <w:tcW w:w="1500" w:type="dxa"/>
            <w:tcBorders>
              <w:top w:val="nil"/>
              <w:bottom w:val="nil"/>
            </w:tcBorders>
          </w:tcPr>
          <w:p>
            <w:pPr>
              <w:pStyle w:val="TableParagraph"/>
              <w:spacing w:before="91"/>
              <w:ind w:right="76"/>
              <w:jc w:val="right"/>
              <w:rPr>
                <w:rFonts w:ascii="Times New Roman"/>
                <w:sz w:val="24"/>
              </w:rPr>
            </w:pPr>
            <w:r>
              <w:rPr>
                <w:rFonts w:ascii="Times New Roman"/>
                <w:sz w:val="24"/>
              </w:rPr>
              <w:t>15.5%</w:t>
            </w:r>
          </w:p>
        </w:tc>
      </w:tr>
      <w:tr>
        <w:trPr>
          <w:trHeight w:val="467" w:hRule="atLeast"/>
        </w:trPr>
        <w:tc>
          <w:tcPr>
            <w:tcW w:w="2708" w:type="dxa"/>
            <w:tcBorders>
              <w:top w:val="nil"/>
              <w:bottom w:val="nil"/>
            </w:tcBorders>
          </w:tcPr>
          <w:p>
            <w:pPr>
              <w:pStyle w:val="TableParagraph"/>
              <w:spacing w:before="75"/>
              <w:ind w:left="108"/>
              <w:rPr>
                <w:sz w:val="24"/>
              </w:rPr>
            </w:pPr>
            <w:r>
              <w:rPr>
                <w:sz w:val="24"/>
              </w:rPr>
              <w:t>企业参观</w:t>
            </w:r>
          </w:p>
        </w:tc>
        <w:tc>
          <w:tcPr>
            <w:tcW w:w="1282" w:type="dxa"/>
            <w:tcBorders>
              <w:top w:val="nil"/>
              <w:bottom w:val="nil"/>
            </w:tcBorders>
          </w:tcPr>
          <w:p>
            <w:pPr>
              <w:pStyle w:val="TableParagraph"/>
              <w:spacing w:before="91"/>
              <w:ind w:right="76"/>
              <w:jc w:val="right"/>
              <w:rPr>
                <w:rFonts w:ascii="Times New Roman"/>
                <w:sz w:val="24"/>
              </w:rPr>
            </w:pPr>
            <w:r>
              <w:rPr>
                <w:rFonts w:ascii="Times New Roman"/>
                <w:sz w:val="24"/>
              </w:rPr>
              <w:t>1.9%</w:t>
            </w:r>
          </w:p>
        </w:tc>
        <w:tc>
          <w:tcPr>
            <w:tcW w:w="1560" w:type="dxa"/>
            <w:tcBorders>
              <w:top w:val="nil"/>
              <w:bottom w:val="nil"/>
            </w:tcBorders>
          </w:tcPr>
          <w:p>
            <w:pPr>
              <w:pStyle w:val="TableParagraph"/>
              <w:spacing w:before="91"/>
              <w:ind w:right="76"/>
              <w:jc w:val="right"/>
              <w:rPr>
                <w:rFonts w:ascii="Times New Roman"/>
                <w:sz w:val="24"/>
              </w:rPr>
            </w:pPr>
            <w:r>
              <w:rPr>
                <w:rFonts w:ascii="Times New Roman"/>
                <w:sz w:val="24"/>
              </w:rPr>
              <w:t>4.2%</w:t>
            </w:r>
          </w:p>
        </w:tc>
        <w:tc>
          <w:tcPr>
            <w:tcW w:w="1500" w:type="dxa"/>
            <w:tcBorders>
              <w:top w:val="nil"/>
              <w:bottom w:val="nil"/>
            </w:tcBorders>
          </w:tcPr>
          <w:p>
            <w:pPr>
              <w:pStyle w:val="TableParagraph"/>
              <w:spacing w:before="91"/>
              <w:ind w:right="76"/>
              <w:jc w:val="right"/>
              <w:rPr>
                <w:rFonts w:ascii="Times New Roman"/>
                <w:sz w:val="24"/>
              </w:rPr>
            </w:pPr>
            <w:r>
              <w:rPr>
                <w:rFonts w:ascii="Times New Roman"/>
                <w:sz w:val="24"/>
              </w:rPr>
              <w:t>5.4%</w:t>
            </w:r>
          </w:p>
        </w:tc>
      </w:tr>
      <w:tr>
        <w:trPr>
          <w:trHeight w:val="463" w:hRule="atLeast"/>
        </w:trPr>
        <w:tc>
          <w:tcPr>
            <w:tcW w:w="2708" w:type="dxa"/>
            <w:tcBorders>
              <w:top w:val="nil"/>
            </w:tcBorders>
          </w:tcPr>
          <w:p>
            <w:pPr>
              <w:pStyle w:val="TableParagraph"/>
              <w:spacing w:before="75"/>
              <w:ind w:left="108"/>
              <w:rPr>
                <w:sz w:val="24"/>
              </w:rPr>
            </w:pPr>
            <w:r>
              <w:rPr>
                <w:sz w:val="24"/>
              </w:rPr>
              <w:t>其他</w:t>
            </w:r>
          </w:p>
        </w:tc>
        <w:tc>
          <w:tcPr>
            <w:tcW w:w="1282" w:type="dxa"/>
            <w:tcBorders>
              <w:top w:val="nil"/>
            </w:tcBorders>
          </w:tcPr>
          <w:p>
            <w:pPr>
              <w:pStyle w:val="TableParagraph"/>
              <w:spacing w:before="91"/>
              <w:ind w:right="76"/>
              <w:jc w:val="right"/>
              <w:rPr>
                <w:rFonts w:ascii="Times New Roman"/>
                <w:sz w:val="24"/>
              </w:rPr>
            </w:pPr>
            <w:r>
              <w:rPr>
                <w:rFonts w:ascii="Times New Roman"/>
                <w:sz w:val="24"/>
              </w:rPr>
              <w:t>0.9%</w:t>
            </w:r>
          </w:p>
        </w:tc>
        <w:tc>
          <w:tcPr>
            <w:tcW w:w="1560" w:type="dxa"/>
            <w:tcBorders>
              <w:top w:val="nil"/>
            </w:tcBorders>
          </w:tcPr>
          <w:p>
            <w:pPr>
              <w:pStyle w:val="TableParagraph"/>
              <w:spacing w:before="91"/>
              <w:ind w:right="77"/>
              <w:jc w:val="right"/>
              <w:rPr>
                <w:rFonts w:ascii="Times New Roman"/>
                <w:sz w:val="24"/>
              </w:rPr>
            </w:pPr>
            <w:r>
              <w:rPr>
                <w:rFonts w:ascii="Times New Roman"/>
                <w:sz w:val="24"/>
              </w:rPr>
              <w:t>0</w:t>
            </w:r>
          </w:p>
        </w:tc>
        <w:tc>
          <w:tcPr>
            <w:tcW w:w="1500" w:type="dxa"/>
            <w:tcBorders>
              <w:top w:val="nil"/>
            </w:tcBorders>
          </w:tcPr>
          <w:p>
            <w:pPr>
              <w:pStyle w:val="TableParagraph"/>
              <w:spacing w:before="91"/>
              <w:ind w:right="77"/>
              <w:jc w:val="right"/>
              <w:rPr>
                <w:rFonts w:ascii="Times New Roman"/>
                <w:sz w:val="24"/>
              </w:rPr>
            </w:pPr>
            <w:r>
              <w:rPr>
                <w:rFonts w:ascii="Times New Roman"/>
                <w:sz w:val="24"/>
              </w:rPr>
              <w:t>0</w:t>
            </w:r>
          </w:p>
        </w:tc>
      </w:tr>
    </w:tbl>
    <w:p>
      <w:pPr>
        <w:pStyle w:val="BodyText"/>
        <w:rPr>
          <w:sz w:val="26"/>
        </w:rPr>
      </w:pPr>
    </w:p>
    <w:p>
      <w:pPr>
        <w:pStyle w:val="BodyText"/>
        <w:spacing w:line="364" w:lineRule="auto" w:before="216"/>
        <w:ind w:left="1320" w:right="1576" w:firstLine="480"/>
        <w:jc w:val="both"/>
      </w:pPr>
      <w:r>
        <w:rPr>
          <w:spacing w:val="-30"/>
        </w:rPr>
        <w:t>表 </w:t>
      </w:r>
      <w:r>
        <w:rPr>
          <w:rFonts w:ascii="Times New Roman" w:eastAsia="Times New Roman"/>
        </w:rPr>
        <w:t>3.2 </w:t>
      </w:r>
      <w:r>
        <w:rPr>
          <w:spacing w:val="-5"/>
        </w:rPr>
        <w:t>是学生对学校生涯规划教育实施方式重要性认识的排序情况，有 </w:t>
      </w:r>
      <w:r>
        <w:rPr>
          <w:rFonts w:ascii="Times New Roman" w:eastAsia="Times New Roman"/>
          <w:spacing w:val="-6"/>
        </w:rPr>
        <w:t>40% </w:t>
      </w:r>
      <w:r>
        <w:rPr>
          <w:spacing w:val="-6"/>
        </w:rPr>
        <w:t>的学生将生涯规划教育校本课程排在了第一位，他们认为生涯规划教育校本课程</w:t>
      </w:r>
      <w:r>
        <w:rPr/>
        <w:t>对他们的帮助最大，远远超过其他形式的生涯规划教育。</w:t>
      </w:r>
    </w:p>
    <w:p>
      <w:pPr>
        <w:pStyle w:val="BodyText"/>
        <w:spacing w:line="364" w:lineRule="auto" w:before="2"/>
        <w:ind w:left="1320" w:right="1485" w:firstLine="480"/>
      </w:pPr>
      <w:r>
        <w:rPr>
          <w:spacing w:val="-9"/>
        </w:rPr>
        <w:t>通过对教师的访谈，笔者也了解到，学校对生涯规划教育校本课程的理解比</w:t>
      </w:r>
      <w:r>
        <w:rPr>
          <w:spacing w:val="-10"/>
        </w:rPr>
        <w:t>较狭义，多数局限课堂教学，侧重于向学生讲解和介绍生涯规划教育理论知识， </w:t>
      </w:r>
      <w:r>
        <w:rPr/>
        <w:t>并未与体验学习等实践性较强的学习方式结合起来。</w:t>
      </w:r>
    </w:p>
    <w:p>
      <w:pPr>
        <w:spacing w:after="0" w:line="364" w:lineRule="auto"/>
        <w:sectPr>
          <w:pgSz w:w="11910" w:h="16840"/>
          <w:pgMar w:header="878" w:footer="1191" w:top="1300" w:bottom="1380" w:left="480" w:right="220"/>
        </w:sectPr>
      </w:pPr>
    </w:p>
    <w:p>
      <w:pPr>
        <w:pStyle w:val="BodyText"/>
        <w:rPr>
          <w:sz w:val="20"/>
        </w:rPr>
      </w:pPr>
    </w:p>
    <w:p>
      <w:pPr>
        <w:pStyle w:val="BodyText"/>
        <w:spacing w:before="9"/>
        <w:rPr>
          <w:sz w:val="27"/>
        </w:rPr>
      </w:pPr>
    </w:p>
    <w:p>
      <w:pPr>
        <w:pStyle w:val="BodyText"/>
        <w:spacing w:line="364" w:lineRule="auto" w:before="67"/>
        <w:ind w:left="1320" w:right="1485" w:firstLine="420"/>
      </w:pPr>
      <w:r>
        <w:rPr>
          <w:spacing w:val="-3"/>
        </w:rPr>
        <w:t>“学校的生涯规划教育开展时间短，目前学校主要就是两大块，一块是针对</w:t>
      </w:r>
      <w:r>
        <w:rPr>
          <w:spacing w:val="-12"/>
        </w:rPr>
        <w:t>高一和高二的课程，每周 </w:t>
      </w:r>
      <w:r>
        <w:rPr/>
        <w:t>0.5</w:t>
      </w:r>
      <w:r>
        <w:rPr>
          <w:spacing w:val="-12"/>
        </w:rPr>
        <w:t> 节课，主要以老师的介绍为主，偶尔也会有一些活</w:t>
      </w:r>
      <w:r>
        <w:rPr>
          <w:spacing w:val="-13"/>
        </w:rPr>
        <w:t>动，但一般都放在课后，如布置作业让学生去采访亲人的职业等，但分量较轻。</w:t>
      </w:r>
      <w:r>
        <w:rPr/>
        <w:t>另一块针对高三，主要以讲座为主。”</w:t>
      </w:r>
    </w:p>
    <w:p>
      <w:pPr>
        <w:pStyle w:val="BodyText"/>
        <w:spacing w:before="2"/>
        <w:ind w:left="6566"/>
      </w:pPr>
      <w:r>
        <w:rPr/>
        <w:t>——访谈，D 教师，20161025</w:t>
      </w:r>
    </w:p>
    <w:p>
      <w:pPr>
        <w:pStyle w:val="BodyText"/>
      </w:pPr>
    </w:p>
    <w:p>
      <w:pPr>
        <w:pStyle w:val="BodyText"/>
        <w:spacing w:before="1"/>
        <w:rPr>
          <w:sz w:val="25"/>
        </w:rPr>
      </w:pPr>
    </w:p>
    <w:p>
      <w:pPr>
        <w:pStyle w:val="BodyText"/>
        <w:spacing w:line="364" w:lineRule="auto"/>
        <w:ind w:left="1319" w:right="1485" w:firstLine="480"/>
      </w:pPr>
      <w:r>
        <w:rPr>
          <w:spacing w:val="-8"/>
        </w:rPr>
        <w:t>此外，由于大多学校的生涯规划教育从高考改革后才开展，起步较晚，学校</w:t>
      </w:r>
      <w:r>
        <w:rPr>
          <w:spacing w:val="-9"/>
        </w:rPr>
        <w:t>并未将生涯规划教育校本课程纳入学校的必修课，而多以选修课来开展。因而， </w:t>
      </w:r>
      <w:r>
        <w:rPr>
          <w:spacing w:val="-8"/>
        </w:rPr>
        <w:t>生涯规划教育课时少，存在缺乏规范性、系统性等问题。</w:t>
      </w:r>
      <w:r>
        <w:rPr>
          <w:rFonts w:ascii="Times New Roman" w:eastAsia="Times New Roman"/>
        </w:rPr>
        <w:t>Z </w:t>
      </w:r>
      <w:r>
        <w:rPr>
          <w:spacing w:val="-10"/>
        </w:rPr>
        <w:t>中学领导与 </w:t>
      </w:r>
      <w:r>
        <w:rPr>
          <w:rFonts w:ascii="Times New Roman" w:eastAsia="Times New Roman"/>
        </w:rPr>
        <w:t>B </w:t>
      </w:r>
      <w:r>
        <w:rPr/>
        <w:t>中学领导在访谈中这样谈到：</w:t>
      </w:r>
    </w:p>
    <w:p>
      <w:pPr>
        <w:pStyle w:val="BodyText"/>
      </w:pPr>
    </w:p>
    <w:p>
      <w:pPr>
        <w:pStyle w:val="BodyText"/>
        <w:spacing w:line="364" w:lineRule="auto" w:before="163"/>
        <w:ind w:left="1319" w:right="1485" w:firstLine="420"/>
      </w:pPr>
      <w:r>
        <w:rPr/>
        <w:t>“我们的生涯规划教育课程一般以选修形式进行，高三以必修形式进行。学生到了高三再上这个生涯规划课的时候，其实更多的是专业选择和职业选择了， 但其实高一的时候上这个课才能更好的确立发展方向，服务于学生选考科目的选择。”</w:t>
      </w:r>
    </w:p>
    <w:p>
      <w:pPr>
        <w:pStyle w:val="BodyText"/>
        <w:spacing w:line="364" w:lineRule="auto" w:before="2"/>
        <w:ind w:left="1739" w:right="1577" w:firstLine="4346"/>
      </w:pPr>
      <w:r>
        <w:rPr/>
        <w:t>——访谈，Z</w:t>
      </w:r>
      <w:r>
        <w:rPr>
          <w:spacing w:val="-16"/>
        </w:rPr>
        <w:t> 中学领导</w:t>
      </w:r>
      <w:r>
        <w:rPr/>
        <w:t>，20161025 </w:t>
      </w:r>
      <w:r>
        <w:rPr>
          <w:spacing w:val="-3"/>
        </w:rPr>
        <w:t>“当前学校的生涯规划教育主要是通过心理指导课，渗透进去的。我们单独</w:t>
      </w:r>
    </w:p>
    <w:p>
      <w:pPr>
        <w:pStyle w:val="BodyText"/>
        <w:spacing w:line="364" w:lineRule="auto" w:before="1"/>
        <w:ind w:left="1319" w:right="1485"/>
      </w:pPr>
      <w:r>
        <w:rPr>
          <w:spacing w:val="-9"/>
        </w:rPr>
        <w:t>也有个课程，叫做生涯规划指导课程。它主要是我们老师自己编的选修课程。这</w:t>
      </w:r>
      <w:r>
        <w:rPr>
          <w:spacing w:val="-10"/>
        </w:rPr>
        <w:t>个课程由老师自己编的，但是也没怎么在用，因为这个老师现在已经调任了。”</w:t>
      </w:r>
    </w:p>
    <w:p>
      <w:pPr>
        <w:pStyle w:val="BodyText"/>
        <w:spacing w:before="2"/>
        <w:ind w:left="6086"/>
      </w:pPr>
      <w:r>
        <w:rPr/>
        <w:t>——访谈，B</w:t>
      </w:r>
      <w:r>
        <w:rPr>
          <w:spacing w:val="-12"/>
        </w:rPr>
        <w:t> 中学领导</w:t>
      </w:r>
      <w:r>
        <w:rPr/>
        <w:t>，20161025</w:t>
      </w:r>
    </w:p>
    <w:p>
      <w:pPr>
        <w:pStyle w:val="BodyText"/>
      </w:pPr>
    </w:p>
    <w:p>
      <w:pPr>
        <w:pStyle w:val="BodyText"/>
        <w:rPr>
          <w:sz w:val="25"/>
        </w:rPr>
      </w:pPr>
    </w:p>
    <w:p>
      <w:pPr>
        <w:pStyle w:val="BodyText"/>
        <w:spacing w:line="364" w:lineRule="auto"/>
        <w:ind w:left="1319" w:right="1577" w:firstLine="480"/>
        <w:jc w:val="both"/>
      </w:pPr>
      <w:r>
        <w:rPr>
          <w:spacing w:val="-9"/>
        </w:rPr>
        <w:t>一些校领导在访谈中也表示，生涯规划教育基本以生涯规划教育校本课程为</w:t>
      </w:r>
      <w:r>
        <w:rPr>
          <w:spacing w:val="-10"/>
        </w:rPr>
        <w:t>主，其它实施方式均已列入学校生涯规划教育发展计划中，但仍处于探索和建设</w:t>
      </w:r>
      <w:r>
        <w:rPr/>
        <w:t>过程中，如生涯导师制、生涯体验式活动等。</w:t>
      </w:r>
    </w:p>
    <w:p>
      <w:pPr>
        <w:pStyle w:val="BodyText"/>
      </w:pPr>
    </w:p>
    <w:p>
      <w:pPr>
        <w:pStyle w:val="BodyText"/>
        <w:spacing w:line="364" w:lineRule="auto" w:before="163"/>
        <w:ind w:left="1319" w:right="1577" w:firstLine="420"/>
        <w:jc w:val="both"/>
      </w:pPr>
      <w:r>
        <w:rPr>
          <w:spacing w:val="-3"/>
        </w:rPr>
        <w:t>“现在学校的生涯规划教育校本课程是最主要的，但我们也在筹建团队，打</w:t>
      </w:r>
      <w:r>
        <w:rPr>
          <w:spacing w:val="-8"/>
        </w:rPr>
        <w:t>算建立生涯指导中心，对学生展开个别指导。导师制也在计划中，但还没有真正</w:t>
      </w:r>
      <w:r>
        <w:rPr/>
        <w:t>推行。”</w:t>
      </w:r>
    </w:p>
    <w:p>
      <w:pPr>
        <w:spacing w:after="0" w:line="364" w:lineRule="auto"/>
        <w:jc w:val="both"/>
        <w:sectPr>
          <w:pgSz w:w="11910" w:h="16840"/>
          <w:pgMar w:header="878" w:footer="1191" w:top="1300" w:bottom="1380" w:left="480" w:right="220"/>
        </w:sectPr>
      </w:pPr>
    </w:p>
    <w:p>
      <w:pPr>
        <w:pStyle w:val="BodyText"/>
        <w:spacing w:before="8"/>
        <w:rPr>
          <w:sz w:val="10"/>
        </w:rPr>
      </w:pPr>
    </w:p>
    <w:p>
      <w:pPr>
        <w:pStyle w:val="BodyText"/>
        <w:spacing w:before="74"/>
        <w:ind w:left="6060"/>
        <w:rPr>
          <w:rFonts w:ascii="Times New Roman" w:hAnsi="Times New Roman" w:eastAsia="Times New Roman"/>
        </w:rPr>
      </w:pPr>
      <w:bookmarkStart w:name="_bookmark193" w:id="234"/>
      <w:bookmarkEnd w:id="234"/>
      <w:r>
        <w:rPr/>
      </w:r>
      <w:r>
        <w:rPr>
          <w:rFonts w:ascii="Times New Roman" w:hAnsi="Times New Roman" w:eastAsia="Times New Roman"/>
        </w:rPr>
        <w:t>——</w:t>
      </w:r>
      <w:r>
        <w:rPr/>
        <w:t>访谈，</w:t>
      </w:r>
      <w:r>
        <w:rPr>
          <w:rFonts w:ascii="Times New Roman" w:hAnsi="Times New Roman" w:eastAsia="Times New Roman"/>
        </w:rPr>
        <w:t>Z </w:t>
      </w:r>
      <w:r>
        <w:rPr/>
        <w:t>中学领导，</w:t>
      </w:r>
      <w:r>
        <w:rPr>
          <w:rFonts w:ascii="Times New Roman" w:hAnsi="Times New Roman" w:eastAsia="Times New Roman"/>
        </w:rPr>
        <w:t>20161025</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485" w:firstLine="420"/>
        <w:jc w:val="both"/>
      </w:pPr>
      <w:r>
        <w:rPr/>
        <w:t>“现在学校的生涯规划教育主要以课程、讲座为主，高一高二主要是课程， 高三主要以讲座为主。学校打算聘请专家和校外的志愿者，组建生涯导师团队。今年还想推出一个专门社会实践，就是让学生进社区，进工厂。”</w:t>
      </w:r>
    </w:p>
    <w:p>
      <w:pPr>
        <w:pStyle w:val="BodyText"/>
        <w:spacing w:before="2"/>
        <w:ind w:left="6072"/>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S </w:t>
      </w:r>
      <w:r>
        <w:rPr/>
        <w:t>中学领导，</w:t>
      </w:r>
      <w:r>
        <w:rPr>
          <w:rFonts w:ascii="Times New Roman" w:hAnsi="Times New Roman" w:eastAsia="Times New Roman"/>
        </w:rPr>
        <w:t>20161026</w:t>
      </w:r>
    </w:p>
    <w:p>
      <w:pPr>
        <w:pStyle w:val="BodyText"/>
        <w:rPr>
          <w:rFonts w:ascii="Times New Roman"/>
          <w:sz w:val="26"/>
        </w:rPr>
      </w:pPr>
    </w:p>
    <w:p>
      <w:pPr>
        <w:pStyle w:val="BodyText"/>
        <w:rPr>
          <w:rFonts w:ascii="Times New Roman"/>
          <w:sz w:val="26"/>
        </w:rPr>
      </w:pPr>
    </w:p>
    <w:p>
      <w:pPr>
        <w:pStyle w:val="BodyText"/>
        <w:spacing w:before="6"/>
        <w:rPr>
          <w:rFonts w:ascii="Times New Roman"/>
          <w:sz w:val="28"/>
        </w:rPr>
      </w:pPr>
    </w:p>
    <w:p>
      <w:pPr>
        <w:pStyle w:val="ListParagraph"/>
        <w:numPr>
          <w:ilvl w:val="2"/>
          <w:numId w:val="42"/>
        </w:numPr>
        <w:tabs>
          <w:tab w:pos="1920" w:val="left" w:leader="none"/>
        </w:tabs>
        <w:spacing w:line="240" w:lineRule="auto" w:before="0" w:after="0"/>
        <w:ind w:left="1920" w:right="0" w:hanging="600"/>
        <w:jc w:val="left"/>
        <w:rPr>
          <w:sz w:val="24"/>
        </w:rPr>
      </w:pPr>
      <w:r>
        <w:rPr>
          <w:sz w:val="24"/>
        </w:rPr>
        <w:t>学生期待实施方式的多样化</w:t>
      </w:r>
    </w:p>
    <w:p>
      <w:pPr>
        <w:pStyle w:val="BodyText"/>
        <w:spacing w:before="7"/>
        <w:rPr>
          <w:sz w:val="35"/>
        </w:rPr>
      </w:pPr>
    </w:p>
    <w:p>
      <w:pPr>
        <w:pStyle w:val="BodyText"/>
        <w:spacing w:line="364" w:lineRule="auto" w:before="1"/>
        <w:ind w:left="1320" w:right="1577" w:firstLine="600"/>
        <w:jc w:val="both"/>
      </w:pPr>
      <w:r>
        <w:rPr>
          <w:spacing w:val="-1"/>
        </w:rPr>
        <w:t>在对学生关于学校生涯规划教育的意见或建议调查中，本研究发现，学生</w:t>
      </w:r>
      <w:r>
        <w:rPr>
          <w:spacing w:val="-6"/>
        </w:rPr>
        <w:t>渴望学校有丰富的生涯规划教育实施方式。学生不仅希望学校尽可能多的开设生</w:t>
      </w:r>
      <w:r>
        <w:rPr>
          <w:spacing w:val="-9"/>
        </w:rPr>
        <w:t>涯主题讲座、班队课、兴趣社团等，而且希望学校能够重视实践活动，为他们提</w:t>
      </w:r>
      <w:r>
        <w:rPr/>
        <w:t>供多种形式的体验活动，例如大学参观、社会实践等。</w:t>
      </w:r>
    </w:p>
    <w:p>
      <w:pPr>
        <w:pStyle w:val="BodyText"/>
      </w:pPr>
    </w:p>
    <w:p>
      <w:pPr>
        <w:pStyle w:val="BodyText"/>
        <w:spacing w:line="364" w:lineRule="auto" w:before="163"/>
        <w:ind w:left="1320" w:right="1516" w:firstLine="434"/>
      </w:pPr>
      <w:r>
        <w:rPr/>
        <w:t>“我希望学校提供多方面多种多样的生涯规划教育，多开展此类的讲座（几乎没有开展此类讲座）。”</w:t>
      </w:r>
    </w:p>
    <w:p>
      <w:pPr>
        <w:pStyle w:val="BodyText"/>
        <w:spacing w:before="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1</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ind w:left="1754"/>
      </w:pPr>
      <w:r>
        <w:rPr/>
        <w:t>“专门针对新高考制度开设讲解课程，对一些大学和专业进行介绍。”</w:t>
      </w:r>
    </w:p>
    <w:p>
      <w:pPr>
        <w:pStyle w:val="BodyText"/>
        <w:spacing w:before="16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2</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ind w:left="1754"/>
      </w:pPr>
      <w:r>
        <w:rPr/>
        <w:t>“希望学校多多开展专题讲座，邀请专家或曾经学大学学姐分享经验。”</w:t>
      </w:r>
    </w:p>
    <w:p>
      <w:pPr>
        <w:pStyle w:val="BodyText"/>
        <w:spacing w:before="16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3</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575" w:firstLine="434"/>
        <w:jc w:val="both"/>
      </w:pPr>
      <w:r>
        <w:rPr>
          <w:spacing w:val="-6"/>
        </w:rPr>
        <w:t>“多进行社团活动，进行社会实践，来让学生亲自经历，从而获得道理。也</w:t>
      </w:r>
      <w:r>
        <w:rPr/>
        <w:t>可多去一些学校参观，让学生明确自己想去的大学，从而进一步思考自己的未来。”</w:t>
      </w:r>
    </w:p>
    <w:p>
      <w:pPr>
        <w:pStyle w:val="BodyText"/>
        <w:spacing w:before="2"/>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4</w:t>
      </w:r>
      <w:r>
        <w:rPr/>
        <w:t>，</w:t>
      </w:r>
      <w:r>
        <w:rPr>
          <w:rFonts w:ascii="Times New Roman" w:hAnsi="Times New Roman" w:eastAsia="Times New Roman"/>
        </w:rPr>
        <w:t>20161026</w:t>
      </w:r>
    </w:p>
    <w:p>
      <w:pPr>
        <w:spacing w:after="0"/>
        <w:rPr>
          <w:rFonts w:ascii="Times New Roman" w:hAnsi="Times New Roman" w:eastAsia="Times New Roman"/>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485" w:firstLine="480"/>
      </w:pPr>
      <w:bookmarkStart w:name="_bookmark194" w:id="235"/>
      <w:bookmarkEnd w:id="235"/>
      <w:r>
        <w:rPr/>
      </w:r>
      <w:r>
        <w:rPr/>
        <w:t>“希望我校能开展更多贴近当代社会发展的实践活动，来帮助今后的就业。或者模拟社会环境，体验社会，在小范围内进行职业体验。”</w:t>
      </w:r>
    </w:p>
    <w:p>
      <w:pPr>
        <w:pStyle w:val="BodyText"/>
        <w:spacing w:before="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5</w:t>
      </w:r>
      <w:r>
        <w:rPr/>
        <w:t>，</w:t>
      </w:r>
      <w:r>
        <w:rPr>
          <w:rFonts w:ascii="Times New Roman" w:hAnsi="Times New Roman" w:eastAsia="Times New Roman"/>
        </w:rPr>
        <w:t>20161026</w:t>
      </w:r>
    </w:p>
    <w:p>
      <w:pPr>
        <w:pStyle w:val="BodyText"/>
        <w:rPr>
          <w:rFonts w:ascii="Times New Roman"/>
          <w:sz w:val="26"/>
        </w:rPr>
      </w:pPr>
    </w:p>
    <w:p>
      <w:pPr>
        <w:pStyle w:val="BodyText"/>
        <w:spacing w:before="8"/>
        <w:rPr>
          <w:rFonts w:ascii="Times New Roman"/>
          <w:sz w:val="28"/>
        </w:rPr>
      </w:pPr>
    </w:p>
    <w:p>
      <w:pPr>
        <w:pStyle w:val="BodyText"/>
        <w:spacing w:line="364" w:lineRule="auto"/>
        <w:ind w:left="1319" w:right="1517" w:firstLine="434"/>
      </w:pPr>
      <w:r>
        <w:rPr/>
        <w:t>“让我们明确未来的发展方向，具有目的性与科学规划性，注重实践，多多开展课外体验，以便于对各个职业有更直观的感受。”</w:t>
      </w:r>
    </w:p>
    <w:p>
      <w:pPr>
        <w:pStyle w:val="BodyText"/>
        <w:spacing w:before="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6</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19" w:right="1517" w:firstLine="434"/>
      </w:pPr>
      <w:r>
        <w:rPr/>
        <w:t>“学校可以多带领学生去一些工厂或者其他地方进行亲自体验职业，收集学生的兴趣，开展多种多样的兴趣社团。”</w:t>
      </w:r>
    </w:p>
    <w:p>
      <w:pPr>
        <w:pStyle w:val="BodyText"/>
        <w:spacing w:before="2"/>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7</w:t>
      </w:r>
      <w:r>
        <w:rPr/>
        <w:t>，</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19" w:right="1517" w:firstLine="434"/>
      </w:pPr>
      <w:r>
        <w:rPr/>
        <w:t>“组织一些社会实践活动，让我们多到社会上去实践，或者让我们去企业参观，有条件的话最好能让我们去实习和工作。”</w:t>
      </w:r>
    </w:p>
    <w:p>
      <w:pPr>
        <w:pStyle w:val="BodyText"/>
        <w:spacing w:before="1"/>
        <w:ind w:left="6566"/>
        <w:rPr>
          <w:rFonts w:ascii="Times New Roman" w:hAnsi="Times New Roman" w:eastAsia="Times New Roman"/>
        </w:rPr>
      </w:pPr>
      <w:r>
        <w:rPr>
          <w:rFonts w:ascii="Times New Roman" w:hAnsi="Times New Roman" w:eastAsia="Times New Roman"/>
        </w:rPr>
        <w:t>——</w:t>
      </w:r>
      <w:r>
        <w:rPr/>
        <w:t>问卷，学生 </w:t>
      </w:r>
      <w:r>
        <w:rPr>
          <w:rFonts w:ascii="Times New Roman" w:hAnsi="Times New Roman" w:eastAsia="Times New Roman"/>
        </w:rPr>
        <w:t>8</w:t>
      </w:r>
      <w:r>
        <w:rPr/>
        <w:t>，</w:t>
      </w:r>
      <w:r>
        <w:rPr>
          <w:rFonts w:ascii="Times New Roman" w:hAnsi="Times New Roman" w:eastAsia="Times New Roman"/>
        </w:rPr>
        <w:t>20161026</w:t>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9"/>
        <w:rPr>
          <w:rFonts w:ascii="Times New Roman"/>
          <w:sz w:val="15"/>
        </w:rPr>
      </w:pPr>
    </w:p>
    <w:p>
      <w:pPr>
        <w:pStyle w:val="Heading2"/>
        <w:numPr>
          <w:ilvl w:val="1"/>
          <w:numId w:val="42"/>
        </w:numPr>
        <w:tabs>
          <w:tab w:pos="1810" w:val="left" w:leader="none"/>
        </w:tabs>
        <w:spacing w:line="493" w:lineRule="exact" w:before="0" w:after="0"/>
        <w:ind w:left="1809" w:right="0" w:hanging="491"/>
        <w:jc w:val="left"/>
      </w:pPr>
      <w:r>
        <w:rPr/>
        <w:t>生涯规划教育实施效果不甚理想</w:t>
      </w:r>
    </w:p>
    <w:p>
      <w:pPr>
        <w:pStyle w:val="BodyText"/>
        <w:spacing w:before="4"/>
        <w:rPr>
          <w:rFonts w:ascii="Microsoft JhengHei"/>
          <w:b/>
        </w:rPr>
      </w:pPr>
    </w:p>
    <w:p>
      <w:pPr>
        <w:pStyle w:val="ListParagraph"/>
        <w:numPr>
          <w:ilvl w:val="2"/>
          <w:numId w:val="42"/>
        </w:numPr>
        <w:tabs>
          <w:tab w:pos="1920" w:val="left" w:leader="none"/>
        </w:tabs>
        <w:spacing w:line="240" w:lineRule="auto" w:before="0" w:after="0"/>
        <w:ind w:left="1920" w:right="0" w:hanging="601"/>
        <w:jc w:val="left"/>
        <w:rPr>
          <w:sz w:val="24"/>
        </w:rPr>
      </w:pPr>
      <w:r>
        <w:rPr>
          <w:sz w:val="24"/>
        </w:rPr>
        <w:t>学校生涯规划教育实施未落到实处</w:t>
      </w:r>
    </w:p>
    <w:p>
      <w:pPr>
        <w:pStyle w:val="BodyText"/>
        <w:spacing w:before="7"/>
        <w:rPr>
          <w:sz w:val="35"/>
        </w:rPr>
      </w:pPr>
    </w:p>
    <w:p>
      <w:pPr>
        <w:pStyle w:val="BodyText"/>
        <w:spacing w:line="364" w:lineRule="auto"/>
        <w:ind w:left="1319" w:right="1577" w:firstLine="480"/>
        <w:jc w:val="both"/>
      </w:pPr>
      <w:r>
        <w:rPr>
          <w:spacing w:val="-5"/>
        </w:rPr>
        <w:t>学校生涯规划教育的实施流于形式主要表现在两个方面：第一，学校并未充</w:t>
      </w:r>
      <w:r>
        <w:rPr>
          <w:spacing w:val="-7"/>
        </w:rPr>
        <w:t>分贯彻实施生涯规划体验式活动。多数受访生涯规划教育教师、领导人表示，学校的生涯规划教育除了校本课程外，也开展了一些生涯体验式活动来推进生涯规</w:t>
      </w:r>
      <w:r>
        <w:rPr>
          <w:spacing w:val="-9"/>
        </w:rPr>
        <w:t>划教育的开展。但是，这些活动空有体验式学习之名，而无体验式学习之实，其</w:t>
      </w:r>
      <w:r>
        <w:rPr/>
        <w:t>真实性与有效性也没有得到切实的保障。</w:t>
      </w:r>
    </w:p>
    <w:p>
      <w:pPr>
        <w:pStyle w:val="BodyText"/>
        <w:spacing w:line="364" w:lineRule="auto" w:before="3"/>
        <w:ind w:left="1319" w:right="1577" w:firstLine="480"/>
      </w:pPr>
      <w:r>
        <w:rPr>
          <w:spacing w:val="-11"/>
        </w:rPr>
        <w:t>在访谈中，一位学校领导在访谈中直接指出学校的生涯体验式活动并未落到</w:t>
      </w:r>
      <w:r>
        <w:rPr/>
        <w:t>实处：</w:t>
      </w:r>
    </w:p>
    <w:p>
      <w:pPr>
        <w:pStyle w:val="BodyText"/>
      </w:pPr>
    </w:p>
    <w:p>
      <w:pPr>
        <w:pStyle w:val="BodyText"/>
        <w:spacing w:before="162"/>
        <w:ind w:right="45"/>
        <w:jc w:val="center"/>
      </w:pPr>
      <w:r>
        <w:rPr/>
        <w:t>笔者：除生涯规划教育校本课程外，学校有没有开展生涯体验式活动呢？</w:t>
      </w:r>
    </w:p>
    <w:p>
      <w:pPr>
        <w:spacing w:after="0"/>
        <w:jc w:val="center"/>
        <w:sectPr>
          <w:pgSz w:w="11910" w:h="16840"/>
          <w:pgMar w:header="878" w:footer="1191" w:top="1300" w:bottom="1380" w:left="480" w:right="220"/>
        </w:sectPr>
      </w:pPr>
    </w:p>
    <w:p>
      <w:pPr>
        <w:pStyle w:val="BodyText"/>
        <w:spacing w:before="8"/>
        <w:rPr>
          <w:sz w:val="10"/>
        </w:rPr>
      </w:pPr>
    </w:p>
    <w:p>
      <w:pPr>
        <w:pStyle w:val="BodyText"/>
        <w:spacing w:line="364" w:lineRule="auto" w:before="74"/>
        <w:ind w:left="1740" w:right="1563"/>
      </w:pPr>
      <w:r>
        <w:rPr>
          <w:rFonts w:ascii="Times New Roman" w:eastAsia="Times New Roman"/>
        </w:rPr>
        <w:t>B </w:t>
      </w:r>
      <w:r>
        <w:rPr/>
        <w:t>中学领导：体验活动一直在开展，最主要集中在寒暑假学生的社会实践。笔者：能谈谈学生的社会实践活动是怎么开展的吗？</w:t>
      </w:r>
    </w:p>
    <w:p>
      <w:pPr>
        <w:pStyle w:val="BodyText"/>
        <w:spacing w:line="364" w:lineRule="auto" w:before="1"/>
        <w:ind w:left="1320" w:right="1457" w:firstLine="420"/>
      </w:pPr>
      <w:r>
        <w:rPr>
          <w:rFonts w:ascii="Times New Roman" w:eastAsia="Times New Roman"/>
        </w:rPr>
        <w:t>B </w:t>
      </w:r>
      <w:r>
        <w:rPr>
          <w:spacing w:val="-3"/>
        </w:rPr>
        <w:t>中学领导：这是学校的常规活动了，每年放假前我们会给学生发一张社会</w:t>
      </w:r>
      <w:r>
        <w:rPr>
          <w:spacing w:val="-17"/>
        </w:rPr>
        <w:t>实践活动表，学生会根据自己的兴趣去实践，大多数学生会选择去餐厅做服务员， </w:t>
      </w:r>
      <w:r>
        <w:rPr/>
        <w:t>到社区做志愿者，开学后一般要求组织同学们谈谈自己的收获和感想。</w:t>
      </w:r>
    </w:p>
    <w:p>
      <w:pPr>
        <w:pStyle w:val="BodyText"/>
        <w:spacing w:before="2"/>
        <w:ind w:left="1740"/>
      </w:pPr>
      <w:r>
        <w:rPr/>
        <w:t>笔者：社会实践开始前和结束后教师会对学生进行指导吗？</w:t>
      </w:r>
    </w:p>
    <w:p>
      <w:pPr>
        <w:pStyle w:val="BodyText"/>
        <w:spacing w:line="364" w:lineRule="auto" w:before="160"/>
        <w:ind w:left="1320" w:right="1533" w:firstLine="420"/>
      </w:pPr>
      <w:r>
        <w:rPr>
          <w:rFonts w:ascii="Times New Roman" w:eastAsia="Times New Roman"/>
        </w:rPr>
        <w:t>B </w:t>
      </w:r>
      <w:r>
        <w:rPr/>
        <w:t>中学领导：一般来说是要的，但老师们都不重视这个活动，也不舍得浪费时间去指导学生。</w:t>
      </w:r>
    </w:p>
    <w:p>
      <w:pPr>
        <w:pStyle w:val="BodyText"/>
        <w:spacing w:before="2"/>
        <w:ind w:left="1740"/>
      </w:pPr>
      <w:r>
        <w:rPr/>
        <w:t>笔者：您认为社会实践活动效果如何呢？</w:t>
      </w:r>
    </w:p>
    <w:p>
      <w:pPr>
        <w:pStyle w:val="BodyText"/>
        <w:spacing w:line="364" w:lineRule="auto" w:before="160"/>
        <w:ind w:left="1320" w:right="1577" w:firstLine="420"/>
        <w:jc w:val="both"/>
      </w:pPr>
      <w:r>
        <w:rPr>
          <w:rFonts w:ascii="Times New Roman" w:eastAsia="Times New Roman"/>
        </w:rPr>
        <w:t>B </w:t>
      </w:r>
      <w:r>
        <w:rPr>
          <w:spacing w:val="-4"/>
        </w:rPr>
        <w:t>中学领导：其实效果并不理想，我们很难保证学生社会实践的真实性，有</w:t>
      </w:r>
      <w:r>
        <w:rPr>
          <w:spacing w:val="-8"/>
        </w:rPr>
        <w:t>些学生为实践而实践，违背了我们设计活动的初衷。而且，我们知道很多老师对</w:t>
      </w:r>
      <w:r>
        <w:rPr>
          <w:spacing w:val="-6"/>
        </w:rPr>
        <w:t>这个社会实践也不重视，一般社会实践活动表交上来就没有下文了。所以，目前</w:t>
      </w:r>
      <w:r>
        <w:rPr/>
        <w:t>正计划提高这类活动的质量。</w:t>
      </w:r>
    </w:p>
    <w:p>
      <w:pPr>
        <w:pStyle w:val="BodyText"/>
        <w:spacing w:before="2"/>
        <w:ind w:left="6045"/>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B </w:t>
      </w:r>
      <w:r>
        <w:rPr/>
        <w:t>中学领导，</w:t>
      </w:r>
      <w:r>
        <w:rPr>
          <w:rFonts w:ascii="Times New Roman" w:hAnsi="Times New Roman" w:eastAsia="Times New Roman"/>
        </w:rPr>
        <w:t>20161025</w:t>
      </w:r>
    </w:p>
    <w:p>
      <w:pPr>
        <w:pStyle w:val="BodyText"/>
        <w:rPr>
          <w:rFonts w:ascii="Times New Roman"/>
          <w:sz w:val="26"/>
        </w:rPr>
      </w:pPr>
    </w:p>
    <w:p>
      <w:pPr>
        <w:pStyle w:val="BodyText"/>
        <w:spacing w:before="8"/>
        <w:rPr>
          <w:rFonts w:ascii="Times New Roman"/>
          <w:sz w:val="28"/>
        </w:rPr>
      </w:pPr>
    </w:p>
    <w:p>
      <w:pPr>
        <w:pStyle w:val="BodyText"/>
        <w:spacing w:line="364" w:lineRule="auto"/>
        <w:ind w:left="1320" w:right="1577" w:firstLine="480"/>
        <w:jc w:val="both"/>
      </w:pPr>
      <w:r>
        <w:rPr>
          <w:spacing w:val="2"/>
        </w:rPr>
        <w:t>从访谈来看，该校仅把开展的一项社会实践活动作为学生的生涯体验式活</w:t>
      </w:r>
      <w:r>
        <w:rPr>
          <w:spacing w:val="-11"/>
        </w:rPr>
        <w:t>动，形式十分单一，而且这项活动也没有得到学生和教师应有的重视。此外，教</w:t>
      </w:r>
      <w:r>
        <w:rPr>
          <w:spacing w:val="-8"/>
        </w:rPr>
        <w:t>师在整个过程中，并没有发挥指导作用。体验式学习开展之前，教师未对学生进</w:t>
      </w:r>
      <w:r>
        <w:rPr>
          <w:spacing w:val="-10"/>
        </w:rPr>
        <w:t>行恰当的指导，因而，学生对体验式学习的目的和意义缺乏正确的认识；体验式</w:t>
      </w:r>
      <w:r>
        <w:rPr>
          <w:spacing w:val="-8"/>
        </w:rPr>
        <w:t>学习结束之后，教师没有及时组织学生交流、分享，因此，学生缺乏对体验的反</w:t>
      </w:r>
      <w:r>
        <w:rPr/>
        <w:t>思、提炼过程，无法将体验内化到自身的知识体系中。</w:t>
      </w:r>
    </w:p>
    <w:p>
      <w:pPr>
        <w:pStyle w:val="BodyText"/>
        <w:spacing w:line="364" w:lineRule="auto" w:before="4"/>
        <w:ind w:left="1320" w:right="1365" w:firstLine="480"/>
      </w:pPr>
      <w:r>
        <w:rPr>
          <w:spacing w:val="-6"/>
        </w:rPr>
        <w:t>同样的情况也出现在了笔者调研的其他几所学校中。</w:t>
      </w:r>
      <w:r>
        <w:rPr>
          <w:rFonts w:ascii="Times New Roman" w:hAnsi="Times New Roman" w:eastAsia="Times New Roman"/>
        </w:rPr>
        <w:t>X </w:t>
      </w:r>
      <w:r>
        <w:rPr>
          <w:spacing w:val="-15"/>
        </w:rPr>
        <w:t>中学的 </w:t>
      </w:r>
      <w:r>
        <w:rPr>
          <w:rFonts w:ascii="Times New Roman" w:hAnsi="Times New Roman" w:eastAsia="Times New Roman"/>
        </w:rPr>
        <w:t>Z </w:t>
      </w:r>
      <w:r>
        <w:rPr/>
        <w:t>领导在谈到</w:t>
      </w:r>
      <w:r>
        <w:rPr>
          <w:spacing w:val="-9"/>
        </w:rPr>
        <w:t>学校的生涯体验式活动时，表示“学校目前没有特色活动，只有暑期社会实践。” </w:t>
      </w:r>
      <w:r>
        <w:rPr>
          <w:rFonts w:ascii="Times New Roman" w:hAnsi="Times New Roman" w:eastAsia="Times New Roman"/>
        </w:rPr>
        <w:t>S</w:t>
      </w:r>
      <w:r>
        <w:rPr>
          <w:rFonts w:ascii="Times New Roman" w:hAnsi="Times New Roman" w:eastAsia="Times New Roman"/>
          <w:spacing w:val="-2"/>
        </w:rPr>
        <w:t> </w:t>
      </w:r>
      <w:r>
        <w:rPr>
          <w:spacing w:val="-20"/>
        </w:rPr>
        <w:t>中学 </w:t>
      </w:r>
      <w:r>
        <w:rPr>
          <w:rFonts w:ascii="Times New Roman" w:hAnsi="Times New Roman" w:eastAsia="Times New Roman"/>
        </w:rPr>
        <w:t>C </w:t>
      </w:r>
      <w:r>
        <w:rPr>
          <w:spacing w:val="-4"/>
        </w:rPr>
        <w:t>教师也虽意识到学校的生涯体验式活动较为单一，并将实践基地的活动</w:t>
      </w:r>
      <w:r>
        <w:rPr>
          <w:spacing w:val="-17"/>
        </w:rPr>
        <w:t>并入了生涯体验式活动，但活动基本流于形式，效果不佳，在访谈中他这样谈到：</w:t>
      </w:r>
    </w:p>
    <w:p>
      <w:pPr>
        <w:pStyle w:val="BodyText"/>
      </w:pPr>
    </w:p>
    <w:p>
      <w:pPr>
        <w:pStyle w:val="BodyText"/>
        <w:spacing w:line="364" w:lineRule="auto" w:before="162"/>
        <w:ind w:left="1320" w:right="1485" w:firstLine="420"/>
        <w:jc w:val="both"/>
      </w:pPr>
      <w:r>
        <w:rPr>
          <w:spacing w:val="-2"/>
        </w:rPr>
        <w:t>“由于学校的生涯体验式活动比较单一，目前就只有寒暑假的社会实践一种</w:t>
      </w:r>
      <w:r>
        <w:rPr>
          <w:spacing w:val="-9"/>
        </w:rPr>
        <w:t>类型。为了给学生提供更多的机会，我们会开设一些实践课，组织学生去实践基</w:t>
      </w:r>
      <w:r>
        <w:rPr>
          <w:spacing w:val="-10"/>
        </w:rPr>
        <w:t>地，有很多项目让学生去体验。实践基地的体验类似于素质拓展，有手工制作、</w:t>
      </w:r>
    </w:p>
    <w:p>
      <w:pPr>
        <w:spacing w:after="0" w:line="364" w:lineRule="auto"/>
        <w:jc w:val="both"/>
        <w:sectPr>
          <w:pgSz w:w="11910" w:h="16840"/>
          <w:pgMar w:header="878" w:footer="1191" w:top="1300" w:bottom="1380" w:left="480" w:right="220"/>
        </w:sectPr>
      </w:pPr>
    </w:p>
    <w:p>
      <w:pPr>
        <w:pStyle w:val="BodyText"/>
        <w:spacing w:before="3"/>
        <w:rPr>
          <w:sz w:val="11"/>
        </w:rPr>
      </w:pPr>
    </w:p>
    <w:p>
      <w:pPr>
        <w:pStyle w:val="BodyText"/>
        <w:spacing w:line="364" w:lineRule="auto" w:before="66"/>
        <w:ind w:left="1320" w:right="1577"/>
        <w:jc w:val="both"/>
      </w:pPr>
      <w:r>
        <w:rPr>
          <w:spacing w:val="-12"/>
        </w:rPr>
        <w:t>剪纸、绘画、还有陶艺等。但是，学生往往都当做一种玩乐，就是他没有思考从</w:t>
      </w:r>
      <w:r>
        <w:rPr/>
        <w:t>这些实践中受到什么启发，对这些活动是否有兴趣，体验结束后脑子里一片空白。”</w:t>
      </w:r>
    </w:p>
    <w:p>
      <w:pPr>
        <w:pStyle w:val="BodyText"/>
        <w:spacing w:before="2"/>
        <w:ind w:left="5793"/>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S </w:t>
      </w:r>
      <w:r>
        <w:rPr/>
        <w:t>中学 </w:t>
      </w:r>
      <w:r>
        <w:rPr>
          <w:rFonts w:ascii="Times New Roman" w:hAnsi="Times New Roman" w:eastAsia="Times New Roman"/>
        </w:rPr>
        <w:t>C </w:t>
      </w:r>
      <w:r>
        <w:rPr/>
        <w:t>教师，</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577" w:firstLine="480"/>
        <w:jc w:val="both"/>
      </w:pPr>
      <w:r>
        <w:rPr>
          <w:spacing w:val="-11"/>
        </w:rPr>
        <w:t>第二，缺乏具有针对性的个别指导。个别指导是重要的生涯规划教育实施方式之一，它能满足学生的个别需求。但是，从学生对学校生涯规划教育实施情况</w:t>
      </w:r>
      <w:r>
        <w:rPr>
          <w:spacing w:val="-9"/>
        </w:rPr>
        <w:t>的反馈来看，学生普遍呼吁学校重视有针对性的个别指导。可见，学校的生涯规</w:t>
      </w:r>
      <w:r>
        <w:rPr/>
        <w:t>划教育在针对性指导方面做的还远远不够。</w:t>
      </w:r>
    </w:p>
    <w:p>
      <w:pPr>
        <w:pStyle w:val="BodyText"/>
      </w:pPr>
    </w:p>
    <w:p>
      <w:pPr>
        <w:pStyle w:val="BodyText"/>
        <w:spacing w:before="163"/>
        <w:ind w:right="1545"/>
        <w:jc w:val="right"/>
      </w:pPr>
      <w:r>
        <w:rPr/>
        <w:t>“针对每个学生不同心仪的学校和实际能力，提供不同的生涯规划教育。”</w:t>
      </w:r>
    </w:p>
    <w:p>
      <w:pPr>
        <w:pStyle w:val="BodyText"/>
        <w:spacing w:before="161"/>
        <w:ind w:right="1577"/>
        <w:jc w:val="right"/>
      </w:pPr>
      <w:r>
        <w:rPr>
          <w:spacing w:val="-8"/>
        </w:rPr>
        <w:t>——问卷，学生 </w:t>
      </w:r>
      <w:r>
        <w:rPr/>
        <w:t>1,20161025</w:t>
      </w:r>
    </w:p>
    <w:p>
      <w:pPr>
        <w:pStyle w:val="BodyText"/>
      </w:pPr>
    </w:p>
    <w:p>
      <w:pPr>
        <w:pStyle w:val="BodyText"/>
        <w:rPr>
          <w:sz w:val="25"/>
        </w:rPr>
      </w:pPr>
    </w:p>
    <w:p>
      <w:pPr>
        <w:pStyle w:val="BodyText"/>
        <w:spacing w:line="364" w:lineRule="auto"/>
        <w:ind w:left="1320" w:right="1523" w:firstLine="420"/>
      </w:pPr>
      <w:r>
        <w:rPr/>
        <w:t>“能够有针对性地进行辅导，通过学生的兴趣、个性等综合方面，帮助学生建立自我的规划，而不是单独灌输学校或教师的个人思想。”</w:t>
      </w:r>
    </w:p>
    <w:p>
      <w:pPr>
        <w:pStyle w:val="BodyText"/>
        <w:spacing w:before="2"/>
        <w:ind w:left="6686"/>
      </w:pPr>
      <w:r>
        <w:rPr/>
        <w:t>——问卷，学生 2,20161025</w:t>
      </w:r>
    </w:p>
    <w:p>
      <w:pPr>
        <w:pStyle w:val="BodyText"/>
      </w:pPr>
    </w:p>
    <w:p>
      <w:pPr>
        <w:pStyle w:val="BodyText"/>
        <w:rPr>
          <w:sz w:val="25"/>
        </w:rPr>
      </w:pPr>
    </w:p>
    <w:p>
      <w:pPr>
        <w:pStyle w:val="BodyText"/>
        <w:spacing w:line="364" w:lineRule="auto"/>
        <w:ind w:left="1320" w:right="1457" w:firstLine="420"/>
      </w:pPr>
      <w:r>
        <w:rPr>
          <w:spacing w:val="-8"/>
        </w:rPr>
        <w:t>“针对不同学生的不同情况和不同兴趣特点，不同的未来期望，进行详细的， </w:t>
      </w:r>
      <w:r>
        <w:rPr/>
        <w:t>一对一的针对性指导。”</w:t>
      </w:r>
    </w:p>
    <w:p>
      <w:pPr>
        <w:pStyle w:val="BodyText"/>
        <w:spacing w:before="2"/>
        <w:ind w:left="6686"/>
      </w:pPr>
      <w:r>
        <w:rPr/>
        <w:t>——问卷，学生 3,20161025</w:t>
      </w:r>
    </w:p>
    <w:p>
      <w:pPr>
        <w:pStyle w:val="BodyText"/>
      </w:pPr>
    </w:p>
    <w:p>
      <w:pPr>
        <w:pStyle w:val="BodyText"/>
        <w:rPr>
          <w:sz w:val="25"/>
        </w:rPr>
      </w:pPr>
    </w:p>
    <w:p>
      <w:pPr>
        <w:pStyle w:val="BodyText"/>
        <w:spacing w:line="364" w:lineRule="auto"/>
        <w:ind w:left="1320" w:right="1577" w:firstLine="420"/>
        <w:jc w:val="both"/>
      </w:pPr>
      <w:r>
        <w:rPr>
          <w:spacing w:val="-4"/>
        </w:rPr>
        <w:t>“希望学校更注重个性化培养，能按照每个学生的个人情况，提出生涯规划</w:t>
      </w:r>
      <w:r>
        <w:rPr>
          <w:spacing w:val="-7"/>
        </w:rPr>
        <w:t>的建议和指导而填鸭学，教个人能力，实践动手技能是缺乏的，老师提供详实又</w:t>
      </w:r>
      <w:r>
        <w:rPr/>
        <w:t>准确的意见建议。”</w:t>
      </w:r>
    </w:p>
    <w:p>
      <w:pPr>
        <w:pStyle w:val="BodyText"/>
        <w:spacing w:before="2"/>
        <w:ind w:left="6686"/>
      </w:pPr>
      <w:r>
        <w:rPr/>
        <w:t>——问卷，学生 4,20161025</w:t>
      </w:r>
    </w:p>
    <w:p>
      <w:pPr>
        <w:pStyle w:val="BodyText"/>
      </w:pPr>
    </w:p>
    <w:p>
      <w:pPr>
        <w:pStyle w:val="BodyText"/>
        <w:spacing w:before="1"/>
        <w:rPr>
          <w:sz w:val="25"/>
        </w:rPr>
      </w:pPr>
    </w:p>
    <w:p>
      <w:pPr>
        <w:pStyle w:val="BodyText"/>
        <w:spacing w:line="364" w:lineRule="auto"/>
        <w:ind w:left="1320" w:right="1523" w:firstLine="420"/>
      </w:pPr>
      <w:r>
        <w:rPr/>
        <w:t>“能够针对学生的个人情况进行特性辅导，增加实际体验的机会让学生更明确自己的能力与对未来职业的理解选择。”</w:t>
      </w:r>
    </w:p>
    <w:p>
      <w:pPr>
        <w:pStyle w:val="BodyText"/>
        <w:spacing w:before="1"/>
        <w:ind w:left="6686"/>
      </w:pPr>
      <w:r>
        <w:rPr/>
        <w:t>——问卷，学生 5,20161025</w:t>
      </w:r>
    </w:p>
    <w:p>
      <w:pPr>
        <w:spacing w:after="0"/>
        <w:sectPr>
          <w:pgSz w:w="11910" w:h="16840"/>
          <w:pgMar w:header="878" w:footer="1191" w:top="1300" w:bottom="1380" w:left="480" w:right="220"/>
        </w:sectPr>
      </w:pPr>
    </w:p>
    <w:p>
      <w:pPr>
        <w:pStyle w:val="BodyText"/>
        <w:rPr>
          <w:sz w:val="20"/>
        </w:rPr>
      </w:pPr>
    </w:p>
    <w:p>
      <w:pPr>
        <w:pStyle w:val="BodyText"/>
        <w:spacing w:before="9"/>
        <w:rPr>
          <w:sz w:val="27"/>
        </w:rPr>
      </w:pPr>
    </w:p>
    <w:p>
      <w:pPr>
        <w:pStyle w:val="BodyText"/>
        <w:spacing w:before="67"/>
        <w:ind w:right="1545"/>
        <w:jc w:val="right"/>
      </w:pPr>
      <w:bookmarkStart w:name="_bookmark195" w:id="236"/>
      <w:bookmarkEnd w:id="236"/>
      <w:r>
        <w:rPr/>
      </w:r>
      <w:r>
        <w:rPr/>
        <w:t>“多给予个性化的辅导，根据学生的不同情况不同辅导，少理论多实践。”</w:t>
      </w:r>
    </w:p>
    <w:p>
      <w:pPr>
        <w:pStyle w:val="BodyText"/>
        <w:spacing w:before="160"/>
        <w:ind w:right="1577"/>
        <w:jc w:val="right"/>
      </w:pPr>
      <w:r>
        <w:rPr>
          <w:spacing w:val="-8"/>
        </w:rPr>
        <w:t>——问卷，学生 </w:t>
      </w:r>
      <w:r>
        <w:rPr/>
        <w:t>6,20161025</w:t>
      </w:r>
    </w:p>
    <w:p>
      <w:pPr>
        <w:pStyle w:val="BodyText"/>
      </w:pPr>
    </w:p>
    <w:p>
      <w:pPr>
        <w:pStyle w:val="BodyText"/>
      </w:pPr>
    </w:p>
    <w:p>
      <w:pPr>
        <w:pStyle w:val="BodyText"/>
        <w:spacing w:before="4"/>
      </w:pPr>
    </w:p>
    <w:p>
      <w:pPr>
        <w:pStyle w:val="ListParagraph"/>
        <w:numPr>
          <w:ilvl w:val="2"/>
          <w:numId w:val="42"/>
        </w:numPr>
        <w:tabs>
          <w:tab w:pos="1920" w:val="left" w:leader="none"/>
        </w:tabs>
        <w:spacing w:line="240" w:lineRule="auto" w:before="0" w:after="0"/>
        <w:ind w:left="1920" w:right="0" w:hanging="600"/>
        <w:jc w:val="both"/>
        <w:rPr>
          <w:sz w:val="24"/>
        </w:rPr>
      </w:pPr>
      <w:r>
        <w:rPr>
          <w:sz w:val="24"/>
        </w:rPr>
        <w:t>普通高中学生生涯认知片面化</w:t>
      </w:r>
    </w:p>
    <w:p>
      <w:pPr>
        <w:pStyle w:val="BodyText"/>
        <w:spacing w:before="7"/>
        <w:rPr>
          <w:sz w:val="35"/>
        </w:rPr>
      </w:pPr>
    </w:p>
    <w:p>
      <w:pPr>
        <w:pStyle w:val="BodyText"/>
        <w:spacing w:line="364" w:lineRule="auto"/>
        <w:ind w:left="1320" w:right="1577" w:firstLine="480"/>
        <w:jc w:val="both"/>
      </w:pPr>
      <w:r>
        <w:rPr>
          <w:spacing w:val="-5"/>
        </w:rPr>
        <w:t>普通高中学生生涯认知的片面化主要表现在对自我认知片面，对职业和社会</w:t>
      </w:r>
      <w:r>
        <w:rPr>
          <w:spacing w:val="-11"/>
        </w:rPr>
        <w:t>认知片面。调查表明，高中学生的自我认知情况较为一般。不少学生表示虽然十</w:t>
      </w:r>
      <w:r>
        <w:rPr/>
        <w:t>分了解自己的个性与兴趣爱好，但对于自我能力的认知情况则相对较差</w:t>
      </w:r>
      <w:r>
        <w:rPr>
          <w:spacing w:val="4"/>
        </w:rPr>
        <w:t>（</w:t>
      </w:r>
      <w:r>
        <w:rPr/>
        <w:t>见表</w:t>
      </w:r>
      <w:r>
        <w:rPr>
          <w:rFonts w:ascii="Times New Roman" w:eastAsia="Times New Roman"/>
          <w:spacing w:val="-8"/>
        </w:rPr>
        <w:t>3.3</w:t>
      </w:r>
      <w:r>
        <w:rPr>
          <w:spacing w:val="-8"/>
        </w:rPr>
        <w:t>）</w:t>
      </w:r>
      <w:r>
        <w:rPr>
          <w:spacing w:val="-12"/>
        </w:rPr>
        <w:t>。相比之下，高中学生对升学就业信息、社会环境的认知情况并不乐观</w:t>
      </w:r>
      <w:r>
        <w:rPr/>
        <w:t>（</w:t>
      </w:r>
      <w:r>
        <w:rPr>
          <w:spacing w:val="-13"/>
        </w:rPr>
        <w:t>见</w:t>
      </w:r>
      <w:r>
        <w:rPr>
          <w:spacing w:val="-30"/>
        </w:rPr>
        <w:t>表 </w:t>
      </w:r>
      <w:r>
        <w:rPr>
          <w:rFonts w:ascii="Times New Roman" w:eastAsia="Times New Roman"/>
          <w:spacing w:val="-8"/>
        </w:rPr>
        <w:t>3.4</w:t>
      </w:r>
      <w:r>
        <w:rPr>
          <w:spacing w:val="-8"/>
        </w:rPr>
        <w:t>），</w:t>
      </w:r>
      <w:r>
        <w:rPr>
          <w:spacing w:val="-1"/>
        </w:rPr>
        <w:t>高中学生普遍缺乏主动搜集这类信息的意识</w:t>
      </w:r>
      <w:r>
        <w:rPr/>
        <w:t>（</w:t>
      </w:r>
      <w:r>
        <w:rPr>
          <w:spacing w:val="-20"/>
        </w:rPr>
        <w:t>见表 </w:t>
      </w:r>
      <w:r>
        <w:rPr>
          <w:rFonts w:ascii="Times New Roman" w:eastAsia="Times New Roman"/>
          <w:spacing w:val="-8"/>
        </w:rPr>
        <w:t>3.5</w:t>
      </w:r>
      <w:r>
        <w:rPr>
          <w:spacing w:val="-8"/>
        </w:rPr>
        <w:t>），</w:t>
      </w:r>
      <w:r>
        <w:rPr>
          <w:spacing w:val="-3"/>
        </w:rPr>
        <w:t>认为自己完</w:t>
      </w:r>
      <w:r>
        <w:rPr/>
        <w:t>全了解这些信息的学生寥寥无几。学生也在生涯认知方面存在一定困惑</w:t>
      </w:r>
      <w:r>
        <w:rPr>
          <w:spacing w:val="4"/>
        </w:rPr>
        <w:t>（</w:t>
      </w:r>
      <w:r>
        <w:rPr/>
        <w:t>见表</w:t>
      </w:r>
      <w:r>
        <w:rPr>
          <w:rFonts w:ascii="Times New Roman" w:eastAsia="Times New Roman"/>
        </w:rPr>
        <w:t>3.6</w:t>
      </w:r>
      <w:r>
        <w:rPr/>
        <w:t>）</w:t>
      </w:r>
      <w:r>
        <w:rPr>
          <w:spacing w:val="-4"/>
        </w:rPr>
        <w:t>。当学生面临困惑时，他们更倾向于自己解决问题</w:t>
      </w:r>
      <w:r>
        <w:rPr/>
        <w:t>（</w:t>
      </w:r>
      <w:r>
        <w:rPr>
          <w:spacing w:val="-22"/>
        </w:rPr>
        <w:t>见表 </w:t>
      </w:r>
      <w:r>
        <w:rPr>
          <w:rFonts w:ascii="Times New Roman" w:eastAsia="Times New Roman"/>
          <w:spacing w:val="-3"/>
        </w:rPr>
        <w:t>3.7</w:t>
      </w:r>
      <w:r>
        <w:rPr>
          <w:spacing w:val="-3"/>
        </w:rPr>
        <w:t>）</w:t>
      </w:r>
      <w:r>
        <w:rPr>
          <w:spacing w:val="-5"/>
        </w:rPr>
        <w:t>，在一定程</w:t>
      </w:r>
      <w:r>
        <w:rPr/>
        <w:t>度上加剧了其生涯认知的片面化。</w:t>
      </w:r>
    </w:p>
    <w:p>
      <w:pPr>
        <w:pStyle w:val="ListParagraph"/>
        <w:numPr>
          <w:ilvl w:val="3"/>
          <w:numId w:val="42"/>
        </w:numPr>
        <w:tabs>
          <w:tab w:pos="2100" w:val="left" w:leader="none"/>
        </w:tabs>
        <w:spacing w:line="240" w:lineRule="auto" w:before="5" w:after="0"/>
        <w:ind w:left="2100" w:right="0" w:hanging="780"/>
        <w:jc w:val="both"/>
        <w:rPr>
          <w:sz w:val="24"/>
        </w:rPr>
      </w:pPr>
      <w:r>
        <w:rPr>
          <w:sz w:val="24"/>
        </w:rPr>
        <w:t>普通高中学生自我认知水平较为一般</w:t>
      </w:r>
    </w:p>
    <w:p>
      <w:pPr>
        <w:pStyle w:val="BodyText"/>
        <w:spacing w:before="12"/>
      </w:pPr>
    </w:p>
    <w:p>
      <w:pPr>
        <w:pStyle w:val="BodyText"/>
        <w:spacing w:before="76"/>
        <w:ind w:left="3252"/>
      </w:pPr>
      <w:r>
        <w:rPr/>
        <w:t>表 </w:t>
      </w:r>
      <w:r>
        <w:rPr>
          <w:rFonts w:ascii="Times New Roman" w:eastAsia="Times New Roman"/>
        </w:rPr>
        <w:t>3.3 </w:t>
      </w:r>
      <w:r>
        <w:rPr/>
        <w:t>普通高中学生自我认知情况调查</w:t>
      </w:r>
    </w:p>
    <w:p>
      <w:pPr>
        <w:pStyle w:val="BodyText"/>
        <w:spacing w:before="6"/>
      </w:pPr>
    </w:p>
    <w:tbl>
      <w:tblPr>
        <w:tblW w:w="0" w:type="auto"/>
        <w:jc w:val="left"/>
        <w:tblInd w:w="155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518"/>
        <w:gridCol w:w="1440"/>
        <w:gridCol w:w="1395"/>
        <w:gridCol w:w="1252"/>
        <w:gridCol w:w="2259"/>
      </w:tblGrid>
      <w:tr>
        <w:trPr>
          <w:trHeight w:val="468" w:hRule="atLeast"/>
        </w:trPr>
        <w:tc>
          <w:tcPr>
            <w:tcW w:w="1518" w:type="dxa"/>
            <w:vMerge w:val="restart"/>
          </w:tcPr>
          <w:p>
            <w:pPr>
              <w:pStyle w:val="TableParagraph"/>
              <w:ind w:left="517"/>
              <w:rPr>
                <w:rFonts w:ascii="Microsoft JhengHei" w:eastAsia="Microsoft JhengHei" w:hint="eastAsia"/>
                <w:b/>
                <w:sz w:val="24"/>
              </w:rPr>
            </w:pPr>
            <w:r>
              <w:rPr>
                <w:rFonts w:ascii="Microsoft JhengHei" w:eastAsia="Microsoft JhengHei" w:hint="eastAsia"/>
                <w:b/>
                <w:sz w:val="24"/>
              </w:rPr>
              <w:t>选项</w:t>
            </w:r>
          </w:p>
        </w:tc>
        <w:tc>
          <w:tcPr>
            <w:tcW w:w="6346" w:type="dxa"/>
            <w:gridSpan w:val="4"/>
          </w:tcPr>
          <w:p>
            <w:pPr>
              <w:pStyle w:val="TableParagraph"/>
              <w:ind w:left="2794" w:right="2762"/>
              <w:jc w:val="center"/>
              <w:rPr>
                <w:rFonts w:ascii="Microsoft JhengHei" w:eastAsia="Microsoft JhengHei" w:hint="eastAsia"/>
                <w:b/>
                <w:sz w:val="24"/>
              </w:rPr>
            </w:pPr>
            <w:r>
              <w:rPr>
                <w:rFonts w:ascii="Microsoft JhengHei" w:eastAsia="Microsoft JhengHei" w:hint="eastAsia"/>
                <w:b/>
                <w:sz w:val="24"/>
              </w:rPr>
              <w:t>百分比</w:t>
            </w:r>
          </w:p>
        </w:tc>
      </w:tr>
      <w:tr>
        <w:trPr>
          <w:trHeight w:val="1403" w:hRule="atLeast"/>
        </w:trPr>
        <w:tc>
          <w:tcPr>
            <w:tcW w:w="1518" w:type="dxa"/>
            <w:vMerge/>
            <w:tcBorders>
              <w:top w:val="nil"/>
            </w:tcBorders>
          </w:tcPr>
          <w:p>
            <w:pPr>
              <w:rPr>
                <w:sz w:val="2"/>
                <w:szCs w:val="2"/>
              </w:rPr>
            </w:pPr>
          </w:p>
        </w:tc>
        <w:tc>
          <w:tcPr>
            <w:tcW w:w="1440" w:type="dxa"/>
          </w:tcPr>
          <w:p>
            <w:pPr>
              <w:pStyle w:val="TableParagraph"/>
              <w:spacing w:before="80"/>
              <w:ind w:right="75"/>
              <w:jc w:val="right"/>
              <w:rPr>
                <w:sz w:val="24"/>
              </w:rPr>
            </w:pPr>
            <w:r>
              <w:rPr>
                <w:sz w:val="24"/>
              </w:rPr>
              <w:t>你了解自己</w:t>
            </w:r>
          </w:p>
          <w:p>
            <w:pPr>
              <w:pStyle w:val="TableParagraph"/>
              <w:spacing w:before="161"/>
              <w:ind w:right="75"/>
              <w:jc w:val="right"/>
              <w:rPr>
                <w:sz w:val="24"/>
              </w:rPr>
            </w:pPr>
            <w:r>
              <w:rPr>
                <w:sz w:val="24"/>
              </w:rPr>
              <w:t>的能力</w:t>
            </w:r>
          </w:p>
        </w:tc>
        <w:tc>
          <w:tcPr>
            <w:tcW w:w="1395" w:type="dxa"/>
          </w:tcPr>
          <w:p>
            <w:pPr>
              <w:pStyle w:val="TableParagraph"/>
              <w:spacing w:line="364" w:lineRule="auto" w:before="80"/>
              <w:ind w:left="326" w:right="76"/>
              <w:rPr>
                <w:sz w:val="24"/>
              </w:rPr>
            </w:pPr>
            <w:r>
              <w:rPr>
                <w:sz w:val="24"/>
              </w:rPr>
              <w:t>你了解自己的个性</w:t>
            </w:r>
          </w:p>
        </w:tc>
        <w:tc>
          <w:tcPr>
            <w:tcW w:w="1252" w:type="dxa"/>
          </w:tcPr>
          <w:p>
            <w:pPr>
              <w:pStyle w:val="TableParagraph"/>
              <w:spacing w:line="364" w:lineRule="auto" w:before="80"/>
              <w:ind w:left="182" w:right="77"/>
              <w:jc w:val="right"/>
              <w:rPr>
                <w:sz w:val="24"/>
              </w:rPr>
            </w:pPr>
            <w:r>
              <w:rPr>
                <w:spacing w:val="-5"/>
                <w:sz w:val="24"/>
              </w:rPr>
              <w:t>你了解自己的兴趣</w:t>
            </w:r>
          </w:p>
          <w:p>
            <w:pPr>
              <w:pStyle w:val="TableParagraph"/>
              <w:spacing w:before="2"/>
              <w:ind w:right="77"/>
              <w:jc w:val="right"/>
              <w:rPr>
                <w:sz w:val="24"/>
              </w:rPr>
            </w:pPr>
            <w:r>
              <w:rPr>
                <w:sz w:val="24"/>
              </w:rPr>
              <w:t>爱好</w:t>
            </w:r>
          </w:p>
        </w:tc>
        <w:tc>
          <w:tcPr>
            <w:tcW w:w="2259" w:type="dxa"/>
          </w:tcPr>
          <w:p>
            <w:pPr>
              <w:pStyle w:val="TableParagraph"/>
              <w:spacing w:line="364" w:lineRule="auto" w:before="80"/>
              <w:ind w:left="106" w:right="-44" w:firstLine="124"/>
              <w:rPr>
                <w:sz w:val="24"/>
              </w:rPr>
            </w:pPr>
            <w:r>
              <w:rPr>
                <w:sz w:val="24"/>
              </w:rPr>
              <w:t>你了解自己将来想</w:t>
            </w:r>
            <w:r>
              <w:rPr>
                <w:spacing w:val="-2"/>
                <w:sz w:val="24"/>
              </w:rPr>
              <w:t>要成为什么样的人，</w:t>
            </w:r>
          </w:p>
          <w:p>
            <w:pPr>
              <w:pStyle w:val="TableParagraph"/>
              <w:spacing w:before="2"/>
              <w:ind w:left="470"/>
              <w:rPr>
                <w:sz w:val="24"/>
              </w:rPr>
            </w:pPr>
            <w:r>
              <w:rPr>
                <w:sz w:val="24"/>
              </w:rPr>
              <w:t>过什么样的生活</w:t>
            </w:r>
          </w:p>
        </w:tc>
      </w:tr>
      <w:tr>
        <w:trPr>
          <w:trHeight w:val="472" w:hRule="atLeast"/>
        </w:trPr>
        <w:tc>
          <w:tcPr>
            <w:tcW w:w="1518" w:type="dxa"/>
            <w:tcBorders>
              <w:bottom w:val="nil"/>
            </w:tcBorders>
          </w:tcPr>
          <w:p>
            <w:pPr>
              <w:pStyle w:val="TableParagraph"/>
              <w:spacing w:before="79"/>
              <w:ind w:left="107"/>
              <w:rPr>
                <w:sz w:val="24"/>
              </w:rPr>
            </w:pPr>
            <w:r>
              <w:rPr>
                <w:sz w:val="24"/>
              </w:rPr>
              <w:t>完全符合</w:t>
            </w:r>
          </w:p>
        </w:tc>
        <w:tc>
          <w:tcPr>
            <w:tcW w:w="1440" w:type="dxa"/>
            <w:tcBorders>
              <w:bottom w:val="nil"/>
            </w:tcBorders>
          </w:tcPr>
          <w:p>
            <w:pPr>
              <w:pStyle w:val="TableParagraph"/>
              <w:spacing w:before="95"/>
              <w:ind w:right="74"/>
              <w:jc w:val="right"/>
              <w:rPr>
                <w:rFonts w:ascii="Times New Roman"/>
                <w:sz w:val="24"/>
              </w:rPr>
            </w:pPr>
            <w:r>
              <w:rPr>
                <w:rFonts w:ascii="Times New Roman"/>
                <w:sz w:val="24"/>
              </w:rPr>
              <w:t>10.8%</w:t>
            </w:r>
          </w:p>
        </w:tc>
        <w:tc>
          <w:tcPr>
            <w:tcW w:w="1395" w:type="dxa"/>
            <w:tcBorders>
              <w:bottom w:val="nil"/>
            </w:tcBorders>
          </w:tcPr>
          <w:p>
            <w:pPr>
              <w:pStyle w:val="TableParagraph"/>
              <w:spacing w:before="95"/>
              <w:ind w:right="75"/>
              <w:jc w:val="right"/>
              <w:rPr>
                <w:rFonts w:ascii="Times New Roman"/>
                <w:sz w:val="24"/>
              </w:rPr>
            </w:pPr>
            <w:r>
              <w:rPr>
                <w:rFonts w:ascii="Times New Roman"/>
                <w:sz w:val="24"/>
              </w:rPr>
              <w:t>24.1%</w:t>
            </w:r>
          </w:p>
        </w:tc>
        <w:tc>
          <w:tcPr>
            <w:tcW w:w="1252" w:type="dxa"/>
            <w:tcBorders>
              <w:bottom w:val="nil"/>
            </w:tcBorders>
          </w:tcPr>
          <w:p>
            <w:pPr>
              <w:pStyle w:val="TableParagraph"/>
              <w:spacing w:before="95"/>
              <w:ind w:left="182" w:right="74"/>
              <w:jc w:val="right"/>
              <w:rPr>
                <w:rFonts w:ascii="Times New Roman"/>
                <w:sz w:val="24"/>
              </w:rPr>
            </w:pPr>
            <w:r>
              <w:rPr>
                <w:rFonts w:ascii="Times New Roman"/>
                <w:sz w:val="24"/>
              </w:rPr>
              <w:t>32.7%</w:t>
            </w:r>
          </w:p>
        </w:tc>
        <w:tc>
          <w:tcPr>
            <w:tcW w:w="2259" w:type="dxa"/>
            <w:tcBorders>
              <w:bottom w:val="nil"/>
            </w:tcBorders>
          </w:tcPr>
          <w:p>
            <w:pPr>
              <w:pStyle w:val="TableParagraph"/>
              <w:spacing w:before="95"/>
              <w:ind w:right="75"/>
              <w:jc w:val="right"/>
              <w:rPr>
                <w:rFonts w:ascii="Times New Roman"/>
                <w:sz w:val="24"/>
              </w:rPr>
            </w:pPr>
            <w:r>
              <w:rPr>
                <w:rFonts w:ascii="Times New Roman"/>
                <w:sz w:val="24"/>
              </w:rPr>
              <w:t>22.4%</w:t>
            </w:r>
          </w:p>
        </w:tc>
      </w:tr>
      <w:tr>
        <w:trPr>
          <w:trHeight w:val="468" w:hRule="atLeast"/>
        </w:trPr>
        <w:tc>
          <w:tcPr>
            <w:tcW w:w="1518" w:type="dxa"/>
            <w:tcBorders>
              <w:top w:val="nil"/>
              <w:bottom w:val="nil"/>
            </w:tcBorders>
          </w:tcPr>
          <w:p>
            <w:pPr>
              <w:pStyle w:val="TableParagraph"/>
              <w:spacing w:before="75"/>
              <w:ind w:left="107"/>
              <w:rPr>
                <w:sz w:val="24"/>
              </w:rPr>
            </w:pPr>
            <w:r>
              <w:rPr>
                <w:sz w:val="24"/>
              </w:rPr>
              <w:t>比较符合</w:t>
            </w:r>
          </w:p>
        </w:tc>
        <w:tc>
          <w:tcPr>
            <w:tcW w:w="1440" w:type="dxa"/>
            <w:tcBorders>
              <w:top w:val="nil"/>
              <w:bottom w:val="nil"/>
            </w:tcBorders>
          </w:tcPr>
          <w:p>
            <w:pPr>
              <w:pStyle w:val="TableParagraph"/>
              <w:spacing w:before="91"/>
              <w:ind w:right="74"/>
              <w:jc w:val="right"/>
              <w:rPr>
                <w:rFonts w:ascii="Times New Roman"/>
                <w:sz w:val="24"/>
              </w:rPr>
            </w:pPr>
            <w:r>
              <w:rPr>
                <w:rFonts w:ascii="Times New Roman"/>
                <w:sz w:val="24"/>
              </w:rPr>
              <w:t>53.6%</w:t>
            </w:r>
          </w:p>
        </w:tc>
        <w:tc>
          <w:tcPr>
            <w:tcW w:w="1395" w:type="dxa"/>
            <w:tcBorders>
              <w:top w:val="nil"/>
              <w:bottom w:val="nil"/>
            </w:tcBorders>
          </w:tcPr>
          <w:p>
            <w:pPr>
              <w:pStyle w:val="TableParagraph"/>
              <w:spacing w:before="91"/>
              <w:ind w:right="75"/>
              <w:jc w:val="right"/>
              <w:rPr>
                <w:rFonts w:ascii="Times New Roman"/>
                <w:sz w:val="24"/>
              </w:rPr>
            </w:pPr>
            <w:r>
              <w:rPr>
                <w:rFonts w:ascii="Times New Roman"/>
                <w:sz w:val="24"/>
              </w:rPr>
              <w:t>50.2%</w:t>
            </w:r>
          </w:p>
        </w:tc>
        <w:tc>
          <w:tcPr>
            <w:tcW w:w="1252" w:type="dxa"/>
            <w:tcBorders>
              <w:top w:val="nil"/>
              <w:bottom w:val="nil"/>
            </w:tcBorders>
          </w:tcPr>
          <w:p>
            <w:pPr>
              <w:pStyle w:val="TableParagraph"/>
              <w:spacing w:before="91"/>
              <w:ind w:left="182" w:right="74"/>
              <w:jc w:val="right"/>
              <w:rPr>
                <w:rFonts w:ascii="Times New Roman"/>
                <w:sz w:val="24"/>
              </w:rPr>
            </w:pPr>
            <w:r>
              <w:rPr>
                <w:rFonts w:ascii="Times New Roman"/>
                <w:sz w:val="24"/>
              </w:rPr>
              <w:t>49.0%</w:t>
            </w:r>
          </w:p>
        </w:tc>
        <w:tc>
          <w:tcPr>
            <w:tcW w:w="2259" w:type="dxa"/>
            <w:tcBorders>
              <w:top w:val="nil"/>
              <w:bottom w:val="nil"/>
            </w:tcBorders>
          </w:tcPr>
          <w:p>
            <w:pPr>
              <w:pStyle w:val="TableParagraph"/>
              <w:spacing w:before="91"/>
              <w:ind w:right="75"/>
              <w:jc w:val="right"/>
              <w:rPr>
                <w:rFonts w:ascii="Times New Roman"/>
                <w:sz w:val="24"/>
              </w:rPr>
            </w:pPr>
            <w:r>
              <w:rPr>
                <w:rFonts w:ascii="Times New Roman"/>
                <w:sz w:val="24"/>
              </w:rPr>
              <w:t>40.6%</w:t>
            </w:r>
          </w:p>
        </w:tc>
      </w:tr>
      <w:tr>
        <w:trPr>
          <w:trHeight w:val="467" w:hRule="atLeast"/>
        </w:trPr>
        <w:tc>
          <w:tcPr>
            <w:tcW w:w="1518" w:type="dxa"/>
            <w:tcBorders>
              <w:top w:val="nil"/>
              <w:bottom w:val="nil"/>
            </w:tcBorders>
          </w:tcPr>
          <w:p>
            <w:pPr>
              <w:pStyle w:val="TableParagraph"/>
              <w:spacing w:before="75"/>
              <w:ind w:left="107"/>
              <w:rPr>
                <w:sz w:val="24"/>
              </w:rPr>
            </w:pPr>
            <w:r>
              <w:rPr>
                <w:sz w:val="24"/>
              </w:rPr>
              <w:t>不太符合</w:t>
            </w:r>
          </w:p>
        </w:tc>
        <w:tc>
          <w:tcPr>
            <w:tcW w:w="1440" w:type="dxa"/>
            <w:tcBorders>
              <w:top w:val="nil"/>
              <w:bottom w:val="nil"/>
            </w:tcBorders>
          </w:tcPr>
          <w:p>
            <w:pPr>
              <w:pStyle w:val="TableParagraph"/>
              <w:spacing w:before="91"/>
              <w:ind w:right="74"/>
              <w:jc w:val="right"/>
              <w:rPr>
                <w:rFonts w:ascii="Times New Roman"/>
                <w:sz w:val="24"/>
              </w:rPr>
            </w:pPr>
            <w:r>
              <w:rPr>
                <w:rFonts w:ascii="Times New Roman"/>
                <w:sz w:val="24"/>
              </w:rPr>
              <w:t>30.4%</w:t>
            </w:r>
          </w:p>
        </w:tc>
        <w:tc>
          <w:tcPr>
            <w:tcW w:w="1395" w:type="dxa"/>
            <w:tcBorders>
              <w:top w:val="nil"/>
              <w:bottom w:val="nil"/>
            </w:tcBorders>
          </w:tcPr>
          <w:p>
            <w:pPr>
              <w:pStyle w:val="TableParagraph"/>
              <w:spacing w:before="91"/>
              <w:ind w:right="75"/>
              <w:jc w:val="right"/>
              <w:rPr>
                <w:rFonts w:ascii="Times New Roman"/>
                <w:sz w:val="24"/>
              </w:rPr>
            </w:pPr>
            <w:r>
              <w:rPr>
                <w:rFonts w:ascii="Times New Roman"/>
                <w:sz w:val="24"/>
              </w:rPr>
              <w:t>19.4%</w:t>
            </w:r>
          </w:p>
        </w:tc>
        <w:tc>
          <w:tcPr>
            <w:tcW w:w="1252" w:type="dxa"/>
            <w:tcBorders>
              <w:top w:val="nil"/>
              <w:bottom w:val="nil"/>
            </w:tcBorders>
          </w:tcPr>
          <w:p>
            <w:pPr>
              <w:pStyle w:val="TableParagraph"/>
              <w:spacing w:before="91"/>
              <w:ind w:left="182" w:right="74"/>
              <w:jc w:val="right"/>
              <w:rPr>
                <w:rFonts w:ascii="Times New Roman"/>
                <w:sz w:val="24"/>
              </w:rPr>
            </w:pPr>
            <w:r>
              <w:rPr>
                <w:rFonts w:ascii="Times New Roman"/>
                <w:sz w:val="24"/>
              </w:rPr>
              <w:t>13.4%</w:t>
            </w:r>
          </w:p>
        </w:tc>
        <w:tc>
          <w:tcPr>
            <w:tcW w:w="2259" w:type="dxa"/>
            <w:tcBorders>
              <w:top w:val="nil"/>
              <w:bottom w:val="nil"/>
            </w:tcBorders>
          </w:tcPr>
          <w:p>
            <w:pPr>
              <w:pStyle w:val="TableParagraph"/>
              <w:spacing w:before="91"/>
              <w:ind w:right="75"/>
              <w:jc w:val="right"/>
              <w:rPr>
                <w:rFonts w:ascii="Times New Roman"/>
                <w:sz w:val="24"/>
              </w:rPr>
            </w:pPr>
            <w:r>
              <w:rPr>
                <w:rFonts w:ascii="Times New Roman"/>
                <w:sz w:val="24"/>
              </w:rPr>
              <w:t>27.5%</w:t>
            </w:r>
          </w:p>
        </w:tc>
      </w:tr>
      <w:tr>
        <w:trPr>
          <w:trHeight w:val="463" w:hRule="atLeast"/>
        </w:trPr>
        <w:tc>
          <w:tcPr>
            <w:tcW w:w="1518" w:type="dxa"/>
            <w:tcBorders>
              <w:top w:val="nil"/>
            </w:tcBorders>
          </w:tcPr>
          <w:p>
            <w:pPr>
              <w:pStyle w:val="TableParagraph"/>
              <w:spacing w:before="75"/>
              <w:ind w:left="107"/>
              <w:rPr>
                <w:sz w:val="24"/>
              </w:rPr>
            </w:pPr>
            <w:r>
              <w:rPr>
                <w:sz w:val="24"/>
              </w:rPr>
              <w:t>完全不符</w:t>
            </w:r>
          </w:p>
        </w:tc>
        <w:tc>
          <w:tcPr>
            <w:tcW w:w="1440" w:type="dxa"/>
            <w:tcBorders>
              <w:top w:val="nil"/>
            </w:tcBorders>
          </w:tcPr>
          <w:p>
            <w:pPr>
              <w:pStyle w:val="TableParagraph"/>
              <w:spacing w:before="91"/>
              <w:ind w:right="74"/>
              <w:jc w:val="right"/>
              <w:rPr>
                <w:rFonts w:ascii="Times New Roman"/>
                <w:sz w:val="24"/>
              </w:rPr>
            </w:pPr>
            <w:r>
              <w:rPr>
                <w:rFonts w:ascii="Times New Roman"/>
                <w:sz w:val="24"/>
              </w:rPr>
              <w:t>15.1%</w:t>
            </w:r>
          </w:p>
        </w:tc>
        <w:tc>
          <w:tcPr>
            <w:tcW w:w="1395" w:type="dxa"/>
            <w:tcBorders>
              <w:top w:val="nil"/>
            </w:tcBorders>
          </w:tcPr>
          <w:p>
            <w:pPr>
              <w:pStyle w:val="TableParagraph"/>
              <w:spacing w:before="91"/>
              <w:ind w:right="75"/>
              <w:jc w:val="right"/>
              <w:rPr>
                <w:rFonts w:ascii="Times New Roman"/>
                <w:sz w:val="24"/>
              </w:rPr>
            </w:pPr>
            <w:r>
              <w:rPr>
                <w:rFonts w:ascii="Times New Roman"/>
                <w:sz w:val="24"/>
              </w:rPr>
              <w:t>6.3%</w:t>
            </w:r>
          </w:p>
        </w:tc>
        <w:tc>
          <w:tcPr>
            <w:tcW w:w="1252" w:type="dxa"/>
            <w:tcBorders>
              <w:top w:val="nil"/>
            </w:tcBorders>
          </w:tcPr>
          <w:p>
            <w:pPr>
              <w:pStyle w:val="TableParagraph"/>
              <w:spacing w:before="91"/>
              <w:ind w:left="182" w:right="74"/>
              <w:jc w:val="right"/>
              <w:rPr>
                <w:rFonts w:ascii="Times New Roman"/>
                <w:sz w:val="24"/>
              </w:rPr>
            </w:pPr>
            <w:r>
              <w:rPr>
                <w:rFonts w:ascii="Times New Roman"/>
                <w:sz w:val="24"/>
              </w:rPr>
              <w:t>4.9%</w:t>
            </w:r>
          </w:p>
        </w:tc>
        <w:tc>
          <w:tcPr>
            <w:tcW w:w="2259" w:type="dxa"/>
            <w:tcBorders>
              <w:top w:val="nil"/>
            </w:tcBorders>
          </w:tcPr>
          <w:p>
            <w:pPr>
              <w:pStyle w:val="TableParagraph"/>
              <w:spacing w:before="91"/>
              <w:ind w:right="75"/>
              <w:jc w:val="right"/>
              <w:rPr>
                <w:rFonts w:ascii="Times New Roman"/>
                <w:sz w:val="24"/>
              </w:rPr>
            </w:pPr>
            <w:r>
              <w:rPr>
                <w:rFonts w:ascii="Times New Roman"/>
                <w:sz w:val="24"/>
              </w:rPr>
              <w:t>10.6%</w:t>
            </w:r>
          </w:p>
        </w:tc>
      </w:tr>
    </w:tbl>
    <w:p>
      <w:pPr>
        <w:pStyle w:val="BodyText"/>
        <w:rPr>
          <w:sz w:val="26"/>
        </w:rPr>
      </w:pPr>
    </w:p>
    <w:p>
      <w:pPr>
        <w:pStyle w:val="BodyText"/>
        <w:spacing w:line="364" w:lineRule="auto" w:before="216"/>
        <w:ind w:left="1319" w:right="1524" w:firstLine="480"/>
        <w:jc w:val="both"/>
      </w:pPr>
      <w:r>
        <w:rPr>
          <w:spacing w:val="-20"/>
        </w:rPr>
        <w:t>从表 </w:t>
      </w:r>
      <w:r>
        <w:rPr>
          <w:rFonts w:ascii="Times New Roman" w:eastAsia="Times New Roman"/>
        </w:rPr>
        <w:t>3.3 </w:t>
      </w:r>
      <w:r>
        <w:rPr>
          <w:spacing w:val="-3"/>
        </w:rPr>
        <w:t>来看，高中生对于自我能力的认知相对较差，只有 </w:t>
      </w:r>
      <w:r>
        <w:rPr>
          <w:rFonts w:ascii="Times New Roman" w:eastAsia="Times New Roman"/>
        </w:rPr>
        <w:t>10.8%</w:t>
      </w:r>
      <w:r>
        <w:rPr/>
        <w:t>的学生表</w:t>
      </w:r>
      <w:r>
        <w:rPr>
          <w:spacing w:val="-4"/>
        </w:rPr>
        <w:t>示完全了解自己的能力特征，另有 </w:t>
      </w:r>
      <w:r>
        <w:rPr>
          <w:rFonts w:ascii="Times New Roman" w:eastAsia="Times New Roman"/>
        </w:rPr>
        <w:t>30.4%</w:t>
      </w:r>
      <w:r>
        <w:rPr>
          <w:spacing w:val="-1"/>
        </w:rPr>
        <w:t>的学生表示对自己的能力不是很了解， </w:t>
      </w:r>
      <w:r>
        <w:rPr>
          <w:spacing w:val="-21"/>
        </w:rPr>
        <w:t>还有 </w:t>
      </w:r>
      <w:r>
        <w:rPr>
          <w:rFonts w:ascii="Times New Roman" w:eastAsia="Times New Roman"/>
        </w:rPr>
        <w:t>15.1%</w:t>
      </w:r>
      <w:r>
        <w:rPr>
          <w:spacing w:val="-4"/>
        </w:rPr>
        <w:t>的学生认为自己完全不了解自己的能力。此外，学生对于未来生活的</w:t>
      </w:r>
    </w:p>
    <w:p>
      <w:pPr>
        <w:spacing w:after="0" w:line="364" w:lineRule="auto"/>
        <w:jc w:val="both"/>
        <w:sectPr>
          <w:pgSz w:w="11910" w:h="16840"/>
          <w:pgMar w:header="878" w:footer="1191" w:top="1300" w:bottom="1380" w:left="480" w:right="220"/>
        </w:sectPr>
      </w:pPr>
    </w:p>
    <w:p>
      <w:pPr>
        <w:pStyle w:val="BodyText"/>
        <w:spacing w:before="8"/>
        <w:rPr>
          <w:sz w:val="10"/>
        </w:rPr>
      </w:pPr>
    </w:p>
    <w:p>
      <w:pPr>
        <w:pStyle w:val="BodyText"/>
        <w:spacing w:line="364" w:lineRule="auto" w:before="74"/>
        <w:ind w:left="1320" w:right="1524"/>
        <w:jc w:val="both"/>
      </w:pPr>
      <w:r>
        <w:rPr>
          <w:spacing w:val="-5"/>
        </w:rPr>
        <w:t>认知情况也不太理想，共计 </w:t>
      </w:r>
      <w:r>
        <w:rPr>
          <w:rFonts w:ascii="Times New Roman" w:hAnsi="Times New Roman" w:eastAsia="Times New Roman"/>
        </w:rPr>
        <w:t>38.1%</w:t>
      </w:r>
      <w:r>
        <w:rPr>
          <w:spacing w:val="-2"/>
        </w:rPr>
        <w:t>的学生选择了“不太符合”和“完全不符”， </w:t>
      </w:r>
      <w:r>
        <w:rPr/>
        <w:t>也就是说，他们还不知道未来想要成为什么样的人，过上怎么样的生活。</w:t>
      </w:r>
    </w:p>
    <w:p>
      <w:pPr>
        <w:pStyle w:val="BodyText"/>
        <w:spacing w:line="364" w:lineRule="auto" w:before="1"/>
        <w:ind w:left="1320" w:right="1577" w:firstLine="480"/>
        <w:jc w:val="both"/>
      </w:pPr>
      <w:r>
        <w:rPr>
          <w:spacing w:val="-10"/>
        </w:rPr>
        <w:t>其实，正是因为学生缺乏自我认知能力，不清楚自己具备哪些能力，导致了</w:t>
      </w:r>
      <w:r>
        <w:rPr>
          <w:spacing w:val="-6"/>
        </w:rPr>
        <w:t>学生难以想象自己未来的工作和生活。相比之下，学生对自我兴趣爱好及个性的</w:t>
      </w:r>
      <w:r>
        <w:rPr>
          <w:spacing w:val="-8"/>
        </w:rPr>
        <w:t>认知情况较为良好，大部分学生都表示对自己的个性、兴趣爱好比较了解，但仍</w:t>
      </w:r>
      <w:r>
        <w:rPr>
          <w:spacing w:val="-16"/>
        </w:rPr>
        <w:t>有超过 </w:t>
      </w:r>
      <w:r>
        <w:rPr>
          <w:rFonts w:ascii="Times New Roman" w:eastAsia="Times New Roman"/>
        </w:rPr>
        <w:t>20%</w:t>
      </w:r>
      <w:r>
        <w:rPr/>
        <w:t>的学生表示不甚了解自己的个性特征。</w:t>
      </w:r>
    </w:p>
    <w:p>
      <w:pPr>
        <w:pStyle w:val="BodyText"/>
        <w:spacing w:before="9"/>
        <w:rPr>
          <w:sz w:val="19"/>
        </w:rPr>
      </w:pPr>
    </w:p>
    <w:p>
      <w:pPr>
        <w:pStyle w:val="BodyText"/>
        <w:spacing w:before="76"/>
        <w:ind w:left="848" w:right="525"/>
        <w:jc w:val="center"/>
      </w:pPr>
      <w:r>
        <w:rPr/>
        <w:t>表 </w:t>
      </w:r>
      <w:r>
        <w:rPr>
          <w:rFonts w:ascii="Times New Roman" w:eastAsia="Times New Roman"/>
        </w:rPr>
        <w:t>3.4 </w:t>
      </w:r>
      <w:r>
        <w:rPr/>
        <w:t>普通高中学生个人能力情况调查</w:t>
      </w:r>
    </w:p>
    <w:p>
      <w:pPr>
        <w:pStyle w:val="BodyText"/>
        <w:spacing w:before="4"/>
        <w:rPr>
          <w:sz w:val="17"/>
        </w:rPr>
      </w:pPr>
    </w:p>
    <w:tbl>
      <w:tblPr>
        <w:tblW w:w="0" w:type="auto"/>
        <w:jc w:val="left"/>
        <w:tblInd w:w="2533"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440"/>
        <w:gridCol w:w="1514"/>
        <w:gridCol w:w="1854"/>
        <w:gridCol w:w="1620"/>
      </w:tblGrid>
      <w:tr>
        <w:trPr>
          <w:trHeight w:val="468" w:hRule="atLeast"/>
        </w:trPr>
        <w:tc>
          <w:tcPr>
            <w:tcW w:w="1440" w:type="dxa"/>
            <w:vMerge w:val="restart"/>
          </w:tcPr>
          <w:p>
            <w:pPr>
              <w:pStyle w:val="TableParagraph"/>
              <w:rPr>
                <w:sz w:val="24"/>
              </w:rPr>
            </w:pPr>
          </w:p>
          <w:p>
            <w:pPr>
              <w:pStyle w:val="TableParagraph"/>
              <w:spacing w:before="163"/>
              <w:ind w:left="478"/>
              <w:rPr>
                <w:rFonts w:ascii="Microsoft JhengHei" w:eastAsia="Microsoft JhengHei" w:hint="eastAsia"/>
                <w:b/>
                <w:sz w:val="24"/>
              </w:rPr>
            </w:pPr>
            <w:r>
              <w:rPr>
                <w:rFonts w:ascii="Microsoft JhengHei" w:eastAsia="Microsoft JhengHei" w:hint="eastAsia"/>
                <w:b/>
                <w:sz w:val="24"/>
              </w:rPr>
              <w:t>选项</w:t>
            </w:r>
          </w:p>
        </w:tc>
        <w:tc>
          <w:tcPr>
            <w:tcW w:w="4988" w:type="dxa"/>
            <w:gridSpan w:val="3"/>
          </w:tcPr>
          <w:p>
            <w:pPr>
              <w:pStyle w:val="TableParagraph"/>
              <w:spacing w:before="2"/>
              <w:ind w:left="2113" w:right="2084"/>
              <w:jc w:val="center"/>
              <w:rPr>
                <w:rFonts w:ascii="Microsoft JhengHei" w:eastAsia="Microsoft JhengHei" w:hint="eastAsia"/>
                <w:b/>
                <w:sz w:val="24"/>
              </w:rPr>
            </w:pPr>
            <w:r>
              <w:rPr>
                <w:rFonts w:ascii="Microsoft JhengHei" w:eastAsia="Microsoft JhengHei" w:hint="eastAsia"/>
                <w:b/>
                <w:sz w:val="24"/>
              </w:rPr>
              <w:t>百分比</w:t>
            </w:r>
          </w:p>
        </w:tc>
      </w:tr>
      <w:tr>
        <w:trPr>
          <w:trHeight w:val="935" w:hRule="atLeast"/>
        </w:trPr>
        <w:tc>
          <w:tcPr>
            <w:tcW w:w="1440" w:type="dxa"/>
            <w:vMerge/>
            <w:tcBorders>
              <w:top w:val="nil"/>
            </w:tcBorders>
          </w:tcPr>
          <w:p>
            <w:pPr>
              <w:rPr>
                <w:sz w:val="2"/>
                <w:szCs w:val="2"/>
              </w:rPr>
            </w:pPr>
          </w:p>
        </w:tc>
        <w:tc>
          <w:tcPr>
            <w:tcW w:w="1514" w:type="dxa"/>
          </w:tcPr>
          <w:p>
            <w:pPr>
              <w:pStyle w:val="TableParagraph"/>
              <w:spacing w:before="80"/>
              <w:ind w:right="76"/>
              <w:jc w:val="right"/>
              <w:rPr>
                <w:sz w:val="24"/>
              </w:rPr>
            </w:pPr>
            <w:r>
              <w:rPr>
                <w:sz w:val="24"/>
              </w:rPr>
              <w:t>你能处理好</w:t>
            </w:r>
          </w:p>
          <w:p>
            <w:pPr>
              <w:pStyle w:val="TableParagraph"/>
              <w:spacing w:before="161"/>
              <w:ind w:right="76"/>
              <w:jc w:val="right"/>
              <w:rPr>
                <w:sz w:val="24"/>
              </w:rPr>
            </w:pPr>
            <w:r>
              <w:rPr>
                <w:sz w:val="24"/>
              </w:rPr>
              <w:t>人际关系</w:t>
            </w:r>
          </w:p>
        </w:tc>
        <w:tc>
          <w:tcPr>
            <w:tcW w:w="1854" w:type="dxa"/>
          </w:tcPr>
          <w:p>
            <w:pPr>
              <w:pStyle w:val="TableParagraph"/>
              <w:spacing w:before="80"/>
              <w:ind w:left="304"/>
              <w:rPr>
                <w:sz w:val="24"/>
              </w:rPr>
            </w:pPr>
            <w:r>
              <w:rPr>
                <w:sz w:val="24"/>
              </w:rPr>
              <w:t>你能应对学习</w:t>
            </w:r>
          </w:p>
          <w:p>
            <w:pPr>
              <w:pStyle w:val="TableParagraph"/>
              <w:spacing w:before="161"/>
              <w:ind w:left="304"/>
              <w:rPr>
                <w:sz w:val="24"/>
              </w:rPr>
            </w:pPr>
            <w:r>
              <w:rPr>
                <w:sz w:val="24"/>
              </w:rPr>
              <w:t>和生活的压力</w:t>
            </w:r>
          </w:p>
        </w:tc>
        <w:tc>
          <w:tcPr>
            <w:tcW w:w="1620" w:type="dxa"/>
          </w:tcPr>
          <w:p>
            <w:pPr>
              <w:pStyle w:val="TableParagraph"/>
              <w:spacing w:before="80"/>
              <w:ind w:right="77"/>
              <w:jc w:val="right"/>
              <w:rPr>
                <w:sz w:val="24"/>
              </w:rPr>
            </w:pPr>
            <w:r>
              <w:rPr>
                <w:sz w:val="24"/>
              </w:rPr>
              <w:t>你能合理分</w:t>
            </w:r>
          </w:p>
          <w:p>
            <w:pPr>
              <w:pStyle w:val="TableParagraph"/>
              <w:spacing w:before="161"/>
              <w:ind w:right="77"/>
              <w:jc w:val="right"/>
              <w:rPr>
                <w:sz w:val="24"/>
              </w:rPr>
            </w:pPr>
            <w:r>
              <w:rPr>
                <w:sz w:val="24"/>
              </w:rPr>
              <w:t>配时间</w:t>
            </w:r>
          </w:p>
        </w:tc>
      </w:tr>
      <w:tr>
        <w:trPr>
          <w:trHeight w:val="472" w:hRule="atLeast"/>
        </w:trPr>
        <w:tc>
          <w:tcPr>
            <w:tcW w:w="1440" w:type="dxa"/>
            <w:tcBorders>
              <w:bottom w:val="nil"/>
            </w:tcBorders>
          </w:tcPr>
          <w:p>
            <w:pPr>
              <w:pStyle w:val="TableParagraph"/>
              <w:spacing w:before="82"/>
              <w:ind w:left="106"/>
              <w:rPr>
                <w:sz w:val="24"/>
              </w:rPr>
            </w:pPr>
            <w:r>
              <w:rPr>
                <w:sz w:val="24"/>
              </w:rPr>
              <w:t>完全符合</w:t>
            </w:r>
          </w:p>
        </w:tc>
        <w:tc>
          <w:tcPr>
            <w:tcW w:w="1514" w:type="dxa"/>
            <w:tcBorders>
              <w:bottom w:val="nil"/>
            </w:tcBorders>
          </w:tcPr>
          <w:p>
            <w:pPr>
              <w:pStyle w:val="TableParagraph"/>
              <w:spacing w:before="95"/>
              <w:ind w:right="75"/>
              <w:jc w:val="right"/>
              <w:rPr>
                <w:rFonts w:ascii="Times New Roman"/>
                <w:sz w:val="24"/>
              </w:rPr>
            </w:pPr>
            <w:r>
              <w:rPr>
                <w:rFonts w:ascii="Times New Roman"/>
                <w:sz w:val="24"/>
              </w:rPr>
              <w:t>10.4%</w:t>
            </w:r>
          </w:p>
        </w:tc>
        <w:tc>
          <w:tcPr>
            <w:tcW w:w="1854" w:type="dxa"/>
            <w:tcBorders>
              <w:bottom w:val="nil"/>
            </w:tcBorders>
          </w:tcPr>
          <w:p>
            <w:pPr>
              <w:pStyle w:val="TableParagraph"/>
              <w:spacing w:before="95"/>
              <w:ind w:right="74"/>
              <w:jc w:val="right"/>
              <w:rPr>
                <w:rFonts w:ascii="Times New Roman"/>
                <w:sz w:val="24"/>
              </w:rPr>
            </w:pPr>
            <w:r>
              <w:rPr>
                <w:rFonts w:ascii="Times New Roman"/>
                <w:sz w:val="24"/>
              </w:rPr>
              <w:t>11.1%</w:t>
            </w:r>
          </w:p>
        </w:tc>
        <w:tc>
          <w:tcPr>
            <w:tcW w:w="1620" w:type="dxa"/>
            <w:tcBorders>
              <w:bottom w:val="nil"/>
            </w:tcBorders>
          </w:tcPr>
          <w:p>
            <w:pPr>
              <w:pStyle w:val="TableParagraph"/>
              <w:spacing w:before="95"/>
              <w:ind w:right="74"/>
              <w:jc w:val="right"/>
              <w:rPr>
                <w:rFonts w:ascii="Times New Roman"/>
                <w:sz w:val="24"/>
              </w:rPr>
            </w:pPr>
            <w:r>
              <w:rPr>
                <w:rFonts w:ascii="Times New Roman"/>
                <w:sz w:val="24"/>
              </w:rPr>
              <w:t>7.2%</w:t>
            </w:r>
          </w:p>
        </w:tc>
      </w:tr>
      <w:tr>
        <w:trPr>
          <w:trHeight w:val="467" w:hRule="atLeast"/>
        </w:trPr>
        <w:tc>
          <w:tcPr>
            <w:tcW w:w="1440" w:type="dxa"/>
            <w:tcBorders>
              <w:top w:val="nil"/>
              <w:bottom w:val="nil"/>
            </w:tcBorders>
          </w:tcPr>
          <w:p>
            <w:pPr>
              <w:pStyle w:val="TableParagraph"/>
              <w:spacing w:before="77"/>
              <w:ind w:left="106"/>
              <w:rPr>
                <w:sz w:val="24"/>
              </w:rPr>
            </w:pPr>
            <w:r>
              <w:rPr>
                <w:sz w:val="24"/>
              </w:rPr>
              <w:t>比较符合</w:t>
            </w:r>
          </w:p>
        </w:tc>
        <w:tc>
          <w:tcPr>
            <w:tcW w:w="1514" w:type="dxa"/>
            <w:tcBorders>
              <w:top w:val="nil"/>
              <w:bottom w:val="nil"/>
            </w:tcBorders>
          </w:tcPr>
          <w:p>
            <w:pPr>
              <w:pStyle w:val="TableParagraph"/>
              <w:spacing w:before="91"/>
              <w:ind w:right="75"/>
              <w:jc w:val="right"/>
              <w:rPr>
                <w:rFonts w:ascii="Times New Roman"/>
                <w:sz w:val="24"/>
              </w:rPr>
            </w:pPr>
            <w:r>
              <w:rPr>
                <w:rFonts w:ascii="Times New Roman"/>
                <w:sz w:val="24"/>
              </w:rPr>
              <w:t>42.2%</w:t>
            </w:r>
          </w:p>
        </w:tc>
        <w:tc>
          <w:tcPr>
            <w:tcW w:w="1854" w:type="dxa"/>
            <w:tcBorders>
              <w:top w:val="nil"/>
              <w:bottom w:val="nil"/>
            </w:tcBorders>
          </w:tcPr>
          <w:p>
            <w:pPr>
              <w:pStyle w:val="TableParagraph"/>
              <w:spacing w:before="91"/>
              <w:ind w:right="74"/>
              <w:jc w:val="right"/>
              <w:rPr>
                <w:rFonts w:ascii="Times New Roman"/>
                <w:sz w:val="24"/>
              </w:rPr>
            </w:pPr>
            <w:r>
              <w:rPr>
                <w:rFonts w:ascii="Times New Roman"/>
                <w:sz w:val="24"/>
              </w:rPr>
              <w:t>44.2%</w:t>
            </w:r>
          </w:p>
        </w:tc>
        <w:tc>
          <w:tcPr>
            <w:tcW w:w="1620" w:type="dxa"/>
            <w:tcBorders>
              <w:top w:val="nil"/>
              <w:bottom w:val="nil"/>
            </w:tcBorders>
          </w:tcPr>
          <w:p>
            <w:pPr>
              <w:pStyle w:val="TableParagraph"/>
              <w:spacing w:before="91"/>
              <w:ind w:right="74"/>
              <w:jc w:val="right"/>
              <w:rPr>
                <w:rFonts w:ascii="Times New Roman"/>
                <w:sz w:val="24"/>
              </w:rPr>
            </w:pPr>
            <w:r>
              <w:rPr>
                <w:rFonts w:ascii="Times New Roman"/>
                <w:sz w:val="24"/>
              </w:rPr>
              <w:t>37.0%</w:t>
            </w:r>
          </w:p>
        </w:tc>
      </w:tr>
      <w:tr>
        <w:trPr>
          <w:trHeight w:val="467" w:hRule="atLeast"/>
        </w:trPr>
        <w:tc>
          <w:tcPr>
            <w:tcW w:w="1440" w:type="dxa"/>
            <w:tcBorders>
              <w:top w:val="nil"/>
              <w:bottom w:val="nil"/>
            </w:tcBorders>
          </w:tcPr>
          <w:p>
            <w:pPr>
              <w:pStyle w:val="TableParagraph"/>
              <w:spacing w:before="77"/>
              <w:ind w:left="106"/>
              <w:rPr>
                <w:sz w:val="24"/>
              </w:rPr>
            </w:pPr>
            <w:r>
              <w:rPr>
                <w:sz w:val="24"/>
              </w:rPr>
              <w:t>不太符合</w:t>
            </w:r>
          </w:p>
        </w:tc>
        <w:tc>
          <w:tcPr>
            <w:tcW w:w="1514" w:type="dxa"/>
            <w:tcBorders>
              <w:top w:val="nil"/>
              <w:bottom w:val="nil"/>
            </w:tcBorders>
          </w:tcPr>
          <w:p>
            <w:pPr>
              <w:pStyle w:val="TableParagraph"/>
              <w:spacing w:before="91"/>
              <w:ind w:right="75"/>
              <w:jc w:val="right"/>
              <w:rPr>
                <w:rFonts w:ascii="Times New Roman"/>
                <w:sz w:val="24"/>
              </w:rPr>
            </w:pPr>
            <w:r>
              <w:rPr>
                <w:rFonts w:ascii="Times New Roman"/>
                <w:sz w:val="24"/>
              </w:rPr>
              <w:t>38.8%</w:t>
            </w:r>
          </w:p>
        </w:tc>
        <w:tc>
          <w:tcPr>
            <w:tcW w:w="1854" w:type="dxa"/>
            <w:tcBorders>
              <w:top w:val="nil"/>
              <w:bottom w:val="nil"/>
            </w:tcBorders>
          </w:tcPr>
          <w:p>
            <w:pPr>
              <w:pStyle w:val="TableParagraph"/>
              <w:spacing w:before="91"/>
              <w:ind w:right="74"/>
              <w:jc w:val="right"/>
              <w:rPr>
                <w:rFonts w:ascii="Times New Roman"/>
                <w:sz w:val="24"/>
              </w:rPr>
            </w:pPr>
            <w:r>
              <w:rPr>
                <w:rFonts w:ascii="Times New Roman"/>
                <w:sz w:val="24"/>
              </w:rPr>
              <w:t>34.9%</w:t>
            </w:r>
          </w:p>
        </w:tc>
        <w:tc>
          <w:tcPr>
            <w:tcW w:w="1620" w:type="dxa"/>
            <w:tcBorders>
              <w:top w:val="nil"/>
              <w:bottom w:val="nil"/>
            </w:tcBorders>
          </w:tcPr>
          <w:p>
            <w:pPr>
              <w:pStyle w:val="TableParagraph"/>
              <w:spacing w:before="91"/>
              <w:ind w:right="74"/>
              <w:jc w:val="right"/>
              <w:rPr>
                <w:rFonts w:ascii="Times New Roman"/>
                <w:sz w:val="24"/>
              </w:rPr>
            </w:pPr>
            <w:r>
              <w:rPr>
                <w:rFonts w:ascii="Times New Roman"/>
                <w:sz w:val="24"/>
              </w:rPr>
              <w:t>49.6%</w:t>
            </w:r>
          </w:p>
        </w:tc>
      </w:tr>
      <w:tr>
        <w:trPr>
          <w:trHeight w:val="463" w:hRule="atLeast"/>
        </w:trPr>
        <w:tc>
          <w:tcPr>
            <w:tcW w:w="1440" w:type="dxa"/>
            <w:tcBorders>
              <w:top w:val="nil"/>
            </w:tcBorders>
          </w:tcPr>
          <w:p>
            <w:pPr>
              <w:pStyle w:val="TableParagraph"/>
              <w:spacing w:before="77"/>
              <w:ind w:left="106"/>
              <w:rPr>
                <w:sz w:val="24"/>
              </w:rPr>
            </w:pPr>
            <w:r>
              <w:rPr>
                <w:sz w:val="24"/>
              </w:rPr>
              <w:t>完全不符</w:t>
            </w:r>
          </w:p>
        </w:tc>
        <w:tc>
          <w:tcPr>
            <w:tcW w:w="1514" w:type="dxa"/>
            <w:tcBorders>
              <w:top w:val="nil"/>
            </w:tcBorders>
          </w:tcPr>
          <w:p>
            <w:pPr>
              <w:pStyle w:val="TableParagraph"/>
              <w:spacing w:before="91"/>
              <w:ind w:right="75"/>
              <w:jc w:val="right"/>
              <w:rPr>
                <w:rFonts w:ascii="Times New Roman"/>
                <w:sz w:val="24"/>
              </w:rPr>
            </w:pPr>
            <w:r>
              <w:rPr>
                <w:rFonts w:ascii="Times New Roman"/>
                <w:sz w:val="24"/>
              </w:rPr>
              <w:t>8.6%</w:t>
            </w:r>
          </w:p>
        </w:tc>
        <w:tc>
          <w:tcPr>
            <w:tcW w:w="1854" w:type="dxa"/>
            <w:tcBorders>
              <w:top w:val="nil"/>
            </w:tcBorders>
          </w:tcPr>
          <w:p>
            <w:pPr>
              <w:pStyle w:val="TableParagraph"/>
              <w:spacing w:before="91"/>
              <w:ind w:right="74"/>
              <w:jc w:val="right"/>
              <w:rPr>
                <w:rFonts w:ascii="Times New Roman"/>
                <w:sz w:val="24"/>
              </w:rPr>
            </w:pPr>
            <w:r>
              <w:rPr>
                <w:rFonts w:ascii="Times New Roman"/>
                <w:sz w:val="24"/>
              </w:rPr>
              <w:t>8.8%</w:t>
            </w:r>
          </w:p>
        </w:tc>
        <w:tc>
          <w:tcPr>
            <w:tcW w:w="1620" w:type="dxa"/>
            <w:tcBorders>
              <w:top w:val="nil"/>
            </w:tcBorders>
          </w:tcPr>
          <w:p>
            <w:pPr>
              <w:pStyle w:val="TableParagraph"/>
              <w:spacing w:before="91"/>
              <w:ind w:right="74"/>
              <w:jc w:val="right"/>
              <w:rPr>
                <w:rFonts w:ascii="Times New Roman"/>
                <w:sz w:val="24"/>
              </w:rPr>
            </w:pPr>
            <w:r>
              <w:rPr>
                <w:rFonts w:ascii="Times New Roman"/>
                <w:sz w:val="24"/>
              </w:rPr>
              <w:t>6.2%</w:t>
            </w:r>
          </w:p>
        </w:tc>
      </w:tr>
    </w:tbl>
    <w:p>
      <w:pPr>
        <w:pStyle w:val="BodyText"/>
        <w:rPr>
          <w:sz w:val="26"/>
        </w:rPr>
      </w:pPr>
    </w:p>
    <w:p>
      <w:pPr>
        <w:pStyle w:val="BodyText"/>
        <w:spacing w:line="364" w:lineRule="auto" w:before="216"/>
        <w:ind w:left="1320" w:right="1577" w:firstLine="480"/>
        <w:jc w:val="both"/>
      </w:pPr>
      <w:r>
        <w:rPr>
          <w:spacing w:val="-8"/>
        </w:rPr>
        <w:t>未来社会是千变万化的，学生进入社会后会遇到形形色色的人，这需要学生</w:t>
      </w:r>
      <w:r>
        <w:rPr>
          <w:spacing w:val="-9"/>
        </w:rPr>
        <w:t>学会与他人交往、相处。因此，良好的人际关系显得十分重要。个体在实现目标</w:t>
      </w:r>
      <w:r>
        <w:rPr>
          <w:spacing w:val="-8"/>
        </w:rPr>
        <w:t>的过程中遇到压力时，如何排解这些压力，从而将压力转化为动力，使其促进个</w:t>
      </w:r>
      <w:r>
        <w:rPr>
          <w:spacing w:val="-9"/>
        </w:rPr>
        <w:t>体的成长也十分重要。人的一生是有限的，如何在有限的时间内统筹分配时间以</w:t>
      </w:r>
      <w:r>
        <w:rPr/>
        <w:t>实现生涯目标，这也是生涯规划教育的基本内容之一。</w:t>
      </w:r>
    </w:p>
    <w:p>
      <w:pPr>
        <w:pStyle w:val="BodyText"/>
        <w:spacing w:line="364" w:lineRule="auto" w:before="3"/>
        <w:ind w:left="1320" w:right="1577" w:firstLine="480"/>
        <w:jc w:val="both"/>
      </w:pPr>
      <w:r>
        <w:rPr>
          <w:spacing w:val="-20"/>
        </w:rPr>
        <w:t>如表 </w:t>
      </w:r>
      <w:r>
        <w:rPr>
          <w:rFonts w:ascii="Times New Roman" w:eastAsia="Times New Roman"/>
        </w:rPr>
        <w:t>3.4 </w:t>
      </w:r>
      <w:r>
        <w:rPr>
          <w:spacing w:val="-7"/>
        </w:rPr>
        <w:t>所示，在人际交往方面，虽然超过半数的学生认为自己能够处理好</w:t>
      </w:r>
      <w:r>
        <w:rPr>
          <w:spacing w:val="-10"/>
        </w:rPr>
        <w:t>与同学、朋友之间的人际关系，但我们不能忽视有 </w:t>
      </w:r>
      <w:r>
        <w:rPr>
          <w:rFonts w:ascii="Times New Roman" w:eastAsia="Times New Roman"/>
        </w:rPr>
        <w:t>38.3%</w:t>
      </w:r>
      <w:r>
        <w:rPr>
          <w:spacing w:val="-2"/>
        </w:rPr>
        <w:t>的学生也不太能够处理好人际关系，还有 </w:t>
      </w:r>
      <w:r>
        <w:rPr>
          <w:rFonts w:ascii="Times New Roman" w:eastAsia="Times New Roman"/>
        </w:rPr>
        <w:t>8.6%</w:t>
      </w:r>
      <w:r>
        <w:rPr/>
        <w:t>的学生在处理人际关系上可能存在困惑，学生的压力管</w:t>
      </w:r>
      <w:r>
        <w:rPr>
          <w:spacing w:val="-9"/>
        </w:rPr>
        <w:t>理能力相对较好，但完全能够处理各种压力的人不多，大部分学生都处于中等水</w:t>
      </w:r>
      <w:r>
        <w:rPr>
          <w:spacing w:val="-11"/>
        </w:rPr>
        <w:t>平。相较之下，超过半数的高中生缺乏时间管理的能力，认为自己完全能够合理</w:t>
      </w:r>
      <w:r>
        <w:rPr>
          <w:spacing w:val="-5"/>
        </w:rPr>
        <w:t>分配时间的学生比例也低于 </w:t>
      </w:r>
      <w:r>
        <w:rPr>
          <w:rFonts w:ascii="Times New Roman" w:eastAsia="Times New Roman"/>
        </w:rPr>
        <w:t>10%</w:t>
      </w:r>
      <w:r>
        <w:rPr>
          <w:spacing w:val="-13"/>
        </w:rPr>
        <w:t>。可见，普通高中学生的个人能力在时间管理上</w:t>
      </w:r>
      <w:r>
        <w:rPr/>
        <w:t>比较欠缺，在人际交往、压力管理方面也并不乐观。</w:t>
      </w:r>
    </w:p>
    <w:p>
      <w:pPr>
        <w:pStyle w:val="ListParagraph"/>
        <w:numPr>
          <w:ilvl w:val="3"/>
          <w:numId w:val="42"/>
        </w:numPr>
        <w:tabs>
          <w:tab w:pos="2100" w:val="left" w:leader="none"/>
        </w:tabs>
        <w:spacing w:line="240" w:lineRule="auto" w:before="4" w:after="0"/>
        <w:ind w:left="2100" w:right="0" w:hanging="780"/>
        <w:jc w:val="both"/>
        <w:rPr>
          <w:sz w:val="24"/>
        </w:rPr>
      </w:pPr>
      <w:r>
        <w:rPr>
          <w:sz w:val="24"/>
        </w:rPr>
        <w:t>普通高中学生生涯认知情况令人堪忧</w:t>
      </w:r>
    </w:p>
    <w:p>
      <w:pPr>
        <w:spacing w:after="0" w:line="240" w:lineRule="auto"/>
        <w:jc w:val="both"/>
        <w:rPr>
          <w:sz w:val="24"/>
        </w:rPr>
        <w:sectPr>
          <w:pgSz w:w="11910" w:h="16840"/>
          <w:pgMar w:header="878" w:footer="1191" w:top="1300" w:bottom="1380" w:left="480" w:right="220"/>
        </w:sectPr>
      </w:pPr>
    </w:p>
    <w:p>
      <w:pPr>
        <w:pStyle w:val="BodyText"/>
        <w:spacing w:before="3"/>
        <w:rPr>
          <w:sz w:val="11"/>
        </w:rPr>
      </w:pPr>
    </w:p>
    <w:p>
      <w:pPr>
        <w:pStyle w:val="BodyText"/>
        <w:spacing w:line="364" w:lineRule="auto" w:before="66"/>
        <w:ind w:left="1320" w:right="1577" w:firstLine="480"/>
      </w:pPr>
      <w:r>
        <w:rPr>
          <w:spacing w:val="-10"/>
        </w:rPr>
        <w:t>事实上，虽然学校业已开展了生涯规划教育，但是大部分的高中生都认为自</w:t>
      </w:r>
      <w:r>
        <w:rPr>
          <w:spacing w:val="-3"/>
        </w:rPr>
        <w:t>己缺乏与职业相关、大学相关以及社会相关的知识，如表 </w:t>
      </w:r>
      <w:r>
        <w:rPr>
          <w:rFonts w:ascii="Times New Roman" w:eastAsia="Times New Roman"/>
        </w:rPr>
        <w:t>3.5 </w:t>
      </w:r>
      <w:r>
        <w:rPr/>
        <w:t>所示：</w:t>
      </w:r>
    </w:p>
    <w:p>
      <w:pPr>
        <w:pStyle w:val="BodyText"/>
        <w:spacing w:before="7"/>
        <w:rPr>
          <w:sz w:val="17"/>
        </w:rPr>
      </w:pPr>
    </w:p>
    <w:p>
      <w:pPr>
        <w:pStyle w:val="BodyText"/>
        <w:spacing w:before="74"/>
        <w:ind w:left="865" w:right="525"/>
        <w:jc w:val="center"/>
      </w:pPr>
      <w:r>
        <w:rPr/>
        <w:t>表 </w:t>
      </w:r>
      <w:r>
        <w:rPr>
          <w:rFonts w:ascii="Times New Roman" w:eastAsia="Times New Roman"/>
        </w:rPr>
        <w:t>3.5  </w:t>
      </w:r>
      <w:r>
        <w:rPr/>
        <w:t>普通高中学生生涯认知情况</w:t>
      </w:r>
    </w:p>
    <w:p>
      <w:pPr>
        <w:pStyle w:val="BodyText"/>
        <w:spacing w:before="7"/>
        <w:rPr>
          <w:sz w:val="19"/>
        </w:rPr>
      </w:pPr>
    </w:p>
    <w:tbl>
      <w:tblPr>
        <w:tblW w:w="0" w:type="auto"/>
        <w:jc w:val="left"/>
        <w:tblInd w:w="2012"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620"/>
        <w:gridCol w:w="1457"/>
        <w:gridCol w:w="1264"/>
        <w:gridCol w:w="1335"/>
        <w:gridCol w:w="1275"/>
      </w:tblGrid>
      <w:tr>
        <w:trPr>
          <w:trHeight w:val="467" w:hRule="atLeast"/>
        </w:trPr>
        <w:tc>
          <w:tcPr>
            <w:tcW w:w="1620" w:type="dxa"/>
            <w:vMerge w:val="restart"/>
          </w:tcPr>
          <w:p>
            <w:pPr>
              <w:pStyle w:val="TableParagraph"/>
              <w:rPr>
                <w:sz w:val="24"/>
              </w:rPr>
            </w:pPr>
          </w:p>
          <w:p>
            <w:pPr>
              <w:pStyle w:val="TableParagraph"/>
              <w:spacing w:before="163"/>
              <w:ind w:left="587"/>
              <w:rPr>
                <w:rFonts w:ascii="Microsoft JhengHei" w:eastAsia="Microsoft JhengHei" w:hint="eastAsia"/>
                <w:b/>
                <w:sz w:val="24"/>
              </w:rPr>
            </w:pPr>
            <w:r>
              <w:rPr>
                <w:rFonts w:ascii="Microsoft JhengHei" w:eastAsia="Microsoft JhengHei" w:hint="eastAsia"/>
                <w:b/>
                <w:sz w:val="24"/>
              </w:rPr>
              <w:t>选项</w:t>
            </w:r>
          </w:p>
        </w:tc>
        <w:tc>
          <w:tcPr>
            <w:tcW w:w="5331" w:type="dxa"/>
            <w:gridSpan w:val="4"/>
          </w:tcPr>
          <w:p>
            <w:pPr>
              <w:pStyle w:val="TableParagraph"/>
              <w:spacing w:before="2"/>
              <w:ind w:left="2284" w:right="2257"/>
              <w:jc w:val="center"/>
              <w:rPr>
                <w:rFonts w:ascii="Microsoft JhengHei" w:eastAsia="Microsoft JhengHei" w:hint="eastAsia"/>
                <w:b/>
                <w:sz w:val="24"/>
              </w:rPr>
            </w:pPr>
            <w:r>
              <w:rPr>
                <w:rFonts w:ascii="Microsoft JhengHei" w:eastAsia="Microsoft JhengHei" w:hint="eastAsia"/>
                <w:b/>
                <w:sz w:val="24"/>
              </w:rPr>
              <w:t>百分比</w:t>
            </w:r>
          </w:p>
        </w:tc>
      </w:tr>
      <w:tr>
        <w:trPr>
          <w:trHeight w:val="935" w:hRule="atLeast"/>
        </w:trPr>
        <w:tc>
          <w:tcPr>
            <w:tcW w:w="1620" w:type="dxa"/>
            <w:vMerge/>
            <w:tcBorders>
              <w:top w:val="nil"/>
            </w:tcBorders>
          </w:tcPr>
          <w:p>
            <w:pPr>
              <w:rPr>
                <w:sz w:val="2"/>
                <w:szCs w:val="2"/>
              </w:rPr>
            </w:pPr>
          </w:p>
        </w:tc>
        <w:tc>
          <w:tcPr>
            <w:tcW w:w="1457" w:type="dxa"/>
          </w:tcPr>
          <w:p>
            <w:pPr>
              <w:pStyle w:val="TableParagraph"/>
              <w:spacing w:before="80"/>
              <w:ind w:left="148"/>
              <w:rPr>
                <w:sz w:val="24"/>
              </w:rPr>
            </w:pPr>
            <w:r>
              <w:rPr>
                <w:sz w:val="24"/>
              </w:rPr>
              <w:t>对职业相关</w:t>
            </w:r>
          </w:p>
          <w:p>
            <w:pPr>
              <w:pStyle w:val="TableParagraph"/>
              <w:spacing w:before="161"/>
              <w:ind w:left="148"/>
              <w:rPr>
                <w:sz w:val="24"/>
              </w:rPr>
            </w:pPr>
            <w:r>
              <w:rPr>
                <w:sz w:val="24"/>
              </w:rPr>
              <w:t>知识的认知</w:t>
            </w:r>
          </w:p>
        </w:tc>
        <w:tc>
          <w:tcPr>
            <w:tcW w:w="1264" w:type="dxa"/>
          </w:tcPr>
          <w:p>
            <w:pPr>
              <w:pStyle w:val="TableParagraph"/>
              <w:spacing w:before="80"/>
              <w:ind w:left="195"/>
              <w:rPr>
                <w:sz w:val="24"/>
              </w:rPr>
            </w:pPr>
            <w:r>
              <w:rPr>
                <w:sz w:val="24"/>
              </w:rPr>
              <w:t>对升学信</w:t>
            </w:r>
          </w:p>
          <w:p>
            <w:pPr>
              <w:pStyle w:val="TableParagraph"/>
              <w:spacing w:before="161"/>
              <w:ind w:left="195"/>
              <w:rPr>
                <w:sz w:val="24"/>
              </w:rPr>
            </w:pPr>
            <w:r>
              <w:rPr>
                <w:sz w:val="24"/>
              </w:rPr>
              <w:t>息的了解</w:t>
            </w:r>
          </w:p>
        </w:tc>
        <w:tc>
          <w:tcPr>
            <w:tcW w:w="1335" w:type="dxa"/>
          </w:tcPr>
          <w:p>
            <w:pPr>
              <w:pStyle w:val="TableParagraph"/>
              <w:spacing w:before="80"/>
              <w:ind w:right="76"/>
              <w:jc w:val="right"/>
              <w:rPr>
                <w:sz w:val="24"/>
              </w:rPr>
            </w:pPr>
            <w:r>
              <w:rPr>
                <w:spacing w:val="-17"/>
                <w:sz w:val="24"/>
              </w:rPr>
              <w:t>搜集、处理</w:t>
            </w:r>
          </w:p>
          <w:p>
            <w:pPr>
              <w:pStyle w:val="TableParagraph"/>
              <w:spacing w:before="161"/>
              <w:ind w:right="76"/>
              <w:jc w:val="right"/>
              <w:rPr>
                <w:sz w:val="24"/>
              </w:rPr>
            </w:pPr>
            <w:r>
              <w:rPr>
                <w:sz w:val="24"/>
              </w:rPr>
              <w:t>信息能力</w:t>
            </w:r>
          </w:p>
        </w:tc>
        <w:tc>
          <w:tcPr>
            <w:tcW w:w="1275" w:type="dxa"/>
          </w:tcPr>
          <w:p>
            <w:pPr>
              <w:pStyle w:val="TableParagraph"/>
              <w:spacing w:before="80"/>
              <w:ind w:left="205"/>
              <w:rPr>
                <w:sz w:val="24"/>
              </w:rPr>
            </w:pPr>
            <w:r>
              <w:rPr>
                <w:sz w:val="24"/>
              </w:rPr>
              <w:t>对社会环</w:t>
            </w:r>
          </w:p>
          <w:p>
            <w:pPr>
              <w:pStyle w:val="TableParagraph"/>
              <w:spacing w:before="161"/>
              <w:ind w:left="205"/>
              <w:rPr>
                <w:sz w:val="24"/>
              </w:rPr>
            </w:pPr>
            <w:r>
              <w:rPr>
                <w:sz w:val="24"/>
              </w:rPr>
              <w:t>境的认知</w:t>
            </w:r>
          </w:p>
        </w:tc>
      </w:tr>
      <w:tr>
        <w:trPr>
          <w:trHeight w:val="472" w:hRule="atLeast"/>
        </w:trPr>
        <w:tc>
          <w:tcPr>
            <w:tcW w:w="1620" w:type="dxa"/>
            <w:tcBorders>
              <w:bottom w:val="nil"/>
            </w:tcBorders>
          </w:tcPr>
          <w:p>
            <w:pPr>
              <w:pStyle w:val="TableParagraph"/>
              <w:spacing w:before="82"/>
              <w:ind w:left="107"/>
              <w:rPr>
                <w:sz w:val="24"/>
              </w:rPr>
            </w:pPr>
            <w:r>
              <w:rPr>
                <w:sz w:val="24"/>
              </w:rPr>
              <w:t>完全符合</w:t>
            </w:r>
          </w:p>
        </w:tc>
        <w:tc>
          <w:tcPr>
            <w:tcW w:w="1457" w:type="dxa"/>
            <w:tcBorders>
              <w:bottom w:val="nil"/>
            </w:tcBorders>
          </w:tcPr>
          <w:p>
            <w:pPr>
              <w:pStyle w:val="TableParagraph"/>
              <w:spacing w:before="95"/>
              <w:ind w:right="76"/>
              <w:jc w:val="right"/>
              <w:rPr>
                <w:rFonts w:ascii="Times New Roman"/>
                <w:sz w:val="24"/>
              </w:rPr>
            </w:pPr>
            <w:r>
              <w:rPr>
                <w:rFonts w:ascii="Times New Roman"/>
                <w:sz w:val="24"/>
              </w:rPr>
              <w:t>6.1%</w:t>
            </w:r>
          </w:p>
        </w:tc>
        <w:tc>
          <w:tcPr>
            <w:tcW w:w="1264" w:type="dxa"/>
            <w:tcBorders>
              <w:bottom w:val="nil"/>
            </w:tcBorders>
          </w:tcPr>
          <w:p>
            <w:pPr>
              <w:pStyle w:val="TableParagraph"/>
              <w:spacing w:before="95"/>
              <w:ind w:right="75"/>
              <w:jc w:val="right"/>
              <w:rPr>
                <w:rFonts w:ascii="Times New Roman"/>
                <w:sz w:val="24"/>
              </w:rPr>
            </w:pPr>
            <w:r>
              <w:rPr>
                <w:rFonts w:ascii="Times New Roman"/>
                <w:sz w:val="24"/>
              </w:rPr>
              <w:t>4.2%</w:t>
            </w:r>
          </w:p>
        </w:tc>
        <w:tc>
          <w:tcPr>
            <w:tcW w:w="1335" w:type="dxa"/>
            <w:tcBorders>
              <w:bottom w:val="nil"/>
            </w:tcBorders>
          </w:tcPr>
          <w:p>
            <w:pPr>
              <w:pStyle w:val="TableParagraph"/>
              <w:spacing w:before="95"/>
              <w:ind w:right="76"/>
              <w:jc w:val="right"/>
              <w:rPr>
                <w:rFonts w:ascii="Times New Roman"/>
                <w:sz w:val="24"/>
              </w:rPr>
            </w:pPr>
            <w:r>
              <w:rPr>
                <w:rFonts w:ascii="Times New Roman"/>
                <w:sz w:val="24"/>
              </w:rPr>
              <w:t>6.5%</w:t>
            </w:r>
          </w:p>
        </w:tc>
        <w:tc>
          <w:tcPr>
            <w:tcW w:w="1275" w:type="dxa"/>
            <w:tcBorders>
              <w:bottom w:val="nil"/>
            </w:tcBorders>
          </w:tcPr>
          <w:p>
            <w:pPr>
              <w:pStyle w:val="TableParagraph"/>
              <w:spacing w:before="95"/>
              <w:ind w:right="76"/>
              <w:jc w:val="right"/>
              <w:rPr>
                <w:rFonts w:ascii="Times New Roman"/>
                <w:sz w:val="24"/>
              </w:rPr>
            </w:pPr>
            <w:r>
              <w:rPr>
                <w:rFonts w:ascii="Times New Roman"/>
                <w:sz w:val="24"/>
              </w:rPr>
              <w:t>3.5%</w:t>
            </w:r>
          </w:p>
        </w:tc>
      </w:tr>
      <w:tr>
        <w:trPr>
          <w:trHeight w:val="468" w:hRule="atLeast"/>
        </w:trPr>
        <w:tc>
          <w:tcPr>
            <w:tcW w:w="1620" w:type="dxa"/>
            <w:tcBorders>
              <w:top w:val="nil"/>
              <w:bottom w:val="nil"/>
            </w:tcBorders>
          </w:tcPr>
          <w:p>
            <w:pPr>
              <w:pStyle w:val="TableParagraph"/>
              <w:spacing w:before="77"/>
              <w:ind w:left="107"/>
              <w:rPr>
                <w:sz w:val="24"/>
              </w:rPr>
            </w:pPr>
            <w:r>
              <w:rPr>
                <w:sz w:val="24"/>
              </w:rPr>
              <w:t>比较符合</w:t>
            </w:r>
          </w:p>
        </w:tc>
        <w:tc>
          <w:tcPr>
            <w:tcW w:w="1457" w:type="dxa"/>
            <w:tcBorders>
              <w:top w:val="nil"/>
              <w:bottom w:val="nil"/>
            </w:tcBorders>
          </w:tcPr>
          <w:p>
            <w:pPr>
              <w:pStyle w:val="TableParagraph"/>
              <w:spacing w:before="91"/>
              <w:ind w:right="76"/>
              <w:jc w:val="right"/>
              <w:rPr>
                <w:rFonts w:ascii="Times New Roman"/>
                <w:sz w:val="24"/>
              </w:rPr>
            </w:pPr>
            <w:r>
              <w:rPr>
                <w:rFonts w:ascii="Times New Roman"/>
                <w:sz w:val="24"/>
              </w:rPr>
              <w:t>23.9%</w:t>
            </w:r>
          </w:p>
        </w:tc>
        <w:tc>
          <w:tcPr>
            <w:tcW w:w="1264" w:type="dxa"/>
            <w:tcBorders>
              <w:top w:val="nil"/>
              <w:bottom w:val="nil"/>
            </w:tcBorders>
          </w:tcPr>
          <w:p>
            <w:pPr>
              <w:pStyle w:val="TableParagraph"/>
              <w:spacing w:before="91"/>
              <w:ind w:right="75"/>
              <w:jc w:val="right"/>
              <w:rPr>
                <w:rFonts w:ascii="Times New Roman"/>
                <w:sz w:val="24"/>
              </w:rPr>
            </w:pPr>
            <w:r>
              <w:rPr>
                <w:rFonts w:ascii="Times New Roman"/>
                <w:sz w:val="24"/>
              </w:rPr>
              <w:t>23.0%</w:t>
            </w:r>
          </w:p>
        </w:tc>
        <w:tc>
          <w:tcPr>
            <w:tcW w:w="1335" w:type="dxa"/>
            <w:tcBorders>
              <w:top w:val="nil"/>
              <w:bottom w:val="nil"/>
            </w:tcBorders>
          </w:tcPr>
          <w:p>
            <w:pPr>
              <w:pStyle w:val="TableParagraph"/>
              <w:spacing w:before="91"/>
              <w:ind w:right="76"/>
              <w:jc w:val="right"/>
              <w:rPr>
                <w:rFonts w:ascii="Times New Roman"/>
                <w:sz w:val="24"/>
              </w:rPr>
            </w:pPr>
            <w:r>
              <w:rPr>
                <w:rFonts w:ascii="Times New Roman"/>
                <w:sz w:val="24"/>
              </w:rPr>
              <w:t>28.7%</w:t>
            </w:r>
          </w:p>
        </w:tc>
        <w:tc>
          <w:tcPr>
            <w:tcW w:w="1275" w:type="dxa"/>
            <w:tcBorders>
              <w:top w:val="nil"/>
              <w:bottom w:val="nil"/>
            </w:tcBorders>
          </w:tcPr>
          <w:p>
            <w:pPr>
              <w:pStyle w:val="TableParagraph"/>
              <w:spacing w:before="91"/>
              <w:ind w:right="76"/>
              <w:jc w:val="right"/>
              <w:rPr>
                <w:rFonts w:ascii="Times New Roman"/>
                <w:sz w:val="24"/>
              </w:rPr>
            </w:pPr>
            <w:r>
              <w:rPr>
                <w:rFonts w:ascii="Times New Roman"/>
                <w:sz w:val="24"/>
              </w:rPr>
              <w:t>22.6%</w:t>
            </w:r>
          </w:p>
        </w:tc>
      </w:tr>
      <w:tr>
        <w:trPr>
          <w:trHeight w:val="467" w:hRule="atLeast"/>
        </w:trPr>
        <w:tc>
          <w:tcPr>
            <w:tcW w:w="1620" w:type="dxa"/>
            <w:tcBorders>
              <w:top w:val="nil"/>
              <w:bottom w:val="nil"/>
            </w:tcBorders>
          </w:tcPr>
          <w:p>
            <w:pPr>
              <w:pStyle w:val="TableParagraph"/>
              <w:spacing w:before="77"/>
              <w:ind w:left="107"/>
              <w:rPr>
                <w:sz w:val="24"/>
              </w:rPr>
            </w:pPr>
            <w:r>
              <w:rPr>
                <w:sz w:val="24"/>
              </w:rPr>
              <w:t>不太符合</w:t>
            </w:r>
          </w:p>
        </w:tc>
        <w:tc>
          <w:tcPr>
            <w:tcW w:w="1457" w:type="dxa"/>
            <w:tcBorders>
              <w:top w:val="nil"/>
              <w:bottom w:val="nil"/>
            </w:tcBorders>
          </w:tcPr>
          <w:p>
            <w:pPr>
              <w:pStyle w:val="TableParagraph"/>
              <w:spacing w:before="91"/>
              <w:ind w:right="76"/>
              <w:jc w:val="right"/>
              <w:rPr>
                <w:rFonts w:ascii="Times New Roman"/>
                <w:sz w:val="24"/>
              </w:rPr>
            </w:pPr>
            <w:r>
              <w:rPr>
                <w:rFonts w:ascii="Times New Roman"/>
                <w:sz w:val="24"/>
              </w:rPr>
              <w:t>54.3%</w:t>
            </w:r>
          </w:p>
        </w:tc>
        <w:tc>
          <w:tcPr>
            <w:tcW w:w="1264" w:type="dxa"/>
            <w:tcBorders>
              <w:top w:val="nil"/>
              <w:bottom w:val="nil"/>
            </w:tcBorders>
          </w:tcPr>
          <w:p>
            <w:pPr>
              <w:pStyle w:val="TableParagraph"/>
              <w:spacing w:before="91"/>
              <w:ind w:right="75"/>
              <w:jc w:val="right"/>
              <w:rPr>
                <w:rFonts w:ascii="Times New Roman"/>
                <w:sz w:val="24"/>
              </w:rPr>
            </w:pPr>
            <w:r>
              <w:rPr>
                <w:rFonts w:ascii="Times New Roman"/>
                <w:sz w:val="24"/>
              </w:rPr>
              <w:t>55.7%</w:t>
            </w:r>
          </w:p>
        </w:tc>
        <w:tc>
          <w:tcPr>
            <w:tcW w:w="1335" w:type="dxa"/>
            <w:tcBorders>
              <w:top w:val="nil"/>
              <w:bottom w:val="nil"/>
            </w:tcBorders>
          </w:tcPr>
          <w:p>
            <w:pPr>
              <w:pStyle w:val="TableParagraph"/>
              <w:spacing w:before="91"/>
              <w:ind w:right="76"/>
              <w:jc w:val="right"/>
              <w:rPr>
                <w:rFonts w:ascii="Times New Roman"/>
                <w:sz w:val="24"/>
              </w:rPr>
            </w:pPr>
            <w:r>
              <w:rPr>
                <w:rFonts w:ascii="Times New Roman"/>
                <w:sz w:val="24"/>
              </w:rPr>
              <w:t>50.9%</w:t>
            </w:r>
          </w:p>
        </w:tc>
        <w:tc>
          <w:tcPr>
            <w:tcW w:w="1275" w:type="dxa"/>
            <w:tcBorders>
              <w:top w:val="nil"/>
              <w:bottom w:val="nil"/>
            </w:tcBorders>
          </w:tcPr>
          <w:p>
            <w:pPr>
              <w:pStyle w:val="TableParagraph"/>
              <w:spacing w:before="91"/>
              <w:ind w:right="76"/>
              <w:jc w:val="right"/>
              <w:rPr>
                <w:rFonts w:ascii="Times New Roman"/>
                <w:sz w:val="24"/>
              </w:rPr>
            </w:pPr>
            <w:r>
              <w:rPr>
                <w:rFonts w:ascii="Times New Roman"/>
                <w:sz w:val="24"/>
              </w:rPr>
              <w:t>52.4%</w:t>
            </w:r>
          </w:p>
        </w:tc>
      </w:tr>
      <w:tr>
        <w:trPr>
          <w:trHeight w:val="463" w:hRule="atLeast"/>
        </w:trPr>
        <w:tc>
          <w:tcPr>
            <w:tcW w:w="1620" w:type="dxa"/>
            <w:tcBorders>
              <w:top w:val="nil"/>
            </w:tcBorders>
          </w:tcPr>
          <w:p>
            <w:pPr>
              <w:pStyle w:val="TableParagraph"/>
              <w:spacing w:before="77"/>
              <w:ind w:left="107"/>
              <w:rPr>
                <w:sz w:val="24"/>
              </w:rPr>
            </w:pPr>
            <w:r>
              <w:rPr>
                <w:sz w:val="24"/>
              </w:rPr>
              <w:t>完全不符</w:t>
            </w:r>
          </w:p>
        </w:tc>
        <w:tc>
          <w:tcPr>
            <w:tcW w:w="1457" w:type="dxa"/>
            <w:tcBorders>
              <w:top w:val="nil"/>
            </w:tcBorders>
          </w:tcPr>
          <w:p>
            <w:pPr>
              <w:pStyle w:val="TableParagraph"/>
              <w:spacing w:before="91"/>
              <w:ind w:right="76"/>
              <w:jc w:val="right"/>
              <w:rPr>
                <w:rFonts w:ascii="Times New Roman"/>
                <w:sz w:val="24"/>
              </w:rPr>
            </w:pPr>
            <w:r>
              <w:rPr>
                <w:rFonts w:ascii="Times New Roman"/>
                <w:sz w:val="24"/>
              </w:rPr>
              <w:t>15.6%</w:t>
            </w:r>
          </w:p>
        </w:tc>
        <w:tc>
          <w:tcPr>
            <w:tcW w:w="1264" w:type="dxa"/>
            <w:tcBorders>
              <w:top w:val="nil"/>
            </w:tcBorders>
          </w:tcPr>
          <w:p>
            <w:pPr>
              <w:pStyle w:val="TableParagraph"/>
              <w:spacing w:before="91"/>
              <w:ind w:right="75"/>
              <w:jc w:val="right"/>
              <w:rPr>
                <w:rFonts w:ascii="Times New Roman"/>
                <w:sz w:val="24"/>
              </w:rPr>
            </w:pPr>
            <w:r>
              <w:rPr>
                <w:rFonts w:ascii="Times New Roman"/>
                <w:sz w:val="24"/>
              </w:rPr>
              <w:t>17.2%</w:t>
            </w:r>
          </w:p>
        </w:tc>
        <w:tc>
          <w:tcPr>
            <w:tcW w:w="1335" w:type="dxa"/>
            <w:tcBorders>
              <w:top w:val="nil"/>
            </w:tcBorders>
          </w:tcPr>
          <w:p>
            <w:pPr>
              <w:pStyle w:val="TableParagraph"/>
              <w:spacing w:before="91"/>
              <w:ind w:right="76"/>
              <w:jc w:val="right"/>
              <w:rPr>
                <w:rFonts w:ascii="Times New Roman"/>
                <w:sz w:val="24"/>
              </w:rPr>
            </w:pPr>
            <w:r>
              <w:rPr>
                <w:rFonts w:ascii="Times New Roman"/>
                <w:sz w:val="24"/>
              </w:rPr>
              <w:t>13.9%</w:t>
            </w:r>
          </w:p>
        </w:tc>
        <w:tc>
          <w:tcPr>
            <w:tcW w:w="1275" w:type="dxa"/>
            <w:tcBorders>
              <w:top w:val="nil"/>
            </w:tcBorders>
          </w:tcPr>
          <w:p>
            <w:pPr>
              <w:pStyle w:val="TableParagraph"/>
              <w:spacing w:before="91"/>
              <w:ind w:right="76"/>
              <w:jc w:val="right"/>
              <w:rPr>
                <w:rFonts w:ascii="Times New Roman"/>
                <w:sz w:val="24"/>
              </w:rPr>
            </w:pPr>
            <w:r>
              <w:rPr>
                <w:rFonts w:ascii="Times New Roman"/>
                <w:sz w:val="24"/>
              </w:rPr>
              <w:t>21.6%</w:t>
            </w:r>
          </w:p>
        </w:tc>
      </w:tr>
    </w:tbl>
    <w:p>
      <w:pPr>
        <w:pStyle w:val="BodyText"/>
        <w:rPr>
          <w:sz w:val="26"/>
        </w:rPr>
      </w:pPr>
    </w:p>
    <w:p>
      <w:pPr>
        <w:pStyle w:val="BodyText"/>
        <w:spacing w:line="364" w:lineRule="auto" w:before="216"/>
        <w:ind w:left="1320" w:right="1457" w:firstLine="600"/>
      </w:pPr>
      <w:r>
        <w:rPr>
          <w:spacing w:val="-20"/>
        </w:rPr>
        <w:t>从表 </w:t>
      </w:r>
      <w:r>
        <w:rPr>
          <w:rFonts w:ascii="Times New Roman" w:hAnsi="Times New Roman" w:eastAsia="Times New Roman"/>
        </w:rPr>
        <w:t>3.5 </w:t>
      </w:r>
      <w:r>
        <w:rPr>
          <w:spacing w:val="-6"/>
        </w:rPr>
        <w:t>可知，绝大多数学生在生涯认知方面的情况不甚理想。具体而言， </w:t>
      </w:r>
      <w:r>
        <w:rPr>
          <w:spacing w:val="-11"/>
        </w:rPr>
        <w:t>选择“完全符合”的学生，即认为自己完全了解、掌握生涯规划教育相关信息的</w:t>
      </w:r>
      <w:r>
        <w:rPr>
          <w:spacing w:val="-19"/>
        </w:rPr>
        <w:t>学生比例不足 </w:t>
      </w:r>
      <w:r>
        <w:rPr>
          <w:rFonts w:ascii="Times New Roman" w:hAnsi="Times New Roman" w:eastAsia="Times New Roman"/>
        </w:rPr>
        <w:t>10%</w:t>
      </w:r>
      <w:r>
        <w:rPr>
          <w:spacing w:val="-12"/>
        </w:rPr>
        <w:t>。其中，表示完全了解升学及社会环境相关知识的学生比例不</w:t>
      </w:r>
      <w:r>
        <w:rPr>
          <w:spacing w:val="-36"/>
        </w:rPr>
        <w:t>到 </w:t>
      </w:r>
      <w:r>
        <w:rPr>
          <w:rFonts w:ascii="Times New Roman" w:hAnsi="Times New Roman" w:eastAsia="Times New Roman"/>
        </w:rPr>
        <w:t>5%</w:t>
      </w:r>
      <w:r>
        <w:rPr/>
        <w:t>。大部分学生都表示不完全具备这些知识和能力，特别是关于社会环境的</w:t>
      </w:r>
      <w:r>
        <w:rPr>
          <w:spacing w:val="-8"/>
        </w:rPr>
        <w:t>知识方面，超过 </w:t>
      </w:r>
      <w:r>
        <w:rPr>
          <w:rFonts w:ascii="Times New Roman" w:hAnsi="Times New Roman" w:eastAsia="Times New Roman"/>
        </w:rPr>
        <w:t>20%</w:t>
      </w:r>
      <w:r>
        <w:rPr/>
        <w:t>的学生表示非常不了解。</w:t>
      </w:r>
    </w:p>
    <w:p>
      <w:pPr>
        <w:pStyle w:val="BodyText"/>
        <w:spacing w:line="364" w:lineRule="auto" w:before="3"/>
        <w:ind w:left="1319" w:right="1577" w:firstLine="480"/>
        <w:jc w:val="both"/>
      </w:pPr>
      <w:r>
        <w:rPr>
          <w:spacing w:val="-13"/>
        </w:rPr>
        <w:t>在信息能力方面，超过 </w:t>
      </w:r>
      <w:r>
        <w:rPr>
          <w:rFonts w:ascii="Times New Roman" w:hAnsi="Times New Roman" w:eastAsia="Times New Roman"/>
        </w:rPr>
        <w:t>70%</w:t>
      </w:r>
      <w:r>
        <w:rPr>
          <w:spacing w:val="-5"/>
        </w:rPr>
        <w:t>的高中生认为自己不具备搜集和分析、处理信息</w:t>
      </w:r>
      <w:r>
        <w:rPr>
          <w:spacing w:val="-11"/>
        </w:rPr>
        <w:t>的能力。在当前知识大爆炸的时代，各种新信息以前所未有的速度铺天盖地的袭</w:t>
      </w:r>
      <w:r>
        <w:rPr>
          <w:spacing w:val="-9"/>
        </w:rPr>
        <w:t>来，如果学生不能从中选取适合于自己的信息，并“为我所用”，则容易被信息</w:t>
      </w:r>
      <w:r>
        <w:rPr/>
        <w:t>的洪流淹没，从而迷失了方向。</w:t>
      </w:r>
    </w:p>
    <w:p>
      <w:pPr>
        <w:pStyle w:val="BodyText"/>
        <w:spacing w:before="5"/>
        <w:rPr>
          <w:sz w:val="10"/>
        </w:rPr>
      </w:pPr>
      <w:r>
        <w:rPr/>
        <w:drawing>
          <wp:anchor distT="0" distB="0" distL="0" distR="0" allowOverlap="1" layoutInCell="1" locked="0" behindDoc="0" simplePos="0" relativeHeight="94">
            <wp:simplePos x="0" y="0"/>
            <wp:positionH relativeFrom="page">
              <wp:posOffset>1248835</wp:posOffset>
            </wp:positionH>
            <wp:positionV relativeFrom="paragraph">
              <wp:posOffset>109382</wp:posOffset>
            </wp:positionV>
            <wp:extent cx="5043881" cy="1901952"/>
            <wp:effectExtent l="0" t="0" r="0" b="0"/>
            <wp:wrapTopAndBottom/>
            <wp:docPr id="51" name="image13.jpeg"/>
            <wp:cNvGraphicFramePr>
              <a:graphicFrameLocks noChangeAspect="1"/>
            </wp:cNvGraphicFramePr>
            <a:graphic>
              <a:graphicData uri="http://schemas.openxmlformats.org/drawingml/2006/picture">
                <pic:pic>
                  <pic:nvPicPr>
                    <pic:cNvPr id="52" name="image13.jpeg"/>
                    <pic:cNvPicPr/>
                  </pic:nvPicPr>
                  <pic:blipFill>
                    <a:blip r:embed="rId77" cstate="print"/>
                    <a:stretch>
                      <a:fillRect/>
                    </a:stretch>
                  </pic:blipFill>
                  <pic:spPr>
                    <a:xfrm>
                      <a:off x="0" y="0"/>
                      <a:ext cx="5043881" cy="1901952"/>
                    </a:xfrm>
                    <a:prstGeom prst="rect">
                      <a:avLst/>
                    </a:prstGeom>
                  </pic:spPr>
                </pic:pic>
              </a:graphicData>
            </a:graphic>
          </wp:anchor>
        </w:drawing>
      </w:r>
    </w:p>
    <w:p>
      <w:pPr>
        <w:pStyle w:val="BodyText"/>
        <w:spacing w:before="166"/>
        <w:ind w:right="333"/>
        <w:jc w:val="center"/>
      </w:pPr>
      <w:r>
        <w:rPr/>
        <w:t>图 </w:t>
      </w:r>
      <w:r>
        <w:rPr>
          <w:rFonts w:ascii="Times New Roman" w:eastAsia="Times New Roman"/>
        </w:rPr>
        <w:t>3.1 </w:t>
      </w:r>
      <w:r>
        <w:rPr/>
        <w:t>普通高中学生主动搜集生涯信息情况调查</w:t>
      </w:r>
    </w:p>
    <w:p>
      <w:pPr>
        <w:spacing w:after="0"/>
        <w:jc w:val="center"/>
        <w:sectPr>
          <w:pgSz w:w="11910" w:h="16840"/>
          <w:pgMar w:header="878" w:footer="1191" w:top="1300" w:bottom="1380" w:left="480" w:right="220"/>
        </w:sectPr>
      </w:pPr>
    </w:p>
    <w:p>
      <w:pPr>
        <w:pStyle w:val="BodyText"/>
        <w:spacing w:before="8"/>
        <w:rPr>
          <w:sz w:val="10"/>
        </w:rPr>
      </w:pPr>
    </w:p>
    <w:p>
      <w:pPr>
        <w:pStyle w:val="BodyText"/>
        <w:spacing w:line="364" w:lineRule="auto" w:before="74"/>
        <w:ind w:left="1319" w:right="1574" w:firstLine="480"/>
        <w:jc w:val="both"/>
      </w:pPr>
      <w:r>
        <w:rPr>
          <w:spacing w:val="-20"/>
        </w:rPr>
        <w:t>如图 </w:t>
      </w:r>
      <w:r>
        <w:rPr>
          <w:rFonts w:ascii="Times New Roman" w:eastAsia="Times New Roman"/>
        </w:rPr>
        <w:t>3.1 </w:t>
      </w:r>
      <w:r>
        <w:rPr>
          <w:spacing w:val="-10"/>
        </w:rPr>
        <w:t>所示，只有 </w:t>
      </w:r>
      <w:r>
        <w:rPr>
          <w:rFonts w:ascii="Times New Roman" w:eastAsia="Times New Roman"/>
        </w:rPr>
        <w:t>12.5%</w:t>
      </w:r>
      <w:r>
        <w:rPr>
          <w:spacing w:val="-1"/>
        </w:rPr>
        <w:t>的学生会主动的去搜集关于升学或者就业方面的</w:t>
      </w:r>
      <w:r>
        <w:rPr/>
        <w:t>信息，</w:t>
      </w:r>
      <w:r>
        <w:rPr>
          <w:rFonts w:ascii="Times New Roman" w:eastAsia="Times New Roman"/>
        </w:rPr>
        <w:t>50%</w:t>
      </w:r>
      <w:r>
        <w:rPr>
          <w:spacing w:val="-5"/>
        </w:rPr>
        <w:t>以上的学生并不会有意识的去了解、搜集生涯相关的知识，有 </w:t>
      </w:r>
      <w:r>
        <w:rPr>
          <w:rFonts w:ascii="Times New Roman" w:eastAsia="Times New Roman"/>
          <w:spacing w:val="-3"/>
        </w:rPr>
        <w:t>27.9% </w:t>
      </w:r>
      <w:r>
        <w:rPr>
          <w:spacing w:val="-1"/>
        </w:rPr>
        <w:t>的学生认为只有在需要时才会去关注这些信息，而另有 </w:t>
      </w:r>
      <w:r>
        <w:rPr>
          <w:rFonts w:ascii="Times New Roman" w:eastAsia="Times New Roman"/>
        </w:rPr>
        <w:t>6.9%</w:t>
      </w:r>
      <w:r>
        <w:rPr/>
        <w:t>的学生在日常学习</w:t>
      </w:r>
      <w:r>
        <w:rPr>
          <w:spacing w:val="-8"/>
        </w:rPr>
        <w:t>和生活中从来不去了解这些知识。可见，普通高中生普遍缺乏生涯信息探索的意</w:t>
      </w:r>
      <w:r>
        <w:rPr>
          <w:spacing w:val="-10"/>
        </w:rPr>
        <w:t>识，他们在平时基本上不重视这些信息的搜集和积累，只有到了需要的时候，才</w:t>
      </w:r>
      <w:r>
        <w:rPr/>
        <w:t>会予以重视。</w:t>
      </w:r>
    </w:p>
    <w:p>
      <w:pPr>
        <w:pStyle w:val="BodyText"/>
        <w:spacing w:before="6"/>
        <w:rPr>
          <w:sz w:val="16"/>
        </w:rPr>
      </w:pPr>
      <w:r>
        <w:rPr/>
        <w:drawing>
          <wp:anchor distT="0" distB="0" distL="0" distR="0" allowOverlap="1" layoutInCell="1" locked="0" behindDoc="0" simplePos="0" relativeHeight="95">
            <wp:simplePos x="0" y="0"/>
            <wp:positionH relativeFrom="page">
              <wp:posOffset>1178828</wp:posOffset>
            </wp:positionH>
            <wp:positionV relativeFrom="paragraph">
              <wp:posOffset>158854</wp:posOffset>
            </wp:positionV>
            <wp:extent cx="5248021" cy="2731007"/>
            <wp:effectExtent l="0" t="0" r="0" b="0"/>
            <wp:wrapTopAndBottom/>
            <wp:docPr id="53" name="image14.jpeg"/>
            <wp:cNvGraphicFramePr>
              <a:graphicFrameLocks noChangeAspect="1"/>
            </wp:cNvGraphicFramePr>
            <a:graphic>
              <a:graphicData uri="http://schemas.openxmlformats.org/drawingml/2006/picture">
                <pic:pic>
                  <pic:nvPicPr>
                    <pic:cNvPr id="54" name="image14.jpeg"/>
                    <pic:cNvPicPr/>
                  </pic:nvPicPr>
                  <pic:blipFill>
                    <a:blip r:embed="rId78" cstate="print"/>
                    <a:stretch>
                      <a:fillRect/>
                    </a:stretch>
                  </pic:blipFill>
                  <pic:spPr>
                    <a:xfrm>
                      <a:off x="0" y="0"/>
                      <a:ext cx="5248021" cy="2731007"/>
                    </a:xfrm>
                    <a:prstGeom prst="rect">
                      <a:avLst/>
                    </a:prstGeom>
                  </pic:spPr>
                </pic:pic>
              </a:graphicData>
            </a:graphic>
          </wp:anchor>
        </w:drawing>
      </w:r>
    </w:p>
    <w:p>
      <w:pPr>
        <w:pStyle w:val="BodyText"/>
        <w:rPr>
          <w:sz w:val="20"/>
        </w:rPr>
      </w:pPr>
    </w:p>
    <w:p>
      <w:pPr>
        <w:pStyle w:val="BodyText"/>
        <w:spacing w:before="4"/>
        <w:rPr>
          <w:sz w:val="14"/>
        </w:rPr>
      </w:pPr>
    </w:p>
    <w:p>
      <w:pPr>
        <w:pStyle w:val="BodyText"/>
        <w:spacing w:before="74"/>
        <w:ind w:left="2968"/>
      </w:pPr>
      <w:r>
        <w:rPr/>
        <w:t>图 </w:t>
      </w:r>
      <w:r>
        <w:rPr>
          <w:rFonts w:ascii="Times New Roman" w:eastAsia="Times New Roman"/>
        </w:rPr>
        <w:t>3.2 </w:t>
      </w:r>
      <w:r>
        <w:rPr/>
        <w:t>普通高中学生目前困惑的问题统计情况</w:t>
      </w:r>
    </w:p>
    <w:p>
      <w:pPr>
        <w:pStyle w:val="BodyText"/>
        <w:spacing w:line="364" w:lineRule="auto" w:before="218"/>
        <w:ind w:left="1320" w:right="1365" w:firstLine="480"/>
      </w:pPr>
      <w:r>
        <w:rPr>
          <w:spacing w:val="-20"/>
        </w:rPr>
        <w:t>从图 </w:t>
      </w:r>
      <w:r>
        <w:rPr>
          <w:rFonts w:ascii="Times New Roman" w:hAnsi="Times New Roman" w:eastAsia="Times New Roman"/>
        </w:rPr>
        <w:t>3.2 </w:t>
      </w:r>
      <w:r>
        <w:rPr>
          <w:spacing w:val="-5"/>
        </w:rPr>
        <w:t>中发现，普通高中学生目前困惑的问题中，排第一位的是“不知道</w:t>
      </w:r>
      <w:r>
        <w:rPr>
          <w:spacing w:val="-10"/>
        </w:rPr>
        <w:t>如何才能考上心中向往的学校和专业”，紧随其次是“不清楚是否适合这个专业</w:t>
      </w:r>
      <w:r>
        <w:rPr>
          <w:spacing w:val="-13"/>
        </w:rPr>
        <w:t>或者职业”，再次是“不了解社会发展趋势及其对人才的要求”。另有小部分学</w:t>
      </w:r>
      <w:r>
        <w:rPr>
          <w:spacing w:val="-12"/>
        </w:rPr>
        <w:t>生选择了“其他”选项，或表示不存在困惑，或表明自己的其他困惑，如选择上的困难：“想要做的专业或者职业，还未明确选择哪个”；担心自己能力不足， </w:t>
      </w:r>
      <w:r>
        <w:rPr>
          <w:spacing w:val="-24"/>
        </w:rPr>
        <w:t>表示“学习成绩太差上不了”，也有学生提出“如何解决自身与父母不同的期望”。</w:t>
      </w:r>
      <w:r>
        <w:rPr>
          <w:spacing w:val="-19"/>
        </w:rPr>
        <w:t>让笔者感到担忧的是，一些学生认为学习生活枯燥，表示没有能吸引我的职业”。</w:t>
      </w:r>
      <w:r>
        <w:rPr>
          <w:spacing w:val="-5"/>
        </w:rPr>
        <w:t>这些困惑真实的存在于普通高中学生当中的，充分体现了普通高中学生对于生涯认知的渴望。</w:t>
      </w:r>
    </w:p>
    <w:p>
      <w:pPr>
        <w:pStyle w:val="BodyText"/>
        <w:spacing w:line="364" w:lineRule="auto" w:before="6"/>
        <w:ind w:left="1320" w:right="1577" w:firstLine="480"/>
      </w:pPr>
      <w:r>
        <w:rPr>
          <w:spacing w:val="-8"/>
        </w:rPr>
        <w:t>当学生面临困惑时，会寻求不同的解决途径，比如朋友、教师、家长等，这些途径各有优劣。如图 </w:t>
      </w:r>
      <w:r>
        <w:rPr>
          <w:rFonts w:ascii="Times New Roman" w:eastAsia="Times New Roman"/>
        </w:rPr>
        <w:t>3.3 </w:t>
      </w:r>
      <w:r>
        <w:rPr>
          <w:spacing w:val="-5"/>
        </w:rPr>
        <w:t>所示，大多数学生会寻求多种途径来解决烦恼，相比</w:t>
      </w:r>
    </w:p>
    <w:p>
      <w:pPr>
        <w:spacing w:after="0" w:line="364" w:lineRule="auto"/>
        <w:sectPr>
          <w:pgSz w:w="11910" w:h="16840"/>
          <w:pgMar w:header="878" w:footer="1191" w:top="1300" w:bottom="1380" w:left="480" w:right="220"/>
        </w:sectPr>
      </w:pPr>
    </w:p>
    <w:p>
      <w:pPr>
        <w:pStyle w:val="BodyText"/>
        <w:spacing w:before="3"/>
        <w:rPr>
          <w:sz w:val="11"/>
        </w:rPr>
      </w:pPr>
    </w:p>
    <w:p>
      <w:pPr>
        <w:pStyle w:val="BodyText"/>
        <w:spacing w:line="364" w:lineRule="auto" w:before="66"/>
        <w:ind w:left="1320" w:right="1577"/>
        <w:jc w:val="both"/>
      </w:pPr>
      <w:r>
        <w:rPr>
          <w:spacing w:val="-10"/>
        </w:rPr>
        <w:t>之下，学生更愿意通过网络、书籍等媒体来寻求帮助，但是这对学生的信息素养有较高的要求。也就是说，选择通过媒体解决问题的学生，必须具备较强的信息</w:t>
      </w:r>
      <w:r>
        <w:rPr>
          <w:spacing w:val="-12"/>
        </w:rPr>
        <w:t>搜集、判断、筛选能力。从调查来看，当前高中生对于信息的搜集、处理能力情</w:t>
      </w:r>
      <w:r>
        <w:rPr>
          <w:spacing w:val="-10"/>
        </w:rPr>
        <w:t>况并不乐观，缺乏专业人士的指导也难以判断一些信息的真假，学生可能会被这</w:t>
      </w:r>
      <w:r>
        <w:rPr>
          <w:spacing w:val="-9"/>
        </w:rPr>
        <w:t>些错误信息误导。可见，学生可能难以从中获得满意的答案，还可能迷失在信息</w:t>
      </w:r>
      <w:r>
        <w:rPr/>
        <w:t>的海洋中，而更不知所措。</w:t>
      </w:r>
    </w:p>
    <w:p>
      <w:pPr>
        <w:pStyle w:val="BodyText"/>
        <w:spacing w:before="6"/>
        <w:rPr>
          <w:sz w:val="16"/>
        </w:rPr>
      </w:pPr>
      <w:r>
        <w:rPr/>
        <w:drawing>
          <wp:anchor distT="0" distB="0" distL="0" distR="0" allowOverlap="1" layoutInCell="1" locked="0" behindDoc="0" simplePos="0" relativeHeight="96">
            <wp:simplePos x="0" y="0"/>
            <wp:positionH relativeFrom="page">
              <wp:posOffset>1395319</wp:posOffset>
            </wp:positionH>
            <wp:positionV relativeFrom="paragraph">
              <wp:posOffset>158901</wp:posOffset>
            </wp:positionV>
            <wp:extent cx="4678145" cy="3828288"/>
            <wp:effectExtent l="0" t="0" r="0" b="0"/>
            <wp:wrapTopAndBottom/>
            <wp:docPr id="55" name="image15.jpeg"/>
            <wp:cNvGraphicFramePr>
              <a:graphicFrameLocks noChangeAspect="1"/>
            </wp:cNvGraphicFramePr>
            <a:graphic>
              <a:graphicData uri="http://schemas.openxmlformats.org/drawingml/2006/picture">
                <pic:pic>
                  <pic:nvPicPr>
                    <pic:cNvPr id="56" name="image15.jpeg"/>
                    <pic:cNvPicPr/>
                  </pic:nvPicPr>
                  <pic:blipFill>
                    <a:blip r:embed="rId79" cstate="print"/>
                    <a:stretch>
                      <a:fillRect/>
                    </a:stretch>
                  </pic:blipFill>
                  <pic:spPr>
                    <a:xfrm>
                      <a:off x="0" y="0"/>
                      <a:ext cx="4678145" cy="3828288"/>
                    </a:xfrm>
                    <a:prstGeom prst="rect">
                      <a:avLst/>
                    </a:prstGeom>
                  </pic:spPr>
                </pic:pic>
              </a:graphicData>
            </a:graphic>
          </wp:anchor>
        </w:drawing>
      </w:r>
    </w:p>
    <w:p>
      <w:pPr>
        <w:pStyle w:val="BodyText"/>
        <w:rPr>
          <w:sz w:val="20"/>
        </w:rPr>
      </w:pPr>
    </w:p>
    <w:p>
      <w:pPr>
        <w:pStyle w:val="BodyText"/>
        <w:spacing w:before="10"/>
        <w:rPr>
          <w:sz w:val="18"/>
        </w:rPr>
      </w:pPr>
    </w:p>
    <w:p>
      <w:pPr>
        <w:pStyle w:val="BodyText"/>
        <w:jc w:val="center"/>
      </w:pPr>
      <w:r>
        <w:rPr/>
        <w:t>图 </w:t>
      </w:r>
      <w:r>
        <w:rPr>
          <w:rFonts w:ascii="Times New Roman" w:eastAsia="Times New Roman"/>
        </w:rPr>
        <w:t>3.3 </w:t>
      </w:r>
      <w:r>
        <w:rPr/>
        <w:t>普通高中学生寻求指导的途径</w:t>
      </w:r>
    </w:p>
    <w:p>
      <w:pPr>
        <w:pStyle w:val="BodyText"/>
        <w:spacing w:before="10"/>
        <w:rPr>
          <w:sz w:val="23"/>
        </w:rPr>
      </w:pPr>
    </w:p>
    <w:p>
      <w:pPr>
        <w:pStyle w:val="BodyText"/>
        <w:spacing w:line="364" w:lineRule="auto" w:before="75"/>
        <w:ind w:left="1320" w:right="1464" w:firstLine="480"/>
      </w:pPr>
      <w:r>
        <w:rPr>
          <w:spacing w:val="-20"/>
        </w:rPr>
        <w:t>如图 </w:t>
      </w:r>
      <w:r>
        <w:rPr>
          <w:rFonts w:ascii="Times New Roman" w:eastAsia="Times New Roman"/>
        </w:rPr>
        <w:t>3.3 </w:t>
      </w:r>
      <w:r>
        <w:rPr>
          <w:spacing w:val="-5"/>
        </w:rPr>
        <w:t>所示，选择向父母或亲戚咨询的学生也不少，但父母或亲戚易受自身经验局限，部分家长还会带有主观的期待，希望孩子朝着其规划的方向发展。</w:t>
      </w:r>
      <w:r>
        <w:rPr>
          <w:spacing w:val="-15"/>
        </w:rPr>
        <w:t>另外，只有 </w:t>
      </w:r>
      <w:r>
        <w:rPr>
          <w:rFonts w:ascii="Times New Roman" w:eastAsia="Times New Roman"/>
        </w:rPr>
        <w:t>20%</w:t>
      </w:r>
      <w:r>
        <w:rPr>
          <w:spacing w:val="-1"/>
        </w:rPr>
        <w:t>左右的学生选择向教师咨询，这可能与高中生的心理特征有关。</w:t>
      </w:r>
      <w:r>
        <w:rPr>
          <w:spacing w:val="-5"/>
        </w:rPr>
        <w:t>这一时期的学生可能会羞于向教师诉说烦恼。因此，当学生面临生涯规划上的困惑时，学校应鼓励学生突破心理上的障碍，积极面对困惑，勇敢的向外界求助， 同时，充分调动教师、家长以及专业人士的力量，共同帮助学生走出困惑。</w:t>
      </w:r>
    </w:p>
    <w:p>
      <w:pPr>
        <w:spacing w:after="0" w:line="364" w:lineRule="auto"/>
        <w:sectPr>
          <w:pgSz w:w="11910" w:h="16840"/>
          <w:pgMar w:header="878" w:footer="1191" w:top="1300" w:bottom="1380" w:left="480" w:right="220"/>
        </w:sectPr>
      </w:pPr>
    </w:p>
    <w:p>
      <w:pPr>
        <w:pStyle w:val="BodyText"/>
        <w:spacing w:before="5"/>
        <w:rPr>
          <w:sz w:val="13"/>
        </w:rPr>
      </w:pPr>
    </w:p>
    <w:p>
      <w:pPr>
        <w:pStyle w:val="ListParagraph"/>
        <w:numPr>
          <w:ilvl w:val="2"/>
          <w:numId w:val="42"/>
        </w:numPr>
        <w:tabs>
          <w:tab w:pos="1920" w:val="left" w:leader="none"/>
        </w:tabs>
        <w:spacing w:line="240" w:lineRule="auto" w:before="74" w:after="0"/>
        <w:ind w:left="1920" w:right="0" w:hanging="600"/>
        <w:jc w:val="left"/>
        <w:rPr>
          <w:sz w:val="24"/>
        </w:rPr>
      </w:pPr>
      <w:bookmarkStart w:name="_bookmark196" w:id="237"/>
      <w:bookmarkEnd w:id="237"/>
      <w:r>
        <w:rPr/>
      </w:r>
      <w:bookmarkStart w:name="_bookmark196" w:id="238"/>
      <w:bookmarkEnd w:id="238"/>
      <w:r>
        <w:rPr>
          <w:sz w:val="24"/>
        </w:rPr>
        <w:t>普通高中学生涯决策与规划情况不尽人意</w:t>
      </w:r>
    </w:p>
    <w:p>
      <w:pPr>
        <w:pStyle w:val="BodyText"/>
        <w:spacing w:before="10"/>
        <w:rPr>
          <w:sz w:val="35"/>
        </w:rPr>
      </w:pPr>
    </w:p>
    <w:p>
      <w:pPr>
        <w:pStyle w:val="BodyText"/>
        <w:spacing w:line="364" w:lineRule="auto"/>
        <w:ind w:left="1320" w:right="1577" w:firstLine="480"/>
      </w:pPr>
      <w:r>
        <w:rPr>
          <w:spacing w:val="-10"/>
        </w:rPr>
        <w:t>调查表明，当前普通高中生的生涯决策情况并不乐观，大多数学生都在生涯</w:t>
      </w:r>
      <w:r>
        <w:rPr>
          <w:spacing w:val="-4"/>
        </w:rPr>
        <w:t>决策与规划的问题上存在困惑，如表 </w:t>
      </w:r>
      <w:r>
        <w:rPr>
          <w:rFonts w:ascii="Times New Roman" w:eastAsia="Times New Roman"/>
        </w:rPr>
        <w:t>3.6 </w:t>
      </w:r>
      <w:r>
        <w:rPr/>
        <w:t>所示：</w:t>
      </w:r>
    </w:p>
    <w:p>
      <w:pPr>
        <w:pStyle w:val="BodyText"/>
        <w:rPr>
          <w:sz w:val="8"/>
        </w:rPr>
      </w:pPr>
    </w:p>
    <w:p>
      <w:pPr>
        <w:pStyle w:val="BodyText"/>
        <w:spacing w:before="74"/>
        <w:ind w:right="375"/>
        <w:jc w:val="center"/>
      </w:pPr>
      <w:r>
        <w:rPr/>
        <w:t>表 </w:t>
      </w:r>
      <w:r>
        <w:rPr>
          <w:rFonts w:ascii="Times New Roman" w:eastAsia="Times New Roman"/>
        </w:rPr>
        <w:t>3.6 </w:t>
      </w:r>
      <w:r>
        <w:rPr/>
        <w:t>普通高中学生生涯决策情况调查</w:t>
      </w:r>
    </w:p>
    <w:p>
      <w:pPr>
        <w:pStyle w:val="BodyText"/>
        <w:spacing w:before="1"/>
        <w:rPr>
          <w:sz w:val="29"/>
        </w:rPr>
      </w:pPr>
    </w:p>
    <w:tbl>
      <w:tblPr>
        <w:tblW w:w="0" w:type="auto"/>
        <w:jc w:val="left"/>
        <w:tblInd w:w="1619"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2801"/>
        <w:gridCol w:w="1243"/>
        <w:gridCol w:w="1185"/>
        <w:gridCol w:w="1305"/>
        <w:gridCol w:w="1203"/>
      </w:tblGrid>
      <w:tr>
        <w:trPr>
          <w:trHeight w:val="467" w:hRule="atLeast"/>
        </w:trPr>
        <w:tc>
          <w:tcPr>
            <w:tcW w:w="2801" w:type="dxa"/>
            <w:vMerge w:val="restart"/>
          </w:tcPr>
          <w:p>
            <w:pPr>
              <w:pStyle w:val="TableParagraph"/>
              <w:spacing w:before="1"/>
              <w:ind w:left="1140" w:right="1111"/>
              <w:jc w:val="center"/>
              <w:rPr>
                <w:rFonts w:ascii="Microsoft JhengHei" w:eastAsia="Microsoft JhengHei" w:hint="eastAsia"/>
                <w:b/>
                <w:sz w:val="24"/>
              </w:rPr>
            </w:pPr>
            <w:r>
              <w:rPr>
                <w:rFonts w:ascii="Microsoft JhengHei" w:eastAsia="Microsoft JhengHei" w:hint="eastAsia"/>
                <w:b/>
                <w:sz w:val="24"/>
              </w:rPr>
              <w:t>选项</w:t>
            </w:r>
          </w:p>
        </w:tc>
        <w:tc>
          <w:tcPr>
            <w:tcW w:w="4936" w:type="dxa"/>
            <w:gridSpan w:val="4"/>
          </w:tcPr>
          <w:p>
            <w:pPr>
              <w:pStyle w:val="TableParagraph"/>
              <w:spacing w:before="1"/>
              <w:ind w:left="2089" w:right="2057"/>
              <w:jc w:val="center"/>
              <w:rPr>
                <w:rFonts w:ascii="Microsoft JhengHei" w:eastAsia="Microsoft JhengHei" w:hint="eastAsia"/>
                <w:b/>
                <w:sz w:val="24"/>
              </w:rPr>
            </w:pPr>
            <w:r>
              <w:rPr>
                <w:rFonts w:ascii="Microsoft JhengHei" w:eastAsia="Microsoft JhengHei" w:hint="eastAsia"/>
                <w:b/>
                <w:sz w:val="24"/>
              </w:rPr>
              <w:t>百分比</w:t>
            </w:r>
          </w:p>
        </w:tc>
      </w:tr>
      <w:tr>
        <w:trPr>
          <w:trHeight w:val="467" w:hRule="atLeast"/>
        </w:trPr>
        <w:tc>
          <w:tcPr>
            <w:tcW w:w="2801" w:type="dxa"/>
            <w:vMerge/>
            <w:tcBorders>
              <w:top w:val="nil"/>
            </w:tcBorders>
          </w:tcPr>
          <w:p>
            <w:pPr>
              <w:rPr>
                <w:sz w:val="2"/>
                <w:szCs w:val="2"/>
              </w:rPr>
            </w:pPr>
          </w:p>
        </w:tc>
        <w:tc>
          <w:tcPr>
            <w:tcW w:w="1243" w:type="dxa"/>
          </w:tcPr>
          <w:p>
            <w:pPr>
              <w:pStyle w:val="TableParagraph"/>
              <w:spacing w:before="81"/>
              <w:ind w:right="77"/>
              <w:jc w:val="right"/>
              <w:rPr>
                <w:sz w:val="24"/>
              </w:rPr>
            </w:pPr>
            <w:r>
              <w:rPr>
                <w:sz w:val="24"/>
              </w:rPr>
              <w:t>完全符合</w:t>
            </w:r>
          </w:p>
        </w:tc>
        <w:tc>
          <w:tcPr>
            <w:tcW w:w="1185" w:type="dxa"/>
          </w:tcPr>
          <w:p>
            <w:pPr>
              <w:pStyle w:val="TableParagraph"/>
              <w:spacing w:before="81"/>
              <w:ind w:right="76"/>
              <w:jc w:val="right"/>
              <w:rPr>
                <w:sz w:val="24"/>
              </w:rPr>
            </w:pPr>
            <w:r>
              <w:rPr>
                <w:sz w:val="24"/>
              </w:rPr>
              <w:t>比较符合</w:t>
            </w:r>
          </w:p>
        </w:tc>
        <w:tc>
          <w:tcPr>
            <w:tcW w:w="1305" w:type="dxa"/>
          </w:tcPr>
          <w:p>
            <w:pPr>
              <w:pStyle w:val="TableParagraph"/>
              <w:spacing w:before="81"/>
              <w:ind w:right="142"/>
              <w:jc w:val="right"/>
              <w:rPr>
                <w:sz w:val="24"/>
              </w:rPr>
            </w:pPr>
            <w:r>
              <w:rPr>
                <w:sz w:val="24"/>
              </w:rPr>
              <w:t>不太符合</w:t>
            </w:r>
          </w:p>
        </w:tc>
        <w:tc>
          <w:tcPr>
            <w:tcW w:w="1203" w:type="dxa"/>
          </w:tcPr>
          <w:p>
            <w:pPr>
              <w:pStyle w:val="TableParagraph"/>
              <w:spacing w:before="81"/>
              <w:ind w:right="91"/>
              <w:jc w:val="right"/>
              <w:rPr>
                <w:sz w:val="24"/>
              </w:rPr>
            </w:pPr>
            <w:r>
              <w:rPr>
                <w:sz w:val="24"/>
              </w:rPr>
              <w:t>完全不符</w:t>
            </w:r>
          </w:p>
        </w:tc>
      </w:tr>
      <w:tr>
        <w:trPr>
          <w:trHeight w:val="397" w:hRule="atLeast"/>
        </w:trPr>
        <w:tc>
          <w:tcPr>
            <w:tcW w:w="2801" w:type="dxa"/>
            <w:tcBorders>
              <w:bottom w:val="nil"/>
            </w:tcBorders>
          </w:tcPr>
          <w:p>
            <w:pPr>
              <w:pStyle w:val="TableParagraph"/>
              <w:spacing w:before="41"/>
              <w:ind w:left="106"/>
              <w:rPr>
                <w:sz w:val="24"/>
              </w:rPr>
            </w:pPr>
            <w:r>
              <w:rPr>
                <w:rFonts w:ascii="Times New Roman" w:eastAsia="Times New Roman"/>
                <w:sz w:val="24"/>
              </w:rPr>
              <w:t>1.</w:t>
            </w:r>
            <w:r>
              <w:rPr>
                <w:sz w:val="24"/>
              </w:rPr>
              <w:t>你知道你的条件适合从</w:t>
            </w:r>
          </w:p>
        </w:tc>
        <w:tc>
          <w:tcPr>
            <w:tcW w:w="1243" w:type="dxa"/>
            <w:tcBorders>
              <w:bottom w:val="nil"/>
            </w:tcBorders>
          </w:tcPr>
          <w:p>
            <w:pPr>
              <w:pStyle w:val="TableParagraph"/>
              <w:spacing w:before="55"/>
              <w:ind w:right="74"/>
              <w:jc w:val="right"/>
              <w:rPr>
                <w:rFonts w:ascii="Times New Roman"/>
                <w:sz w:val="24"/>
              </w:rPr>
            </w:pPr>
            <w:r>
              <w:rPr>
                <w:rFonts w:ascii="Times New Roman"/>
                <w:sz w:val="24"/>
              </w:rPr>
              <w:t>11.1%</w:t>
            </w:r>
          </w:p>
        </w:tc>
        <w:tc>
          <w:tcPr>
            <w:tcW w:w="1185" w:type="dxa"/>
            <w:tcBorders>
              <w:bottom w:val="nil"/>
            </w:tcBorders>
          </w:tcPr>
          <w:p>
            <w:pPr>
              <w:pStyle w:val="TableParagraph"/>
              <w:spacing w:before="55"/>
              <w:ind w:right="76"/>
              <w:jc w:val="right"/>
              <w:rPr>
                <w:rFonts w:ascii="Times New Roman"/>
                <w:sz w:val="24"/>
              </w:rPr>
            </w:pPr>
            <w:r>
              <w:rPr>
                <w:rFonts w:ascii="Times New Roman"/>
                <w:sz w:val="24"/>
              </w:rPr>
              <w:t>32.7%</w:t>
            </w:r>
          </w:p>
        </w:tc>
        <w:tc>
          <w:tcPr>
            <w:tcW w:w="1305" w:type="dxa"/>
            <w:tcBorders>
              <w:bottom w:val="nil"/>
            </w:tcBorders>
          </w:tcPr>
          <w:p>
            <w:pPr>
              <w:pStyle w:val="TableParagraph"/>
              <w:spacing w:before="55"/>
              <w:ind w:right="75"/>
              <w:jc w:val="right"/>
              <w:rPr>
                <w:rFonts w:ascii="Times New Roman"/>
                <w:sz w:val="24"/>
              </w:rPr>
            </w:pPr>
            <w:r>
              <w:rPr>
                <w:rFonts w:ascii="Times New Roman"/>
                <w:sz w:val="24"/>
              </w:rPr>
              <w:t>43.6%</w:t>
            </w:r>
          </w:p>
        </w:tc>
        <w:tc>
          <w:tcPr>
            <w:tcW w:w="1203" w:type="dxa"/>
            <w:tcBorders>
              <w:bottom w:val="nil"/>
            </w:tcBorders>
          </w:tcPr>
          <w:p>
            <w:pPr>
              <w:pStyle w:val="TableParagraph"/>
              <w:spacing w:before="55"/>
              <w:ind w:right="76"/>
              <w:jc w:val="right"/>
              <w:rPr>
                <w:rFonts w:ascii="Times New Roman"/>
                <w:sz w:val="24"/>
              </w:rPr>
            </w:pPr>
            <w:r>
              <w:rPr>
                <w:rFonts w:ascii="Times New Roman"/>
                <w:sz w:val="24"/>
              </w:rPr>
              <w:t>12.6%</w:t>
            </w:r>
          </w:p>
        </w:tc>
      </w:tr>
      <w:tr>
        <w:trPr>
          <w:trHeight w:val="377" w:hRule="atLeast"/>
        </w:trPr>
        <w:tc>
          <w:tcPr>
            <w:tcW w:w="2801" w:type="dxa"/>
            <w:tcBorders>
              <w:top w:val="nil"/>
              <w:bottom w:val="nil"/>
            </w:tcBorders>
          </w:tcPr>
          <w:p>
            <w:pPr>
              <w:pStyle w:val="TableParagraph"/>
              <w:spacing w:before="32"/>
              <w:ind w:left="106"/>
              <w:rPr>
                <w:sz w:val="24"/>
              </w:rPr>
            </w:pPr>
            <w:r>
              <w:rPr>
                <w:sz w:val="24"/>
              </w:rPr>
              <w:t>事的职业</w:t>
            </w:r>
          </w:p>
        </w:tc>
        <w:tc>
          <w:tcPr>
            <w:tcW w:w="1243" w:type="dxa"/>
            <w:tcBorders>
              <w:top w:val="nil"/>
              <w:bottom w:val="nil"/>
            </w:tcBorders>
          </w:tcPr>
          <w:p>
            <w:pPr>
              <w:pStyle w:val="TableParagraph"/>
              <w:rPr>
                <w:rFonts w:ascii="Times New Roman"/>
                <w:sz w:val="22"/>
              </w:rPr>
            </w:pPr>
          </w:p>
        </w:tc>
        <w:tc>
          <w:tcPr>
            <w:tcW w:w="1185" w:type="dxa"/>
            <w:tcBorders>
              <w:top w:val="nil"/>
              <w:bottom w:val="nil"/>
            </w:tcBorders>
          </w:tcPr>
          <w:p>
            <w:pPr>
              <w:pStyle w:val="TableParagraph"/>
              <w:rPr>
                <w:rFonts w:ascii="Times New Roman"/>
                <w:sz w:val="22"/>
              </w:rPr>
            </w:pPr>
          </w:p>
        </w:tc>
        <w:tc>
          <w:tcPr>
            <w:tcW w:w="1305" w:type="dxa"/>
            <w:tcBorders>
              <w:top w:val="nil"/>
              <w:bottom w:val="nil"/>
            </w:tcBorders>
          </w:tcPr>
          <w:p>
            <w:pPr>
              <w:pStyle w:val="TableParagraph"/>
              <w:rPr>
                <w:rFonts w:ascii="Times New Roman"/>
                <w:sz w:val="22"/>
              </w:rPr>
            </w:pPr>
          </w:p>
        </w:tc>
        <w:tc>
          <w:tcPr>
            <w:tcW w:w="1203" w:type="dxa"/>
            <w:tcBorders>
              <w:top w:val="nil"/>
              <w:bottom w:val="nil"/>
            </w:tcBorders>
          </w:tcPr>
          <w:p>
            <w:pPr>
              <w:pStyle w:val="TableParagraph"/>
              <w:rPr>
                <w:rFonts w:ascii="Times New Roman"/>
                <w:sz w:val="22"/>
              </w:rPr>
            </w:pPr>
          </w:p>
        </w:tc>
      </w:tr>
      <w:tr>
        <w:trPr>
          <w:trHeight w:val="402" w:hRule="atLeast"/>
        </w:trPr>
        <w:tc>
          <w:tcPr>
            <w:tcW w:w="2801" w:type="dxa"/>
            <w:tcBorders>
              <w:top w:val="nil"/>
              <w:bottom w:val="nil"/>
            </w:tcBorders>
          </w:tcPr>
          <w:p>
            <w:pPr>
              <w:pStyle w:val="TableParagraph"/>
              <w:spacing w:before="47"/>
              <w:ind w:left="106"/>
              <w:rPr>
                <w:sz w:val="24"/>
              </w:rPr>
            </w:pPr>
            <w:r>
              <w:rPr>
                <w:rFonts w:ascii="Times New Roman" w:eastAsia="Times New Roman"/>
                <w:sz w:val="24"/>
              </w:rPr>
              <w:t>2.</w:t>
            </w:r>
            <w:r>
              <w:rPr>
                <w:sz w:val="24"/>
              </w:rPr>
              <w:t>事情决定后，你通常不</w:t>
            </w:r>
          </w:p>
        </w:tc>
        <w:tc>
          <w:tcPr>
            <w:tcW w:w="1243" w:type="dxa"/>
            <w:tcBorders>
              <w:top w:val="nil"/>
              <w:bottom w:val="nil"/>
            </w:tcBorders>
          </w:tcPr>
          <w:p>
            <w:pPr>
              <w:pStyle w:val="TableParagraph"/>
              <w:spacing w:before="60"/>
              <w:ind w:right="76"/>
              <w:jc w:val="right"/>
              <w:rPr>
                <w:rFonts w:ascii="Times New Roman"/>
                <w:sz w:val="24"/>
              </w:rPr>
            </w:pPr>
            <w:r>
              <w:rPr>
                <w:rFonts w:ascii="Times New Roman"/>
                <w:sz w:val="24"/>
              </w:rPr>
              <w:t>19.7%</w:t>
            </w:r>
          </w:p>
        </w:tc>
        <w:tc>
          <w:tcPr>
            <w:tcW w:w="1185" w:type="dxa"/>
            <w:tcBorders>
              <w:top w:val="nil"/>
              <w:bottom w:val="nil"/>
            </w:tcBorders>
          </w:tcPr>
          <w:p>
            <w:pPr>
              <w:pStyle w:val="TableParagraph"/>
              <w:spacing w:before="60"/>
              <w:ind w:right="76"/>
              <w:jc w:val="right"/>
              <w:rPr>
                <w:rFonts w:ascii="Times New Roman"/>
                <w:sz w:val="24"/>
              </w:rPr>
            </w:pPr>
            <w:r>
              <w:rPr>
                <w:rFonts w:ascii="Times New Roman"/>
                <w:sz w:val="24"/>
              </w:rPr>
              <w:t>47.8%</w:t>
            </w:r>
          </w:p>
        </w:tc>
        <w:tc>
          <w:tcPr>
            <w:tcW w:w="1305" w:type="dxa"/>
            <w:tcBorders>
              <w:top w:val="nil"/>
              <w:bottom w:val="nil"/>
            </w:tcBorders>
          </w:tcPr>
          <w:p>
            <w:pPr>
              <w:pStyle w:val="TableParagraph"/>
              <w:spacing w:before="60"/>
              <w:ind w:right="75"/>
              <w:jc w:val="right"/>
              <w:rPr>
                <w:rFonts w:ascii="Times New Roman"/>
                <w:sz w:val="24"/>
              </w:rPr>
            </w:pPr>
            <w:r>
              <w:rPr>
                <w:rFonts w:ascii="Times New Roman"/>
                <w:sz w:val="24"/>
              </w:rPr>
              <w:t>29.3%</w:t>
            </w:r>
          </w:p>
        </w:tc>
        <w:tc>
          <w:tcPr>
            <w:tcW w:w="1203" w:type="dxa"/>
            <w:tcBorders>
              <w:top w:val="nil"/>
              <w:bottom w:val="nil"/>
            </w:tcBorders>
          </w:tcPr>
          <w:p>
            <w:pPr>
              <w:pStyle w:val="TableParagraph"/>
              <w:spacing w:before="60"/>
              <w:ind w:right="76"/>
              <w:jc w:val="right"/>
              <w:rPr>
                <w:rFonts w:ascii="Times New Roman"/>
                <w:sz w:val="24"/>
              </w:rPr>
            </w:pPr>
            <w:r>
              <w:rPr>
                <w:rFonts w:ascii="Times New Roman"/>
                <w:sz w:val="24"/>
              </w:rPr>
              <w:t>3.2%</w:t>
            </w:r>
          </w:p>
        </w:tc>
      </w:tr>
      <w:tr>
        <w:trPr>
          <w:trHeight w:val="377" w:hRule="atLeast"/>
        </w:trPr>
        <w:tc>
          <w:tcPr>
            <w:tcW w:w="2801" w:type="dxa"/>
            <w:tcBorders>
              <w:top w:val="nil"/>
              <w:bottom w:val="nil"/>
            </w:tcBorders>
          </w:tcPr>
          <w:p>
            <w:pPr>
              <w:pStyle w:val="TableParagraph"/>
              <w:spacing w:before="32"/>
              <w:ind w:left="106"/>
              <w:rPr>
                <w:sz w:val="24"/>
              </w:rPr>
            </w:pPr>
            <w:r>
              <w:rPr>
                <w:sz w:val="24"/>
              </w:rPr>
              <w:t>会轻易后悔</w:t>
            </w:r>
          </w:p>
        </w:tc>
        <w:tc>
          <w:tcPr>
            <w:tcW w:w="1243" w:type="dxa"/>
            <w:tcBorders>
              <w:top w:val="nil"/>
              <w:bottom w:val="nil"/>
            </w:tcBorders>
          </w:tcPr>
          <w:p>
            <w:pPr>
              <w:pStyle w:val="TableParagraph"/>
              <w:rPr>
                <w:rFonts w:ascii="Times New Roman"/>
                <w:sz w:val="22"/>
              </w:rPr>
            </w:pPr>
          </w:p>
        </w:tc>
        <w:tc>
          <w:tcPr>
            <w:tcW w:w="1185" w:type="dxa"/>
            <w:tcBorders>
              <w:top w:val="nil"/>
              <w:bottom w:val="nil"/>
            </w:tcBorders>
          </w:tcPr>
          <w:p>
            <w:pPr>
              <w:pStyle w:val="TableParagraph"/>
              <w:rPr>
                <w:rFonts w:ascii="Times New Roman"/>
                <w:sz w:val="22"/>
              </w:rPr>
            </w:pPr>
          </w:p>
        </w:tc>
        <w:tc>
          <w:tcPr>
            <w:tcW w:w="1305" w:type="dxa"/>
            <w:tcBorders>
              <w:top w:val="nil"/>
              <w:bottom w:val="nil"/>
            </w:tcBorders>
          </w:tcPr>
          <w:p>
            <w:pPr>
              <w:pStyle w:val="TableParagraph"/>
              <w:rPr>
                <w:rFonts w:ascii="Times New Roman"/>
                <w:sz w:val="22"/>
              </w:rPr>
            </w:pPr>
          </w:p>
        </w:tc>
        <w:tc>
          <w:tcPr>
            <w:tcW w:w="1203" w:type="dxa"/>
            <w:tcBorders>
              <w:top w:val="nil"/>
              <w:bottom w:val="nil"/>
            </w:tcBorders>
          </w:tcPr>
          <w:p>
            <w:pPr>
              <w:pStyle w:val="TableParagraph"/>
              <w:rPr>
                <w:rFonts w:ascii="Times New Roman"/>
                <w:sz w:val="22"/>
              </w:rPr>
            </w:pPr>
          </w:p>
        </w:tc>
      </w:tr>
      <w:tr>
        <w:trPr>
          <w:trHeight w:val="402" w:hRule="atLeast"/>
        </w:trPr>
        <w:tc>
          <w:tcPr>
            <w:tcW w:w="2801" w:type="dxa"/>
            <w:tcBorders>
              <w:top w:val="nil"/>
              <w:bottom w:val="nil"/>
            </w:tcBorders>
          </w:tcPr>
          <w:p>
            <w:pPr>
              <w:pStyle w:val="TableParagraph"/>
              <w:spacing w:before="47"/>
              <w:ind w:left="106"/>
              <w:rPr>
                <w:sz w:val="24"/>
              </w:rPr>
            </w:pPr>
            <w:r>
              <w:rPr>
                <w:rFonts w:ascii="Times New Roman" w:eastAsia="Times New Roman"/>
                <w:sz w:val="24"/>
              </w:rPr>
              <w:t>3.</w:t>
            </w:r>
            <w:r>
              <w:rPr>
                <w:sz w:val="24"/>
              </w:rPr>
              <w:t>你实在很难决定自己的</w:t>
            </w:r>
          </w:p>
        </w:tc>
        <w:tc>
          <w:tcPr>
            <w:tcW w:w="1243" w:type="dxa"/>
            <w:tcBorders>
              <w:top w:val="nil"/>
              <w:bottom w:val="nil"/>
            </w:tcBorders>
          </w:tcPr>
          <w:p>
            <w:pPr>
              <w:pStyle w:val="TableParagraph"/>
              <w:spacing w:before="60"/>
              <w:ind w:right="76"/>
              <w:jc w:val="right"/>
              <w:rPr>
                <w:rFonts w:ascii="Times New Roman"/>
                <w:sz w:val="24"/>
              </w:rPr>
            </w:pPr>
            <w:r>
              <w:rPr>
                <w:rFonts w:ascii="Times New Roman"/>
                <w:sz w:val="24"/>
              </w:rPr>
              <w:t>16.3%</w:t>
            </w:r>
          </w:p>
        </w:tc>
        <w:tc>
          <w:tcPr>
            <w:tcW w:w="1185" w:type="dxa"/>
            <w:tcBorders>
              <w:top w:val="nil"/>
              <w:bottom w:val="nil"/>
            </w:tcBorders>
          </w:tcPr>
          <w:p>
            <w:pPr>
              <w:pStyle w:val="TableParagraph"/>
              <w:spacing w:before="60"/>
              <w:ind w:right="76"/>
              <w:jc w:val="right"/>
              <w:rPr>
                <w:rFonts w:ascii="Times New Roman"/>
                <w:sz w:val="24"/>
              </w:rPr>
            </w:pPr>
            <w:r>
              <w:rPr>
                <w:rFonts w:ascii="Times New Roman"/>
                <w:sz w:val="24"/>
              </w:rPr>
              <w:t>38.1%</w:t>
            </w:r>
          </w:p>
        </w:tc>
        <w:tc>
          <w:tcPr>
            <w:tcW w:w="1305" w:type="dxa"/>
            <w:tcBorders>
              <w:top w:val="nil"/>
              <w:bottom w:val="nil"/>
            </w:tcBorders>
          </w:tcPr>
          <w:p>
            <w:pPr>
              <w:pStyle w:val="TableParagraph"/>
              <w:spacing w:before="60"/>
              <w:ind w:right="75"/>
              <w:jc w:val="right"/>
              <w:rPr>
                <w:rFonts w:ascii="Times New Roman"/>
                <w:sz w:val="24"/>
              </w:rPr>
            </w:pPr>
            <w:r>
              <w:rPr>
                <w:rFonts w:ascii="Times New Roman"/>
                <w:sz w:val="24"/>
              </w:rPr>
              <w:t>35.4%</w:t>
            </w:r>
          </w:p>
        </w:tc>
        <w:tc>
          <w:tcPr>
            <w:tcW w:w="1203" w:type="dxa"/>
            <w:tcBorders>
              <w:top w:val="nil"/>
              <w:bottom w:val="nil"/>
            </w:tcBorders>
          </w:tcPr>
          <w:p>
            <w:pPr>
              <w:pStyle w:val="TableParagraph"/>
              <w:spacing w:before="60"/>
              <w:ind w:right="76"/>
              <w:jc w:val="right"/>
              <w:rPr>
                <w:rFonts w:ascii="Times New Roman"/>
                <w:sz w:val="24"/>
              </w:rPr>
            </w:pPr>
            <w:r>
              <w:rPr>
                <w:rFonts w:ascii="Times New Roman"/>
                <w:sz w:val="24"/>
              </w:rPr>
              <w:t>10.3%</w:t>
            </w:r>
          </w:p>
        </w:tc>
      </w:tr>
      <w:tr>
        <w:trPr>
          <w:trHeight w:val="377" w:hRule="atLeast"/>
        </w:trPr>
        <w:tc>
          <w:tcPr>
            <w:tcW w:w="2801" w:type="dxa"/>
            <w:tcBorders>
              <w:top w:val="nil"/>
              <w:bottom w:val="nil"/>
            </w:tcBorders>
          </w:tcPr>
          <w:p>
            <w:pPr>
              <w:pStyle w:val="TableParagraph"/>
              <w:spacing w:before="32"/>
              <w:ind w:left="106"/>
              <w:rPr>
                <w:sz w:val="24"/>
              </w:rPr>
            </w:pPr>
            <w:r>
              <w:rPr>
                <w:sz w:val="24"/>
              </w:rPr>
              <w:t>职业方向</w:t>
            </w:r>
          </w:p>
        </w:tc>
        <w:tc>
          <w:tcPr>
            <w:tcW w:w="1243" w:type="dxa"/>
            <w:tcBorders>
              <w:top w:val="nil"/>
              <w:bottom w:val="nil"/>
            </w:tcBorders>
          </w:tcPr>
          <w:p>
            <w:pPr>
              <w:pStyle w:val="TableParagraph"/>
              <w:rPr>
                <w:rFonts w:ascii="Times New Roman"/>
                <w:sz w:val="22"/>
              </w:rPr>
            </w:pPr>
          </w:p>
        </w:tc>
        <w:tc>
          <w:tcPr>
            <w:tcW w:w="1185" w:type="dxa"/>
            <w:tcBorders>
              <w:top w:val="nil"/>
              <w:bottom w:val="nil"/>
            </w:tcBorders>
          </w:tcPr>
          <w:p>
            <w:pPr>
              <w:pStyle w:val="TableParagraph"/>
              <w:rPr>
                <w:rFonts w:ascii="Times New Roman"/>
                <w:sz w:val="22"/>
              </w:rPr>
            </w:pPr>
          </w:p>
        </w:tc>
        <w:tc>
          <w:tcPr>
            <w:tcW w:w="1305" w:type="dxa"/>
            <w:tcBorders>
              <w:top w:val="nil"/>
              <w:bottom w:val="nil"/>
            </w:tcBorders>
          </w:tcPr>
          <w:p>
            <w:pPr>
              <w:pStyle w:val="TableParagraph"/>
              <w:rPr>
                <w:rFonts w:ascii="Times New Roman"/>
                <w:sz w:val="22"/>
              </w:rPr>
            </w:pPr>
          </w:p>
        </w:tc>
        <w:tc>
          <w:tcPr>
            <w:tcW w:w="1203" w:type="dxa"/>
            <w:tcBorders>
              <w:top w:val="nil"/>
              <w:bottom w:val="nil"/>
            </w:tcBorders>
          </w:tcPr>
          <w:p>
            <w:pPr>
              <w:pStyle w:val="TableParagraph"/>
              <w:rPr>
                <w:rFonts w:ascii="Times New Roman"/>
                <w:sz w:val="22"/>
              </w:rPr>
            </w:pPr>
          </w:p>
        </w:tc>
      </w:tr>
      <w:tr>
        <w:trPr>
          <w:trHeight w:val="402" w:hRule="atLeast"/>
        </w:trPr>
        <w:tc>
          <w:tcPr>
            <w:tcW w:w="2801" w:type="dxa"/>
            <w:tcBorders>
              <w:top w:val="nil"/>
              <w:bottom w:val="nil"/>
            </w:tcBorders>
          </w:tcPr>
          <w:p>
            <w:pPr>
              <w:pStyle w:val="TableParagraph"/>
              <w:spacing w:before="47"/>
              <w:ind w:left="106"/>
              <w:rPr>
                <w:sz w:val="24"/>
              </w:rPr>
            </w:pPr>
            <w:r>
              <w:rPr>
                <w:rFonts w:ascii="Times New Roman" w:eastAsia="Times New Roman"/>
                <w:sz w:val="24"/>
              </w:rPr>
              <w:t>4.</w:t>
            </w:r>
            <w:r>
              <w:rPr>
                <w:sz w:val="24"/>
              </w:rPr>
              <w:t>选专业，选职业等让你</w:t>
            </w:r>
          </w:p>
        </w:tc>
        <w:tc>
          <w:tcPr>
            <w:tcW w:w="1243" w:type="dxa"/>
            <w:tcBorders>
              <w:top w:val="nil"/>
              <w:bottom w:val="nil"/>
            </w:tcBorders>
          </w:tcPr>
          <w:p>
            <w:pPr>
              <w:pStyle w:val="TableParagraph"/>
              <w:spacing w:before="60"/>
              <w:ind w:right="76"/>
              <w:jc w:val="right"/>
              <w:rPr>
                <w:rFonts w:ascii="Times New Roman"/>
                <w:sz w:val="24"/>
              </w:rPr>
            </w:pPr>
            <w:r>
              <w:rPr>
                <w:rFonts w:ascii="Times New Roman"/>
                <w:sz w:val="24"/>
              </w:rPr>
              <w:t>17.7%</w:t>
            </w:r>
          </w:p>
        </w:tc>
        <w:tc>
          <w:tcPr>
            <w:tcW w:w="1185" w:type="dxa"/>
            <w:tcBorders>
              <w:top w:val="nil"/>
              <w:bottom w:val="nil"/>
            </w:tcBorders>
          </w:tcPr>
          <w:p>
            <w:pPr>
              <w:pStyle w:val="TableParagraph"/>
              <w:spacing w:before="60"/>
              <w:ind w:right="76"/>
              <w:jc w:val="right"/>
              <w:rPr>
                <w:rFonts w:ascii="Times New Roman"/>
                <w:sz w:val="24"/>
              </w:rPr>
            </w:pPr>
            <w:r>
              <w:rPr>
                <w:rFonts w:ascii="Times New Roman"/>
                <w:sz w:val="24"/>
              </w:rPr>
              <w:t>40.9%</w:t>
            </w:r>
          </w:p>
        </w:tc>
        <w:tc>
          <w:tcPr>
            <w:tcW w:w="1305" w:type="dxa"/>
            <w:tcBorders>
              <w:top w:val="nil"/>
              <w:bottom w:val="nil"/>
            </w:tcBorders>
          </w:tcPr>
          <w:p>
            <w:pPr>
              <w:pStyle w:val="TableParagraph"/>
              <w:spacing w:before="60"/>
              <w:ind w:right="75"/>
              <w:jc w:val="right"/>
              <w:rPr>
                <w:rFonts w:ascii="Times New Roman"/>
                <w:sz w:val="24"/>
              </w:rPr>
            </w:pPr>
            <w:r>
              <w:rPr>
                <w:rFonts w:ascii="Times New Roman"/>
                <w:sz w:val="24"/>
              </w:rPr>
              <w:t>32.7%</w:t>
            </w:r>
          </w:p>
        </w:tc>
        <w:tc>
          <w:tcPr>
            <w:tcW w:w="1203" w:type="dxa"/>
            <w:tcBorders>
              <w:top w:val="nil"/>
              <w:bottom w:val="nil"/>
            </w:tcBorders>
          </w:tcPr>
          <w:p>
            <w:pPr>
              <w:pStyle w:val="TableParagraph"/>
              <w:spacing w:before="60"/>
              <w:ind w:right="76"/>
              <w:jc w:val="right"/>
              <w:rPr>
                <w:rFonts w:ascii="Times New Roman"/>
                <w:sz w:val="24"/>
              </w:rPr>
            </w:pPr>
            <w:r>
              <w:rPr>
                <w:rFonts w:ascii="Times New Roman"/>
                <w:sz w:val="24"/>
              </w:rPr>
              <w:t>8.8%</w:t>
            </w:r>
          </w:p>
        </w:tc>
      </w:tr>
      <w:tr>
        <w:trPr>
          <w:trHeight w:val="377" w:hRule="atLeast"/>
        </w:trPr>
        <w:tc>
          <w:tcPr>
            <w:tcW w:w="2801" w:type="dxa"/>
            <w:tcBorders>
              <w:top w:val="nil"/>
              <w:bottom w:val="nil"/>
            </w:tcBorders>
          </w:tcPr>
          <w:p>
            <w:pPr>
              <w:pStyle w:val="TableParagraph"/>
              <w:spacing w:before="32"/>
              <w:ind w:left="106"/>
              <w:rPr>
                <w:sz w:val="24"/>
              </w:rPr>
            </w:pPr>
            <w:r>
              <w:rPr>
                <w:sz w:val="24"/>
              </w:rPr>
              <w:t>烦恼</w:t>
            </w:r>
          </w:p>
        </w:tc>
        <w:tc>
          <w:tcPr>
            <w:tcW w:w="1243" w:type="dxa"/>
            <w:tcBorders>
              <w:top w:val="nil"/>
              <w:bottom w:val="nil"/>
            </w:tcBorders>
          </w:tcPr>
          <w:p>
            <w:pPr>
              <w:pStyle w:val="TableParagraph"/>
              <w:rPr>
                <w:rFonts w:ascii="Times New Roman"/>
                <w:sz w:val="22"/>
              </w:rPr>
            </w:pPr>
          </w:p>
        </w:tc>
        <w:tc>
          <w:tcPr>
            <w:tcW w:w="1185" w:type="dxa"/>
            <w:tcBorders>
              <w:top w:val="nil"/>
              <w:bottom w:val="nil"/>
            </w:tcBorders>
          </w:tcPr>
          <w:p>
            <w:pPr>
              <w:pStyle w:val="TableParagraph"/>
              <w:rPr>
                <w:rFonts w:ascii="Times New Roman"/>
                <w:sz w:val="22"/>
              </w:rPr>
            </w:pPr>
          </w:p>
        </w:tc>
        <w:tc>
          <w:tcPr>
            <w:tcW w:w="1305" w:type="dxa"/>
            <w:tcBorders>
              <w:top w:val="nil"/>
              <w:bottom w:val="nil"/>
            </w:tcBorders>
          </w:tcPr>
          <w:p>
            <w:pPr>
              <w:pStyle w:val="TableParagraph"/>
              <w:rPr>
                <w:rFonts w:ascii="Times New Roman"/>
                <w:sz w:val="22"/>
              </w:rPr>
            </w:pPr>
          </w:p>
        </w:tc>
        <w:tc>
          <w:tcPr>
            <w:tcW w:w="1203" w:type="dxa"/>
            <w:tcBorders>
              <w:top w:val="nil"/>
              <w:bottom w:val="nil"/>
            </w:tcBorders>
          </w:tcPr>
          <w:p>
            <w:pPr>
              <w:pStyle w:val="TableParagraph"/>
              <w:rPr>
                <w:rFonts w:ascii="Times New Roman"/>
                <w:sz w:val="22"/>
              </w:rPr>
            </w:pPr>
          </w:p>
        </w:tc>
      </w:tr>
      <w:tr>
        <w:trPr>
          <w:trHeight w:val="402" w:hRule="atLeast"/>
        </w:trPr>
        <w:tc>
          <w:tcPr>
            <w:tcW w:w="2801" w:type="dxa"/>
            <w:tcBorders>
              <w:top w:val="nil"/>
              <w:bottom w:val="nil"/>
            </w:tcBorders>
          </w:tcPr>
          <w:p>
            <w:pPr>
              <w:pStyle w:val="TableParagraph"/>
              <w:spacing w:before="47"/>
              <w:ind w:left="106"/>
              <w:rPr>
                <w:sz w:val="24"/>
              </w:rPr>
            </w:pPr>
            <w:r>
              <w:rPr>
                <w:rFonts w:ascii="Times New Roman" w:eastAsia="Times New Roman"/>
                <w:sz w:val="24"/>
              </w:rPr>
              <w:t>5.</w:t>
            </w:r>
            <w:r>
              <w:rPr>
                <w:sz w:val="24"/>
              </w:rPr>
              <w:t>你不清楚感兴趣的职业</w:t>
            </w:r>
          </w:p>
        </w:tc>
        <w:tc>
          <w:tcPr>
            <w:tcW w:w="1243" w:type="dxa"/>
            <w:tcBorders>
              <w:top w:val="nil"/>
              <w:bottom w:val="nil"/>
            </w:tcBorders>
          </w:tcPr>
          <w:p>
            <w:pPr>
              <w:pStyle w:val="TableParagraph"/>
              <w:spacing w:before="60"/>
              <w:ind w:right="76"/>
              <w:jc w:val="right"/>
              <w:rPr>
                <w:rFonts w:ascii="Times New Roman"/>
                <w:sz w:val="24"/>
              </w:rPr>
            </w:pPr>
            <w:r>
              <w:rPr>
                <w:rFonts w:ascii="Times New Roman"/>
                <w:sz w:val="24"/>
              </w:rPr>
              <w:t>14.7%</w:t>
            </w:r>
          </w:p>
        </w:tc>
        <w:tc>
          <w:tcPr>
            <w:tcW w:w="1185" w:type="dxa"/>
            <w:tcBorders>
              <w:top w:val="nil"/>
              <w:bottom w:val="nil"/>
            </w:tcBorders>
          </w:tcPr>
          <w:p>
            <w:pPr>
              <w:pStyle w:val="TableParagraph"/>
              <w:spacing w:before="60"/>
              <w:ind w:right="76"/>
              <w:jc w:val="right"/>
              <w:rPr>
                <w:rFonts w:ascii="Times New Roman"/>
                <w:sz w:val="24"/>
              </w:rPr>
            </w:pPr>
            <w:r>
              <w:rPr>
                <w:rFonts w:ascii="Times New Roman"/>
                <w:sz w:val="24"/>
              </w:rPr>
              <w:t>44.4%</w:t>
            </w:r>
          </w:p>
        </w:tc>
        <w:tc>
          <w:tcPr>
            <w:tcW w:w="1305" w:type="dxa"/>
            <w:tcBorders>
              <w:top w:val="nil"/>
              <w:bottom w:val="nil"/>
            </w:tcBorders>
          </w:tcPr>
          <w:p>
            <w:pPr>
              <w:pStyle w:val="TableParagraph"/>
              <w:spacing w:before="60"/>
              <w:ind w:right="75"/>
              <w:jc w:val="right"/>
              <w:rPr>
                <w:rFonts w:ascii="Times New Roman"/>
                <w:sz w:val="24"/>
              </w:rPr>
            </w:pPr>
            <w:r>
              <w:rPr>
                <w:rFonts w:ascii="Times New Roman"/>
                <w:sz w:val="24"/>
              </w:rPr>
              <w:t>32.5%</w:t>
            </w:r>
          </w:p>
        </w:tc>
        <w:tc>
          <w:tcPr>
            <w:tcW w:w="1203" w:type="dxa"/>
            <w:tcBorders>
              <w:top w:val="nil"/>
              <w:bottom w:val="nil"/>
            </w:tcBorders>
          </w:tcPr>
          <w:p>
            <w:pPr>
              <w:pStyle w:val="TableParagraph"/>
              <w:spacing w:before="60"/>
              <w:ind w:right="76"/>
              <w:jc w:val="right"/>
              <w:rPr>
                <w:rFonts w:ascii="Times New Roman"/>
                <w:sz w:val="24"/>
              </w:rPr>
            </w:pPr>
            <w:r>
              <w:rPr>
                <w:rFonts w:ascii="Times New Roman"/>
                <w:sz w:val="24"/>
              </w:rPr>
              <w:t>8.4%</w:t>
            </w:r>
          </w:p>
        </w:tc>
      </w:tr>
      <w:tr>
        <w:trPr>
          <w:trHeight w:val="377" w:hRule="atLeast"/>
        </w:trPr>
        <w:tc>
          <w:tcPr>
            <w:tcW w:w="2801" w:type="dxa"/>
            <w:tcBorders>
              <w:top w:val="nil"/>
              <w:bottom w:val="nil"/>
            </w:tcBorders>
          </w:tcPr>
          <w:p>
            <w:pPr>
              <w:pStyle w:val="TableParagraph"/>
              <w:spacing w:before="32"/>
              <w:ind w:left="106"/>
              <w:rPr>
                <w:sz w:val="24"/>
              </w:rPr>
            </w:pPr>
            <w:r>
              <w:rPr>
                <w:sz w:val="24"/>
              </w:rPr>
              <w:t>要哪些能力</w:t>
            </w:r>
          </w:p>
        </w:tc>
        <w:tc>
          <w:tcPr>
            <w:tcW w:w="1243" w:type="dxa"/>
            <w:tcBorders>
              <w:top w:val="nil"/>
              <w:bottom w:val="nil"/>
            </w:tcBorders>
          </w:tcPr>
          <w:p>
            <w:pPr>
              <w:pStyle w:val="TableParagraph"/>
              <w:rPr>
                <w:rFonts w:ascii="Times New Roman"/>
                <w:sz w:val="22"/>
              </w:rPr>
            </w:pPr>
          </w:p>
        </w:tc>
        <w:tc>
          <w:tcPr>
            <w:tcW w:w="1185" w:type="dxa"/>
            <w:tcBorders>
              <w:top w:val="nil"/>
              <w:bottom w:val="nil"/>
            </w:tcBorders>
          </w:tcPr>
          <w:p>
            <w:pPr>
              <w:pStyle w:val="TableParagraph"/>
              <w:rPr>
                <w:rFonts w:ascii="Times New Roman"/>
                <w:sz w:val="22"/>
              </w:rPr>
            </w:pPr>
          </w:p>
        </w:tc>
        <w:tc>
          <w:tcPr>
            <w:tcW w:w="1305" w:type="dxa"/>
            <w:tcBorders>
              <w:top w:val="nil"/>
              <w:bottom w:val="nil"/>
            </w:tcBorders>
          </w:tcPr>
          <w:p>
            <w:pPr>
              <w:pStyle w:val="TableParagraph"/>
              <w:rPr>
                <w:rFonts w:ascii="Times New Roman"/>
                <w:sz w:val="22"/>
              </w:rPr>
            </w:pPr>
          </w:p>
        </w:tc>
        <w:tc>
          <w:tcPr>
            <w:tcW w:w="1203" w:type="dxa"/>
            <w:tcBorders>
              <w:top w:val="nil"/>
              <w:bottom w:val="nil"/>
            </w:tcBorders>
          </w:tcPr>
          <w:p>
            <w:pPr>
              <w:pStyle w:val="TableParagraph"/>
              <w:rPr>
                <w:rFonts w:ascii="Times New Roman"/>
                <w:sz w:val="22"/>
              </w:rPr>
            </w:pPr>
          </w:p>
        </w:tc>
      </w:tr>
      <w:tr>
        <w:trPr>
          <w:trHeight w:val="402" w:hRule="atLeast"/>
        </w:trPr>
        <w:tc>
          <w:tcPr>
            <w:tcW w:w="2801" w:type="dxa"/>
            <w:tcBorders>
              <w:top w:val="nil"/>
              <w:bottom w:val="nil"/>
            </w:tcBorders>
          </w:tcPr>
          <w:p>
            <w:pPr>
              <w:pStyle w:val="TableParagraph"/>
              <w:spacing w:before="47"/>
              <w:ind w:left="106"/>
              <w:rPr>
                <w:sz w:val="24"/>
              </w:rPr>
            </w:pPr>
            <w:r>
              <w:rPr>
                <w:rFonts w:ascii="Times New Roman" w:eastAsia="Times New Roman"/>
                <w:sz w:val="24"/>
              </w:rPr>
              <w:t>6.</w:t>
            </w:r>
            <w:r>
              <w:rPr>
                <w:sz w:val="24"/>
              </w:rPr>
              <w:t>你不清楚有兴趣的职业</w:t>
            </w:r>
          </w:p>
        </w:tc>
        <w:tc>
          <w:tcPr>
            <w:tcW w:w="1243" w:type="dxa"/>
            <w:tcBorders>
              <w:top w:val="nil"/>
              <w:bottom w:val="nil"/>
            </w:tcBorders>
          </w:tcPr>
          <w:p>
            <w:pPr>
              <w:pStyle w:val="TableParagraph"/>
              <w:spacing w:before="60"/>
              <w:ind w:right="76"/>
              <w:jc w:val="right"/>
              <w:rPr>
                <w:rFonts w:ascii="Times New Roman"/>
                <w:sz w:val="24"/>
              </w:rPr>
            </w:pPr>
            <w:r>
              <w:rPr>
                <w:rFonts w:ascii="Times New Roman"/>
                <w:sz w:val="24"/>
              </w:rPr>
              <w:t>13.3%</w:t>
            </w:r>
          </w:p>
        </w:tc>
        <w:tc>
          <w:tcPr>
            <w:tcW w:w="1185" w:type="dxa"/>
            <w:tcBorders>
              <w:top w:val="nil"/>
              <w:bottom w:val="nil"/>
            </w:tcBorders>
          </w:tcPr>
          <w:p>
            <w:pPr>
              <w:pStyle w:val="TableParagraph"/>
              <w:spacing w:before="60"/>
              <w:ind w:right="76"/>
              <w:jc w:val="right"/>
              <w:rPr>
                <w:rFonts w:ascii="Times New Roman"/>
                <w:sz w:val="24"/>
              </w:rPr>
            </w:pPr>
            <w:r>
              <w:rPr>
                <w:rFonts w:ascii="Times New Roman"/>
                <w:sz w:val="24"/>
              </w:rPr>
              <w:t>47.8%</w:t>
            </w:r>
          </w:p>
        </w:tc>
        <w:tc>
          <w:tcPr>
            <w:tcW w:w="1305" w:type="dxa"/>
            <w:tcBorders>
              <w:top w:val="nil"/>
              <w:bottom w:val="nil"/>
            </w:tcBorders>
          </w:tcPr>
          <w:p>
            <w:pPr>
              <w:pStyle w:val="TableParagraph"/>
              <w:spacing w:before="60"/>
              <w:ind w:right="75"/>
              <w:jc w:val="right"/>
              <w:rPr>
                <w:rFonts w:ascii="Times New Roman"/>
                <w:sz w:val="24"/>
              </w:rPr>
            </w:pPr>
            <w:r>
              <w:rPr>
                <w:rFonts w:ascii="Times New Roman"/>
                <w:sz w:val="24"/>
              </w:rPr>
              <w:t>31.7%</w:t>
            </w:r>
          </w:p>
        </w:tc>
        <w:tc>
          <w:tcPr>
            <w:tcW w:w="1203" w:type="dxa"/>
            <w:tcBorders>
              <w:top w:val="nil"/>
              <w:bottom w:val="nil"/>
            </w:tcBorders>
          </w:tcPr>
          <w:p>
            <w:pPr>
              <w:pStyle w:val="TableParagraph"/>
              <w:spacing w:before="60"/>
              <w:ind w:right="76"/>
              <w:jc w:val="right"/>
              <w:rPr>
                <w:rFonts w:ascii="Times New Roman"/>
                <w:sz w:val="24"/>
              </w:rPr>
            </w:pPr>
            <w:r>
              <w:rPr>
                <w:rFonts w:ascii="Times New Roman"/>
                <w:sz w:val="24"/>
              </w:rPr>
              <w:t>7.2%</w:t>
            </w:r>
          </w:p>
        </w:tc>
      </w:tr>
      <w:tr>
        <w:trPr>
          <w:trHeight w:val="377" w:hRule="atLeast"/>
        </w:trPr>
        <w:tc>
          <w:tcPr>
            <w:tcW w:w="2801" w:type="dxa"/>
            <w:tcBorders>
              <w:top w:val="nil"/>
              <w:bottom w:val="nil"/>
            </w:tcBorders>
          </w:tcPr>
          <w:p>
            <w:pPr>
              <w:pStyle w:val="TableParagraph"/>
              <w:spacing w:before="32"/>
              <w:ind w:left="106"/>
              <w:rPr>
                <w:sz w:val="24"/>
              </w:rPr>
            </w:pPr>
            <w:r>
              <w:rPr>
                <w:sz w:val="24"/>
              </w:rPr>
              <w:t>应具备的条件</w:t>
            </w:r>
          </w:p>
        </w:tc>
        <w:tc>
          <w:tcPr>
            <w:tcW w:w="1243" w:type="dxa"/>
            <w:tcBorders>
              <w:top w:val="nil"/>
              <w:bottom w:val="nil"/>
            </w:tcBorders>
          </w:tcPr>
          <w:p>
            <w:pPr>
              <w:pStyle w:val="TableParagraph"/>
              <w:rPr>
                <w:rFonts w:ascii="Times New Roman"/>
                <w:sz w:val="22"/>
              </w:rPr>
            </w:pPr>
          </w:p>
        </w:tc>
        <w:tc>
          <w:tcPr>
            <w:tcW w:w="1185" w:type="dxa"/>
            <w:tcBorders>
              <w:top w:val="nil"/>
              <w:bottom w:val="nil"/>
            </w:tcBorders>
          </w:tcPr>
          <w:p>
            <w:pPr>
              <w:pStyle w:val="TableParagraph"/>
              <w:rPr>
                <w:rFonts w:ascii="Times New Roman"/>
                <w:sz w:val="22"/>
              </w:rPr>
            </w:pPr>
          </w:p>
        </w:tc>
        <w:tc>
          <w:tcPr>
            <w:tcW w:w="1305" w:type="dxa"/>
            <w:tcBorders>
              <w:top w:val="nil"/>
              <w:bottom w:val="nil"/>
            </w:tcBorders>
          </w:tcPr>
          <w:p>
            <w:pPr>
              <w:pStyle w:val="TableParagraph"/>
              <w:rPr>
                <w:rFonts w:ascii="Times New Roman"/>
                <w:sz w:val="22"/>
              </w:rPr>
            </w:pPr>
          </w:p>
        </w:tc>
        <w:tc>
          <w:tcPr>
            <w:tcW w:w="1203" w:type="dxa"/>
            <w:tcBorders>
              <w:top w:val="nil"/>
              <w:bottom w:val="nil"/>
            </w:tcBorders>
          </w:tcPr>
          <w:p>
            <w:pPr>
              <w:pStyle w:val="TableParagraph"/>
              <w:rPr>
                <w:rFonts w:ascii="Times New Roman"/>
                <w:sz w:val="22"/>
              </w:rPr>
            </w:pPr>
          </w:p>
        </w:tc>
      </w:tr>
      <w:tr>
        <w:trPr>
          <w:trHeight w:val="402" w:hRule="atLeast"/>
        </w:trPr>
        <w:tc>
          <w:tcPr>
            <w:tcW w:w="2801" w:type="dxa"/>
            <w:tcBorders>
              <w:top w:val="nil"/>
              <w:bottom w:val="nil"/>
            </w:tcBorders>
          </w:tcPr>
          <w:p>
            <w:pPr>
              <w:pStyle w:val="TableParagraph"/>
              <w:spacing w:before="47"/>
              <w:ind w:left="106"/>
              <w:rPr>
                <w:sz w:val="24"/>
              </w:rPr>
            </w:pPr>
            <w:r>
              <w:rPr>
                <w:rFonts w:ascii="Times New Roman" w:eastAsia="Times New Roman"/>
                <w:sz w:val="24"/>
              </w:rPr>
              <w:t>7.</w:t>
            </w:r>
            <w:r>
              <w:rPr>
                <w:sz w:val="24"/>
              </w:rPr>
              <w:t>没有家人朋友的支持，</w:t>
            </w:r>
          </w:p>
        </w:tc>
        <w:tc>
          <w:tcPr>
            <w:tcW w:w="1243" w:type="dxa"/>
            <w:tcBorders>
              <w:top w:val="nil"/>
              <w:bottom w:val="nil"/>
            </w:tcBorders>
          </w:tcPr>
          <w:p>
            <w:pPr>
              <w:pStyle w:val="TableParagraph"/>
              <w:spacing w:before="60"/>
              <w:ind w:right="76"/>
              <w:jc w:val="right"/>
              <w:rPr>
                <w:rFonts w:ascii="Times New Roman"/>
                <w:sz w:val="24"/>
              </w:rPr>
            </w:pPr>
            <w:r>
              <w:rPr>
                <w:rFonts w:ascii="Times New Roman"/>
                <w:sz w:val="24"/>
              </w:rPr>
              <w:t>13.1%</w:t>
            </w:r>
          </w:p>
        </w:tc>
        <w:tc>
          <w:tcPr>
            <w:tcW w:w="1185" w:type="dxa"/>
            <w:tcBorders>
              <w:top w:val="nil"/>
              <w:bottom w:val="nil"/>
            </w:tcBorders>
          </w:tcPr>
          <w:p>
            <w:pPr>
              <w:pStyle w:val="TableParagraph"/>
              <w:spacing w:before="60"/>
              <w:ind w:right="76"/>
              <w:jc w:val="right"/>
              <w:rPr>
                <w:rFonts w:ascii="Times New Roman"/>
                <w:sz w:val="24"/>
              </w:rPr>
            </w:pPr>
            <w:r>
              <w:rPr>
                <w:rFonts w:ascii="Times New Roman"/>
                <w:sz w:val="24"/>
              </w:rPr>
              <w:t>34.9%</w:t>
            </w:r>
          </w:p>
        </w:tc>
        <w:tc>
          <w:tcPr>
            <w:tcW w:w="1305" w:type="dxa"/>
            <w:tcBorders>
              <w:top w:val="nil"/>
              <w:bottom w:val="nil"/>
            </w:tcBorders>
          </w:tcPr>
          <w:p>
            <w:pPr>
              <w:pStyle w:val="TableParagraph"/>
              <w:spacing w:before="60"/>
              <w:ind w:right="75"/>
              <w:jc w:val="right"/>
              <w:rPr>
                <w:rFonts w:ascii="Times New Roman"/>
                <w:sz w:val="24"/>
              </w:rPr>
            </w:pPr>
            <w:r>
              <w:rPr>
                <w:rFonts w:ascii="Times New Roman"/>
                <w:sz w:val="24"/>
              </w:rPr>
              <w:t>39.1%</w:t>
            </w:r>
          </w:p>
        </w:tc>
        <w:tc>
          <w:tcPr>
            <w:tcW w:w="1203" w:type="dxa"/>
            <w:tcBorders>
              <w:top w:val="nil"/>
              <w:bottom w:val="nil"/>
            </w:tcBorders>
          </w:tcPr>
          <w:p>
            <w:pPr>
              <w:pStyle w:val="TableParagraph"/>
              <w:spacing w:before="60"/>
              <w:ind w:right="76"/>
              <w:jc w:val="right"/>
              <w:rPr>
                <w:rFonts w:ascii="Times New Roman"/>
                <w:sz w:val="24"/>
              </w:rPr>
            </w:pPr>
            <w:r>
              <w:rPr>
                <w:rFonts w:ascii="Times New Roman"/>
                <w:sz w:val="24"/>
              </w:rPr>
              <w:t>13.0%</w:t>
            </w:r>
          </w:p>
        </w:tc>
      </w:tr>
      <w:tr>
        <w:trPr>
          <w:trHeight w:val="382" w:hRule="atLeast"/>
        </w:trPr>
        <w:tc>
          <w:tcPr>
            <w:tcW w:w="2801" w:type="dxa"/>
            <w:tcBorders>
              <w:top w:val="nil"/>
              <w:bottom w:val="nil"/>
            </w:tcBorders>
          </w:tcPr>
          <w:p>
            <w:pPr>
              <w:pStyle w:val="TableParagraph"/>
              <w:spacing w:before="32"/>
              <w:ind w:left="106"/>
              <w:rPr>
                <w:sz w:val="24"/>
              </w:rPr>
            </w:pPr>
            <w:r>
              <w:rPr>
                <w:sz w:val="24"/>
              </w:rPr>
              <w:t>很难选定一种合适的职</w:t>
            </w:r>
          </w:p>
        </w:tc>
        <w:tc>
          <w:tcPr>
            <w:tcW w:w="1243" w:type="dxa"/>
            <w:tcBorders>
              <w:top w:val="nil"/>
              <w:bottom w:val="nil"/>
            </w:tcBorders>
          </w:tcPr>
          <w:p>
            <w:pPr>
              <w:pStyle w:val="TableParagraph"/>
              <w:rPr>
                <w:rFonts w:ascii="Times New Roman"/>
                <w:sz w:val="22"/>
              </w:rPr>
            </w:pPr>
          </w:p>
        </w:tc>
        <w:tc>
          <w:tcPr>
            <w:tcW w:w="1185" w:type="dxa"/>
            <w:tcBorders>
              <w:top w:val="nil"/>
              <w:bottom w:val="nil"/>
            </w:tcBorders>
          </w:tcPr>
          <w:p>
            <w:pPr>
              <w:pStyle w:val="TableParagraph"/>
              <w:rPr>
                <w:rFonts w:ascii="Times New Roman"/>
                <w:sz w:val="22"/>
              </w:rPr>
            </w:pPr>
          </w:p>
        </w:tc>
        <w:tc>
          <w:tcPr>
            <w:tcW w:w="1305" w:type="dxa"/>
            <w:tcBorders>
              <w:top w:val="nil"/>
              <w:bottom w:val="nil"/>
            </w:tcBorders>
          </w:tcPr>
          <w:p>
            <w:pPr>
              <w:pStyle w:val="TableParagraph"/>
              <w:rPr>
                <w:rFonts w:ascii="Times New Roman"/>
                <w:sz w:val="22"/>
              </w:rPr>
            </w:pPr>
          </w:p>
        </w:tc>
        <w:tc>
          <w:tcPr>
            <w:tcW w:w="1203" w:type="dxa"/>
            <w:tcBorders>
              <w:top w:val="nil"/>
              <w:bottom w:val="nil"/>
            </w:tcBorders>
          </w:tcPr>
          <w:p>
            <w:pPr>
              <w:pStyle w:val="TableParagraph"/>
              <w:rPr>
                <w:rFonts w:ascii="Times New Roman"/>
                <w:sz w:val="22"/>
              </w:rPr>
            </w:pPr>
          </w:p>
        </w:tc>
      </w:tr>
      <w:tr>
        <w:trPr>
          <w:trHeight w:val="390" w:hRule="atLeast"/>
        </w:trPr>
        <w:tc>
          <w:tcPr>
            <w:tcW w:w="2801" w:type="dxa"/>
            <w:tcBorders>
              <w:top w:val="nil"/>
            </w:tcBorders>
          </w:tcPr>
          <w:p>
            <w:pPr>
              <w:pStyle w:val="TableParagraph"/>
              <w:spacing w:before="42"/>
              <w:ind w:left="106"/>
              <w:rPr>
                <w:sz w:val="24"/>
              </w:rPr>
            </w:pPr>
            <w:r>
              <w:rPr>
                <w:sz w:val="24"/>
              </w:rPr>
              <w:t>业方向</w:t>
            </w:r>
          </w:p>
        </w:tc>
        <w:tc>
          <w:tcPr>
            <w:tcW w:w="1243" w:type="dxa"/>
            <w:tcBorders>
              <w:top w:val="nil"/>
            </w:tcBorders>
          </w:tcPr>
          <w:p>
            <w:pPr>
              <w:pStyle w:val="TableParagraph"/>
              <w:rPr>
                <w:rFonts w:ascii="Times New Roman"/>
                <w:sz w:val="22"/>
              </w:rPr>
            </w:pPr>
          </w:p>
        </w:tc>
        <w:tc>
          <w:tcPr>
            <w:tcW w:w="1185" w:type="dxa"/>
            <w:tcBorders>
              <w:top w:val="nil"/>
            </w:tcBorders>
          </w:tcPr>
          <w:p>
            <w:pPr>
              <w:pStyle w:val="TableParagraph"/>
              <w:rPr>
                <w:rFonts w:ascii="Times New Roman"/>
                <w:sz w:val="22"/>
              </w:rPr>
            </w:pPr>
          </w:p>
        </w:tc>
        <w:tc>
          <w:tcPr>
            <w:tcW w:w="1305" w:type="dxa"/>
            <w:tcBorders>
              <w:top w:val="nil"/>
            </w:tcBorders>
          </w:tcPr>
          <w:p>
            <w:pPr>
              <w:pStyle w:val="TableParagraph"/>
              <w:rPr>
                <w:rFonts w:ascii="Times New Roman"/>
                <w:sz w:val="22"/>
              </w:rPr>
            </w:pPr>
          </w:p>
        </w:tc>
        <w:tc>
          <w:tcPr>
            <w:tcW w:w="1203" w:type="dxa"/>
            <w:tcBorders>
              <w:top w:val="nil"/>
            </w:tcBorders>
          </w:tcPr>
          <w:p>
            <w:pPr>
              <w:pStyle w:val="TableParagraph"/>
              <w:rPr>
                <w:rFonts w:ascii="Times New Roman"/>
                <w:sz w:val="22"/>
              </w:rPr>
            </w:pPr>
          </w:p>
        </w:tc>
      </w:tr>
    </w:tbl>
    <w:p>
      <w:pPr>
        <w:pStyle w:val="BodyText"/>
        <w:rPr>
          <w:sz w:val="20"/>
        </w:rPr>
      </w:pPr>
    </w:p>
    <w:p>
      <w:pPr>
        <w:pStyle w:val="BodyText"/>
        <w:rPr>
          <w:sz w:val="17"/>
        </w:rPr>
      </w:pPr>
    </w:p>
    <w:p>
      <w:pPr>
        <w:pStyle w:val="BodyText"/>
        <w:spacing w:line="364" w:lineRule="auto" w:before="74"/>
        <w:ind w:left="1320" w:right="1455" w:firstLine="480"/>
      </w:pPr>
      <w:r>
        <w:rPr>
          <w:spacing w:val="-20"/>
        </w:rPr>
        <w:t>从表 </w:t>
      </w:r>
      <w:r>
        <w:rPr>
          <w:rFonts w:ascii="Times New Roman" w:hAnsi="Times New Roman" w:eastAsia="Times New Roman"/>
        </w:rPr>
        <w:t>3.6 </w:t>
      </w:r>
      <w:r>
        <w:rPr>
          <w:spacing w:val="-13"/>
        </w:rPr>
        <w:t>的数据中不难看出，半数以上的学生在生涯决策上存在困惑。首先， </w:t>
      </w:r>
      <w:r>
        <w:rPr>
          <w:spacing w:val="-4"/>
        </w:rPr>
        <w:t>绝大部分学生表示不清楚感兴趣的职业所需要的专业能力和条件，接近 </w:t>
      </w:r>
      <w:r>
        <w:rPr>
          <w:rFonts w:ascii="Times New Roman" w:hAnsi="Times New Roman" w:eastAsia="Times New Roman"/>
          <w:spacing w:val="-14"/>
        </w:rPr>
        <w:t>60%</w:t>
      </w:r>
      <w:r>
        <w:rPr>
          <w:spacing w:val="-14"/>
        </w:rPr>
        <w:t>（</w:t>
      </w:r>
      <w:r>
        <w:rPr/>
        <w:t>选</w:t>
      </w:r>
      <w:r>
        <w:rPr>
          <w:spacing w:val="-10"/>
        </w:rPr>
        <w:t>择“完全符合”与“比较符合”的比例之和</w:t>
      </w:r>
      <w:r>
        <w:rPr>
          <w:spacing w:val="-20"/>
        </w:rPr>
        <w:t>）</w:t>
      </w:r>
      <w:r>
        <w:rPr/>
        <w:t>不的学生了解自身的条件适合什么</w:t>
      </w:r>
      <w:r>
        <w:rPr>
          <w:spacing w:val="-11"/>
        </w:rPr>
        <w:t>职业。其次，共计 </w:t>
      </w:r>
      <w:r>
        <w:rPr>
          <w:rFonts w:ascii="Times New Roman" w:hAnsi="Times New Roman" w:eastAsia="Times New Roman"/>
        </w:rPr>
        <w:t>58.6%</w:t>
      </w:r>
      <w:r>
        <w:rPr/>
        <w:t>（</w:t>
      </w:r>
      <w:r>
        <w:rPr>
          <w:spacing w:val="-5"/>
        </w:rPr>
        <w:t>选择“完全符合”与“比较符合”的比例之和</w:t>
      </w:r>
      <w:r>
        <w:rPr>
          <w:spacing w:val="-8"/>
        </w:rPr>
        <w:t>）</w:t>
      </w:r>
      <w:r>
        <w:rPr/>
        <w:t>的学</w:t>
      </w:r>
      <w:r>
        <w:rPr>
          <w:spacing w:val="-2"/>
        </w:rPr>
        <w:t>生“想到未来大学专业的选择，职业发展方向的决定就感到烦恼”，仅 </w:t>
      </w:r>
      <w:r>
        <w:rPr>
          <w:rFonts w:ascii="Times New Roman" w:hAnsi="Times New Roman" w:eastAsia="Times New Roman"/>
        </w:rPr>
        <w:t>8.8%</w:t>
      </w:r>
      <w:r>
        <w:rPr/>
        <w:t>的</w:t>
      </w:r>
      <w:r>
        <w:rPr>
          <w:spacing w:val="-6"/>
        </w:rPr>
        <w:t>学生认为自己完全不会对此感到烦恼。再次，在这些学生中，高达 </w:t>
      </w:r>
      <w:r>
        <w:rPr>
          <w:rFonts w:ascii="Times New Roman" w:hAnsi="Times New Roman" w:eastAsia="Times New Roman"/>
          <w:spacing w:val="-3"/>
        </w:rPr>
        <w:t>54.4%</w:t>
      </w:r>
      <w:r>
        <w:rPr>
          <w:spacing w:val="-3"/>
        </w:rPr>
        <w:t>（</w:t>
      </w:r>
      <w:r>
        <w:rPr/>
        <w:t>选择</w:t>
      </w:r>
      <w:r>
        <w:rPr>
          <w:spacing w:val="-14"/>
        </w:rPr>
        <w:t>“完全符合”与“比较符合”的比例之和</w:t>
      </w:r>
      <w:r>
        <w:rPr>
          <w:spacing w:val="-53"/>
        </w:rPr>
        <w:t>）</w:t>
      </w:r>
      <w:r>
        <w:rPr>
          <w:spacing w:val="-1"/>
        </w:rPr>
        <w:t>的学生都感觉很难决定职业发展方向， </w:t>
      </w:r>
      <w:r>
        <w:rPr/>
        <w:t>只有十分之一左右的学生认为已经能够决定自己的发展方向。</w:t>
      </w:r>
    </w:p>
    <w:p>
      <w:pPr>
        <w:spacing w:after="0" w:line="364" w:lineRule="auto"/>
        <w:sectPr>
          <w:pgSz w:w="11910" w:h="16840"/>
          <w:pgMar w:header="878" w:footer="1191" w:top="1300" w:bottom="1380" w:left="480" w:right="220"/>
        </w:sectPr>
      </w:pPr>
    </w:p>
    <w:p>
      <w:pPr>
        <w:pStyle w:val="BodyText"/>
        <w:spacing w:before="8"/>
        <w:rPr>
          <w:sz w:val="10"/>
        </w:rPr>
      </w:pPr>
    </w:p>
    <w:p>
      <w:pPr>
        <w:pStyle w:val="BodyText"/>
        <w:spacing w:line="364" w:lineRule="auto" w:before="74"/>
        <w:ind w:left="1320" w:right="1576" w:firstLine="480"/>
        <w:jc w:val="both"/>
      </w:pPr>
      <w:r>
        <w:rPr>
          <w:spacing w:val="-14"/>
        </w:rPr>
        <w:t>另外，下图 </w:t>
      </w:r>
      <w:r>
        <w:rPr>
          <w:rFonts w:ascii="Times New Roman" w:eastAsia="Times New Roman"/>
        </w:rPr>
        <w:t>3.4 </w:t>
      </w:r>
      <w:r>
        <w:rPr>
          <w:spacing w:val="-2"/>
        </w:rPr>
        <w:t>反映的是高中学生生涯目标制定情况，大多数学生只是粗浅</w:t>
      </w:r>
      <w:r>
        <w:rPr>
          <w:spacing w:val="-8"/>
        </w:rPr>
        <w:t>地思考过未来发展的方向，只有 </w:t>
      </w:r>
      <w:r>
        <w:rPr>
          <w:rFonts w:ascii="Times New Roman" w:eastAsia="Times New Roman"/>
        </w:rPr>
        <w:t>3.3%</w:t>
      </w:r>
      <w:r>
        <w:rPr>
          <w:spacing w:val="-1"/>
        </w:rPr>
        <w:t>的学生对于未来发展有明确的规划，</w:t>
      </w:r>
      <w:r>
        <w:rPr>
          <w:rFonts w:ascii="Times New Roman" w:eastAsia="Times New Roman"/>
          <w:spacing w:val="-9"/>
        </w:rPr>
        <w:t>27.9% </w:t>
      </w:r>
      <w:r>
        <w:rPr>
          <w:spacing w:val="-1"/>
        </w:rPr>
        <w:t>的学生只是明确了发展的方向，还没有制定生涯规划，还有 </w:t>
      </w:r>
      <w:r>
        <w:rPr>
          <w:rFonts w:ascii="Times New Roman" w:eastAsia="Times New Roman"/>
        </w:rPr>
        <w:t>8.9%</w:t>
      </w:r>
      <w:r>
        <w:rPr/>
        <w:t>的学生表示以后再考虑。可见，学生的生涯决策现实状况确实不甚理想。</w:t>
      </w:r>
    </w:p>
    <w:p>
      <w:pPr>
        <w:pStyle w:val="BodyText"/>
        <w:rPr>
          <w:sz w:val="20"/>
        </w:rPr>
      </w:pPr>
    </w:p>
    <w:p>
      <w:pPr>
        <w:pStyle w:val="BodyText"/>
        <w:rPr>
          <w:sz w:val="20"/>
        </w:rPr>
      </w:pPr>
    </w:p>
    <w:p>
      <w:pPr>
        <w:pStyle w:val="BodyText"/>
        <w:rPr>
          <w:sz w:val="15"/>
        </w:rPr>
      </w:pPr>
      <w:r>
        <w:rPr/>
        <w:drawing>
          <wp:anchor distT="0" distB="0" distL="0" distR="0" allowOverlap="1" layoutInCell="1" locked="0" behindDoc="0" simplePos="0" relativeHeight="97">
            <wp:simplePos x="0" y="0"/>
            <wp:positionH relativeFrom="page">
              <wp:posOffset>2016767</wp:posOffset>
            </wp:positionH>
            <wp:positionV relativeFrom="paragraph">
              <wp:posOffset>146977</wp:posOffset>
            </wp:positionV>
            <wp:extent cx="3826421" cy="2145792"/>
            <wp:effectExtent l="0" t="0" r="0" b="0"/>
            <wp:wrapTopAndBottom/>
            <wp:docPr id="57" name="image16.jpeg"/>
            <wp:cNvGraphicFramePr>
              <a:graphicFrameLocks noChangeAspect="1"/>
            </wp:cNvGraphicFramePr>
            <a:graphic>
              <a:graphicData uri="http://schemas.openxmlformats.org/drawingml/2006/picture">
                <pic:pic>
                  <pic:nvPicPr>
                    <pic:cNvPr id="58" name="image16.jpeg"/>
                    <pic:cNvPicPr/>
                  </pic:nvPicPr>
                  <pic:blipFill>
                    <a:blip r:embed="rId80" cstate="print"/>
                    <a:stretch>
                      <a:fillRect/>
                    </a:stretch>
                  </pic:blipFill>
                  <pic:spPr>
                    <a:xfrm>
                      <a:off x="0" y="0"/>
                      <a:ext cx="3826421" cy="2145792"/>
                    </a:xfrm>
                    <a:prstGeom prst="rect">
                      <a:avLst/>
                    </a:prstGeom>
                  </pic:spPr>
                </pic:pic>
              </a:graphicData>
            </a:graphic>
          </wp:anchor>
        </w:drawing>
      </w:r>
    </w:p>
    <w:p>
      <w:pPr>
        <w:pStyle w:val="BodyText"/>
        <w:spacing w:before="5"/>
        <w:rPr>
          <w:sz w:val="23"/>
        </w:rPr>
      </w:pPr>
    </w:p>
    <w:p>
      <w:pPr>
        <w:pStyle w:val="BodyText"/>
        <w:spacing w:before="74"/>
        <w:ind w:left="2820"/>
      </w:pPr>
      <w:r>
        <w:rPr/>
        <w:t>图 </w:t>
      </w:r>
      <w:r>
        <w:rPr>
          <w:rFonts w:ascii="Times New Roman" w:eastAsia="Times New Roman"/>
        </w:rPr>
        <w:t>3.4 </w:t>
      </w:r>
      <w:r>
        <w:rPr/>
        <w:t>普通高中学生生涯目标制定情况调查</w:t>
      </w:r>
    </w:p>
    <w:p>
      <w:pPr>
        <w:spacing w:after="0"/>
        <w:sectPr>
          <w:pgSz w:w="11910" w:h="16840"/>
          <w:pgMar w:header="878" w:footer="1191" w:top="1300" w:bottom="1380" w:left="480" w:right="220"/>
        </w:sectPr>
      </w:pPr>
    </w:p>
    <w:p>
      <w:pPr>
        <w:pStyle w:val="BodyText"/>
        <w:spacing w:before="2"/>
        <w:rPr>
          <w:sz w:val="19"/>
        </w:rPr>
      </w:pPr>
    </w:p>
    <w:p>
      <w:pPr>
        <w:pStyle w:val="Heading1"/>
        <w:numPr>
          <w:ilvl w:val="0"/>
          <w:numId w:val="42"/>
        </w:numPr>
        <w:tabs>
          <w:tab w:pos="1620" w:val="left" w:leader="none"/>
        </w:tabs>
        <w:spacing w:line="523" w:lineRule="exact" w:before="0" w:after="0"/>
        <w:ind w:left="1620" w:right="0" w:hanging="300"/>
        <w:jc w:val="left"/>
      </w:pPr>
      <w:bookmarkStart w:name="_bookmark197" w:id="239"/>
      <w:bookmarkEnd w:id="239"/>
      <w:r>
        <w:rPr>
          <w:b w:val="0"/>
        </w:rPr>
      </w:r>
      <w:bookmarkStart w:name="_bookmark197" w:id="240"/>
      <w:bookmarkEnd w:id="240"/>
      <w:r>
        <w:rPr/>
        <w:t>国内普通高中生涯规划教育问题成因分析</w:t>
      </w:r>
    </w:p>
    <w:p>
      <w:pPr>
        <w:pStyle w:val="BodyText"/>
        <w:spacing w:before="9"/>
        <w:rPr>
          <w:rFonts w:ascii="Microsoft JhengHei"/>
          <w:b/>
          <w:sz w:val="28"/>
        </w:rPr>
      </w:pPr>
    </w:p>
    <w:p>
      <w:pPr>
        <w:pStyle w:val="BodyText"/>
        <w:spacing w:line="364" w:lineRule="auto"/>
        <w:ind w:left="1320" w:right="1577" w:firstLine="480"/>
        <w:jc w:val="both"/>
      </w:pPr>
      <w:r>
        <w:rPr>
          <w:spacing w:val="-8"/>
        </w:rPr>
        <w:t>随着高考改革逐步推进，生涯规划教育的重要性日益突显，但当前生涯规划</w:t>
      </w:r>
      <w:r>
        <w:rPr>
          <w:spacing w:val="-7"/>
        </w:rPr>
        <w:t>教育开展过程中存在着各种问题，实施效果也不甚理想。针对这些问题，本研究从我国生涯规划教育的历史进程、普通高中性质与价值定位、应试教育传统以及</w:t>
      </w:r>
      <w:r>
        <w:rPr/>
        <w:t>生涯规划教育保障机制四个层面对其成因进行深入分析。</w:t>
      </w:r>
    </w:p>
    <w:p>
      <w:pPr>
        <w:pStyle w:val="BodyText"/>
        <w:spacing w:before="5"/>
        <w:rPr>
          <w:sz w:val="17"/>
        </w:rPr>
      </w:pPr>
    </w:p>
    <w:p>
      <w:pPr>
        <w:pStyle w:val="Heading2"/>
        <w:numPr>
          <w:ilvl w:val="1"/>
          <w:numId w:val="42"/>
        </w:numPr>
        <w:tabs>
          <w:tab w:pos="1810" w:val="left" w:leader="none"/>
        </w:tabs>
        <w:spacing w:line="240" w:lineRule="auto" w:before="0" w:after="0"/>
        <w:ind w:left="1809" w:right="0" w:hanging="490"/>
        <w:jc w:val="left"/>
      </w:pPr>
      <w:r>
        <w:rPr/>
        <w:t>我国生涯规划教育历史进程的断层</w:t>
      </w:r>
    </w:p>
    <w:p>
      <w:pPr>
        <w:pStyle w:val="BodyText"/>
        <w:spacing w:before="5"/>
        <w:rPr>
          <w:rFonts w:ascii="Microsoft JhengHei"/>
          <w:b/>
          <w:sz w:val="22"/>
        </w:rPr>
      </w:pPr>
    </w:p>
    <w:p>
      <w:pPr>
        <w:pStyle w:val="BodyText"/>
        <w:spacing w:line="364" w:lineRule="auto"/>
        <w:ind w:left="1320" w:right="1450" w:firstLine="480"/>
      </w:pPr>
      <w:r>
        <w:rPr>
          <w:spacing w:val="-20"/>
        </w:rPr>
        <w:t>生涯规划教育缘起于职业指导，美国“职业指导之父”帕森斯</w:t>
      </w:r>
      <w:r>
        <w:rPr/>
        <w:t>（</w:t>
      </w:r>
      <w:r>
        <w:rPr>
          <w:rFonts w:ascii="Times New Roman" w:hAnsi="Times New Roman" w:eastAsia="Times New Roman"/>
        </w:rPr>
        <w:t>Frank </w:t>
      </w:r>
      <w:r>
        <w:rPr>
          <w:rFonts w:ascii="Times New Roman" w:hAnsi="Times New Roman" w:eastAsia="Times New Roman"/>
          <w:spacing w:val="-3"/>
        </w:rPr>
        <w:t>Parsons</w:t>
      </w:r>
      <w:r>
        <w:rPr>
          <w:spacing w:val="-3"/>
        </w:rPr>
        <w:t>） </w:t>
      </w:r>
      <w:r>
        <w:rPr>
          <w:spacing w:val="-29"/>
        </w:rPr>
        <w:t>于 </w:t>
      </w:r>
      <w:r>
        <w:rPr>
          <w:rFonts w:ascii="Times New Roman" w:hAnsi="Times New Roman" w:eastAsia="Times New Roman"/>
        </w:rPr>
        <w:t>1908 </w:t>
      </w:r>
      <w:r>
        <w:rPr>
          <w:spacing w:val="-29"/>
        </w:rPr>
        <w:t>年 </w:t>
      </w:r>
      <w:r>
        <w:rPr>
          <w:rFonts w:ascii="Times New Roman" w:hAnsi="Times New Roman" w:eastAsia="Times New Roman"/>
        </w:rPr>
        <w:t>5 </w:t>
      </w:r>
      <w:r>
        <w:rPr>
          <w:spacing w:val="-29"/>
        </w:rPr>
        <w:t>月 </w:t>
      </w:r>
      <w:r>
        <w:rPr>
          <w:rFonts w:ascii="Times New Roman" w:hAnsi="Times New Roman" w:eastAsia="Times New Roman"/>
        </w:rPr>
        <w:t>1 </w:t>
      </w:r>
      <w:r>
        <w:rPr>
          <w:spacing w:val="-3"/>
        </w:rPr>
        <w:t>日在其报告中首次提出“职业指导</w:t>
      </w:r>
      <w:r>
        <w:rPr>
          <w:spacing w:val="-4"/>
        </w:rPr>
        <w:t>（</w:t>
      </w:r>
      <w:r>
        <w:rPr>
          <w:rFonts w:ascii="Times New Roman" w:hAnsi="Times New Roman" w:eastAsia="Times New Roman"/>
          <w:spacing w:val="-4"/>
        </w:rPr>
        <w:t>Vocational Guidance</w:t>
      </w:r>
      <w:r>
        <w:rPr>
          <w:spacing w:val="-4"/>
        </w:rPr>
        <w:t>）”</w:t>
      </w:r>
      <w:r>
        <w:rPr/>
        <w:t>的</w:t>
      </w:r>
      <w:r>
        <w:rPr>
          <w:spacing w:val="-19"/>
        </w:rPr>
        <w:t>概念。随着时代发展，“职业指导”不断被赋予新的内涵，逐渐演变成现今的“生涯规划教育（</w:t>
      </w:r>
      <w:r>
        <w:rPr>
          <w:rFonts w:ascii="Times New Roman" w:hAnsi="Times New Roman" w:eastAsia="Times New Roman"/>
          <w:spacing w:val="-19"/>
        </w:rPr>
        <w:t>Career </w:t>
      </w:r>
      <w:r>
        <w:rPr>
          <w:rFonts w:ascii="Times New Roman" w:hAnsi="Times New Roman" w:eastAsia="Times New Roman"/>
        </w:rPr>
        <w:t>Educaiton</w:t>
      </w:r>
      <w:r>
        <w:rPr/>
        <w:t>）”。</w:t>
      </w:r>
    </w:p>
    <w:p>
      <w:pPr>
        <w:pStyle w:val="BodyText"/>
        <w:spacing w:before="3"/>
        <w:rPr>
          <w:sz w:val="23"/>
        </w:rPr>
      </w:pPr>
    </w:p>
    <w:p>
      <w:pPr>
        <w:pStyle w:val="ListParagraph"/>
        <w:numPr>
          <w:ilvl w:val="2"/>
          <w:numId w:val="42"/>
        </w:numPr>
        <w:tabs>
          <w:tab w:pos="1920" w:val="left" w:leader="none"/>
        </w:tabs>
        <w:spacing w:line="240" w:lineRule="auto" w:before="0" w:after="0"/>
        <w:ind w:left="1920" w:right="0" w:hanging="601"/>
        <w:jc w:val="left"/>
        <w:rPr>
          <w:sz w:val="24"/>
        </w:rPr>
      </w:pPr>
      <w:r>
        <w:rPr>
          <w:sz w:val="24"/>
        </w:rPr>
        <w:t>我国生涯规划教育的萌芽</w:t>
      </w:r>
    </w:p>
    <w:p>
      <w:pPr>
        <w:pStyle w:val="BodyText"/>
        <w:spacing w:before="9"/>
        <w:rPr>
          <w:sz w:val="35"/>
        </w:rPr>
      </w:pPr>
    </w:p>
    <w:p>
      <w:pPr>
        <w:pStyle w:val="BodyText"/>
        <w:spacing w:line="364" w:lineRule="auto" w:after="4"/>
        <w:ind w:left="1319" w:right="1457" w:firstLine="480"/>
      </w:pPr>
      <w:r>
        <w:rPr>
          <w:spacing w:val="1"/>
        </w:rPr>
        <w:t>我国学者虽近年来才逐步了解与熟悉“生涯规划教育”这一概念，但早在</w:t>
      </w:r>
      <w:r>
        <w:rPr>
          <w:rFonts w:ascii="Times New Roman" w:hAnsi="Times New Roman" w:eastAsia="Times New Roman"/>
          <w:spacing w:val="1"/>
        </w:rPr>
        <w:t>20 </w:t>
      </w:r>
      <w:r>
        <w:rPr/>
        <w:t>世纪初，一些学者就已经把“职业指导”的思想引入我国，并将其与我国的教育实践相结合。</w:t>
      </w:r>
      <w:r>
        <w:rPr>
          <w:rFonts w:ascii="Times New Roman" w:hAnsi="Times New Roman" w:eastAsia="Times New Roman"/>
        </w:rPr>
        <w:t>1951 </w:t>
      </w:r>
      <w:r>
        <w:rPr>
          <w:spacing w:val="-25"/>
        </w:rPr>
        <w:t>年 </w:t>
      </w:r>
      <w:r>
        <w:rPr>
          <w:rFonts w:ascii="Times New Roman" w:hAnsi="Times New Roman" w:eastAsia="Times New Roman"/>
        </w:rPr>
        <w:t>1 </w:t>
      </w:r>
      <w:r>
        <w:rPr/>
        <w:t>月，《东方杂志》上发表了郭秉文的《中国现今教</w:t>
      </w:r>
      <w:r>
        <w:rPr>
          <w:spacing w:val="-7"/>
        </w:rPr>
        <w:t>育问题之一——职业之引导》，这成为职业指导进入中国的标志，这也是人们普</w:t>
      </w:r>
      <w:r>
        <w:rPr>
          <w:spacing w:val="-8"/>
        </w:rPr>
        <w:t>遍关注普通中学职业指导的开端。</w:t>
      </w:r>
      <w:hyperlink w:history="true" w:anchor="_bookmark198">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2"/>
        </w:rPr>
        <w:t>随着经济的快速发展，学校培养的人才无法</w:t>
      </w:r>
      <w:r>
        <w:rPr>
          <w:spacing w:val="-10"/>
        </w:rPr>
        <w:t>满足其需求，加之国内受实用主义教育思潮的影响，一大批爱国教育家和进步知</w:t>
      </w:r>
      <w:r>
        <w:rPr>
          <w:spacing w:val="-19"/>
        </w:rPr>
        <w:t>识分子积极倡导职业指导，并对其进行探索与实践，掀起了研究职业指导的高潮。</w:t>
      </w:r>
      <w:r>
        <w:rPr>
          <w:rFonts w:ascii="Times New Roman" w:hAnsi="Times New Roman" w:eastAsia="Times New Roman"/>
        </w:rPr>
        <w:t>1916 </w:t>
      </w:r>
      <w:r>
        <w:rPr/>
        <w:t>年，时任清华学校校长的周诒春，为更好地指导学生升学与择业，广邀社</w:t>
      </w:r>
      <w:r>
        <w:rPr>
          <w:spacing w:val="-9"/>
        </w:rPr>
        <w:t>会各界名士，包括实业界和教育界的专家、名人等到校开展职业演讲，这被看作</w:t>
      </w:r>
      <w:r>
        <w:rPr>
          <w:spacing w:val="3"/>
        </w:rPr>
        <w:t>是近代中国最早的有组织的职业指导活动，</w:t>
      </w:r>
      <w:r>
        <w:rPr>
          <w:rFonts w:ascii="Times New Roman" w:hAnsi="Times New Roman" w:eastAsia="Times New Roman"/>
          <w:position w:val="8"/>
          <w:sz w:val="15"/>
        </w:rPr>
        <w:t>[</w:t>
      </w:r>
      <w:hyperlink w:history="true" w:anchor="_bookmark199">
        <w:r>
          <w:rPr>
            <w:rFonts w:ascii="Times New Roman" w:hAnsi="Times New Roman" w:eastAsia="Times New Roman"/>
            <w:position w:val="8"/>
            <w:sz w:val="15"/>
          </w:rPr>
          <w:t>2</w:t>
        </w:r>
      </w:hyperlink>
      <w:r>
        <w:rPr>
          <w:rFonts w:ascii="Times New Roman" w:hAnsi="Times New Roman" w:eastAsia="Times New Roman"/>
          <w:position w:val="8"/>
          <w:sz w:val="15"/>
        </w:rPr>
        <w:t>]</w:t>
      </w:r>
      <w:r>
        <w:rPr>
          <w:spacing w:val="3"/>
        </w:rPr>
        <w:t>但并未面向社会大众推广。直到</w:t>
      </w:r>
      <w:r>
        <w:rPr>
          <w:rFonts w:ascii="Times New Roman" w:hAnsi="Times New Roman" w:eastAsia="Times New Roman"/>
          <w:spacing w:val="3"/>
        </w:rPr>
        <w:t>1917 </w:t>
      </w:r>
      <w:r>
        <w:rPr>
          <w:spacing w:val="-4"/>
        </w:rPr>
        <w:t>年中华职业教育社的成立，职业指导才正式在我国全面展开。</w:t>
      </w:r>
      <w:r>
        <w:rPr>
          <w:rFonts w:ascii="Times New Roman" w:hAnsi="Times New Roman" w:eastAsia="Times New Roman"/>
          <w:position w:val="8"/>
          <w:sz w:val="15"/>
        </w:rPr>
        <w:t>[</w:t>
      </w:r>
      <w:hyperlink w:history="true" w:anchor="_bookmark200">
        <w:r>
          <w:rPr>
            <w:rFonts w:ascii="Times New Roman" w:hAnsi="Times New Roman" w:eastAsia="Times New Roman"/>
            <w:position w:val="8"/>
            <w:sz w:val="15"/>
          </w:rPr>
          <w:t>3</w:t>
        </w:r>
      </w:hyperlink>
      <w:r>
        <w:rPr>
          <w:rFonts w:ascii="Times New Roman" w:hAnsi="Times New Roman" w:eastAsia="Times New Roman"/>
          <w:position w:val="8"/>
          <w:sz w:val="15"/>
        </w:rPr>
        <w:t>]</w:t>
      </w:r>
      <w:r>
        <w:rPr/>
        <w:t>中华职业教</w:t>
      </w:r>
      <w:r>
        <w:rPr>
          <w:spacing w:val="-6"/>
        </w:rPr>
        <w:t>育社自成立之日起便将“沟通教育与职业”作为其为宗旨，同时又以“使无业者</w:t>
      </w:r>
    </w:p>
    <w:p>
      <w:pPr>
        <w:pStyle w:val="BodyText"/>
        <w:spacing w:line="20" w:lineRule="exact"/>
        <w:ind w:left="1315"/>
        <w:rPr>
          <w:sz w:val="2"/>
        </w:rPr>
      </w:pPr>
      <w:r>
        <w:rPr>
          <w:sz w:val="2"/>
        </w:rPr>
        <w:pict>
          <v:group style="width:144pt;height:.45pt;mso-position-horizontal-relative:char;mso-position-vertical-relative:line" coordorigin="0,0" coordsize="2880,9">
            <v:line style="position:absolute" from="0,4" to="2880,4" stroked="true" strokeweight=".402pt" strokecolor="#000000">
              <v:stroke dashstyle="solid"/>
            </v:line>
          </v:group>
        </w:pict>
      </w:r>
      <w:r>
        <w:rPr>
          <w:sz w:val="2"/>
        </w:rPr>
      </w:r>
    </w:p>
    <w:p>
      <w:pPr>
        <w:spacing w:before="112"/>
        <w:ind w:left="1320" w:right="0" w:firstLine="0"/>
        <w:jc w:val="left"/>
        <w:rPr>
          <w:rFonts w:ascii="Times New Roman" w:eastAsia="Times New Roman"/>
          <w:sz w:val="18"/>
        </w:rPr>
      </w:pPr>
      <w:bookmarkStart w:name="_bookmark198" w:id="241"/>
      <w:bookmarkEnd w:id="241"/>
      <w:r>
        <w:rPr/>
      </w:r>
      <w:r>
        <w:rPr>
          <w:rFonts w:ascii="Times New Roman" w:eastAsia="Times New Roman"/>
          <w:position w:val="7"/>
          <w:sz w:val="13"/>
        </w:rPr>
        <w:t>[1] </w:t>
      </w:r>
      <w:r>
        <w:rPr>
          <w:sz w:val="18"/>
        </w:rPr>
        <w:t>孙焦</w:t>
      </w:r>
      <w:r>
        <w:rPr>
          <w:rFonts w:ascii="Times New Roman" w:eastAsia="Times New Roman"/>
          <w:sz w:val="18"/>
        </w:rPr>
        <w:t>.</w:t>
      </w:r>
      <w:r>
        <w:rPr>
          <w:sz w:val="18"/>
        </w:rPr>
        <w:t>民国时期普通中学职业指导思想研究（</w:t>
      </w:r>
      <w:r>
        <w:rPr>
          <w:rFonts w:ascii="Times New Roman" w:eastAsia="Times New Roman"/>
          <w:sz w:val="18"/>
        </w:rPr>
        <w:t>1912-1937</w:t>
      </w:r>
      <w:r>
        <w:rPr>
          <w:sz w:val="18"/>
        </w:rPr>
        <w:t>）</w:t>
      </w:r>
      <w:r>
        <w:rPr>
          <w:rFonts w:ascii="Times New Roman" w:eastAsia="Times New Roman"/>
          <w:sz w:val="18"/>
        </w:rPr>
        <w:t>[D].</w:t>
      </w:r>
      <w:r>
        <w:rPr>
          <w:sz w:val="18"/>
        </w:rPr>
        <w:t>重庆：西南大学硕士论文</w:t>
      </w:r>
      <w:r>
        <w:rPr>
          <w:rFonts w:ascii="Times New Roman" w:eastAsia="Times New Roman"/>
          <w:sz w:val="18"/>
        </w:rPr>
        <w:t>.2014:10.</w:t>
      </w:r>
    </w:p>
    <w:p>
      <w:pPr>
        <w:spacing w:before="127"/>
        <w:ind w:left="1319" w:right="0" w:firstLine="0"/>
        <w:jc w:val="left"/>
        <w:rPr>
          <w:rFonts w:ascii="Times New Roman" w:eastAsia="Times New Roman"/>
          <w:sz w:val="18"/>
        </w:rPr>
      </w:pPr>
      <w:bookmarkStart w:name="_bookmark199" w:id="242"/>
      <w:bookmarkEnd w:id="242"/>
      <w:r>
        <w:rPr/>
      </w:r>
      <w:r>
        <w:rPr>
          <w:rFonts w:ascii="Times New Roman" w:eastAsia="Times New Roman"/>
          <w:position w:val="7"/>
          <w:sz w:val="13"/>
        </w:rPr>
        <w:t>[2] </w:t>
      </w:r>
      <w:r>
        <w:rPr>
          <w:sz w:val="18"/>
        </w:rPr>
        <w:t>金兵</w:t>
      </w:r>
      <w:r>
        <w:rPr>
          <w:rFonts w:ascii="Times New Roman" w:eastAsia="Times New Roman"/>
          <w:sz w:val="18"/>
        </w:rPr>
        <w:t>.</w:t>
      </w:r>
      <w:r>
        <w:rPr>
          <w:sz w:val="18"/>
        </w:rPr>
        <w:t>民国时期中等学校职业指导的沿革</w:t>
      </w:r>
      <w:r>
        <w:rPr>
          <w:rFonts w:ascii="Times New Roman" w:eastAsia="Times New Roman"/>
          <w:sz w:val="18"/>
        </w:rPr>
        <w:t>[J].</w:t>
      </w:r>
      <w:r>
        <w:rPr>
          <w:sz w:val="18"/>
        </w:rPr>
        <w:t>中国职业技术教育，</w:t>
      </w:r>
      <w:r>
        <w:rPr>
          <w:rFonts w:ascii="Times New Roman" w:eastAsia="Times New Roman"/>
          <w:sz w:val="18"/>
        </w:rPr>
        <w:t>2010</w:t>
      </w:r>
      <w:r>
        <w:rPr>
          <w:sz w:val="18"/>
        </w:rPr>
        <w:t>（</w:t>
      </w:r>
      <w:r>
        <w:rPr>
          <w:rFonts w:ascii="Times New Roman" w:eastAsia="Times New Roman"/>
          <w:sz w:val="18"/>
        </w:rPr>
        <w:t>30</w:t>
      </w:r>
      <w:r>
        <w:rPr>
          <w:sz w:val="18"/>
        </w:rPr>
        <w:t>）：</w:t>
      </w:r>
      <w:r>
        <w:rPr>
          <w:rFonts w:ascii="Times New Roman" w:eastAsia="Times New Roman"/>
          <w:sz w:val="18"/>
        </w:rPr>
        <w:t>56.</w:t>
      </w:r>
    </w:p>
    <w:p>
      <w:pPr>
        <w:spacing w:before="128"/>
        <w:ind w:left="1319" w:right="0" w:firstLine="0"/>
        <w:jc w:val="left"/>
        <w:rPr>
          <w:rFonts w:ascii="Times New Roman" w:eastAsia="Times New Roman"/>
          <w:sz w:val="18"/>
        </w:rPr>
      </w:pPr>
      <w:bookmarkStart w:name="_bookmark200" w:id="243"/>
      <w:bookmarkEnd w:id="243"/>
      <w:r>
        <w:rPr/>
      </w:r>
      <w:r>
        <w:rPr>
          <w:rFonts w:ascii="Times New Roman" w:eastAsia="Times New Roman"/>
          <w:position w:val="7"/>
          <w:sz w:val="13"/>
        </w:rPr>
        <w:t>[3] </w:t>
      </w:r>
      <w:r>
        <w:rPr>
          <w:sz w:val="18"/>
        </w:rPr>
        <w:t>王雅文</w:t>
      </w:r>
      <w:r>
        <w:rPr>
          <w:rFonts w:ascii="Times New Roman" w:eastAsia="Times New Roman"/>
          <w:sz w:val="18"/>
        </w:rPr>
        <w:t>.</w:t>
      </w:r>
      <w:r>
        <w:rPr>
          <w:sz w:val="18"/>
        </w:rPr>
        <w:t>我国普通高中职业生涯教育现状和对策研究</w:t>
      </w:r>
      <w:r>
        <w:rPr>
          <w:rFonts w:ascii="Times New Roman" w:eastAsia="Times New Roman"/>
          <w:sz w:val="18"/>
        </w:rPr>
        <w:t>[D].</w:t>
      </w:r>
      <w:r>
        <w:rPr>
          <w:sz w:val="18"/>
        </w:rPr>
        <w:t>上海：华东师范大学硕士论文，</w:t>
      </w:r>
      <w:r>
        <w:rPr>
          <w:rFonts w:ascii="Times New Roman" w:eastAsia="Times New Roman"/>
          <w:sz w:val="18"/>
        </w:rPr>
        <w:t>2014</w:t>
      </w:r>
      <w:r>
        <w:rPr>
          <w:sz w:val="18"/>
        </w:rPr>
        <w:t>：</w:t>
      </w:r>
      <w:r>
        <w:rPr>
          <w:rFonts w:ascii="Times New Roman" w:eastAsia="Times New Roman"/>
          <w:sz w:val="18"/>
        </w:rPr>
        <w:t>25.</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3"/>
        <w:rPr>
          <w:rFonts w:ascii="Times New Roman"/>
          <w:sz w:val="11"/>
        </w:rPr>
      </w:pPr>
    </w:p>
    <w:p>
      <w:pPr>
        <w:pStyle w:val="BodyText"/>
        <w:spacing w:line="364" w:lineRule="auto" w:before="80"/>
        <w:ind w:left="1319" w:right="1455"/>
        <w:rPr>
          <w:rFonts w:ascii="Times New Roman" w:hAnsi="Times New Roman" w:eastAsia="Times New Roman"/>
          <w:sz w:val="15"/>
        </w:rPr>
      </w:pPr>
      <w:bookmarkStart w:name="_bookmark201" w:id="244"/>
      <w:bookmarkEnd w:id="244"/>
      <w:r>
        <w:rPr/>
      </w:r>
      <w:r>
        <w:rPr>
          <w:spacing w:val="-9"/>
        </w:rPr>
        <w:t>有业，使有业者乐业”为目标，大力倡导与开展职业指导。</w:t>
      </w:r>
      <w:r>
        <w:rPr>
          <w:rFonts w:ascii="Times New Roman" w:hAnsi="Times New Roman" w:eastAsia="Times New Roman"/>
          <w:position w:val="8"/>
          <w:sz w:val="15"/>
        </w:rPr>
        <w:t>[</w:t>
      </w:r>
      <w:hyperlink w:history="true" w:anchor="_bookmark202">
        <w:r>
          <w:rPr>
            <w:rFonts w:ascii="Times New Roman" w:hAnsi="Times New Roman" w:eastAsia="Times New Roman"/>
            <w:position w:val="8"/>
            <w:sz w:val="15"/>
          </w:rPr>
          <w:t>1</w:t>
        </w:r>
      </w:hyperlink>
      <w:r>
        <w:rPr>
          <w:rFonts w:ascii="Times New Roman" w:hAnsi="Times New Roman" w:eastAsia="Times New Roman"/>
          <w:position w:val="8"/>
          <w:sz w:val="15"/>
        </w:rPr>
        <w:t>]</w:t>
      </w:r>
      <w:r>
        <w:rPr>
          <w:rFonts w:ascii="Times New Roman" w:hAnsi="Times New Roman" w:eastAsia="Times New Roman"/>
        </w:rPr>
        <w:t>1919 </w:t>
      </w:r>
      <w:r>
        <w:rPr>
          <w:spacing w:val="-5"/>
        </w:rPr>
        <w:t>年，为进一步</w:t>
      </w:r>
      <w:r>
        <w:rPr>
          <w:spacing w:val="-8"/>
        </w:rPr>
        <w:t>宣传与普及“职业指导”的思想，中华职业教育社在第 </w:t>
      </w:r>
      <w:r>
        <w:rPr>
          <w:rFonts w:ascii="Times New Roman" w:hAnsi="Times New Roman" w:eastAsia="Times New Roman"/>
        </w:rPr>
        <w:t>15 </w:t>
      </w:r>
      <w:r>
        <w:rPr/>
        <w:t>期《教育与职业》杂</w:t>
      </w:r>
      <w:r>
        <w:rPr>
          <w:spacing w:val="-16"/>
        </w:rPr>
        <w:t>志上开创了“职业指导专号”，面向社会，专门对“职业指导”进行介绍与研究， </w:t>
      </w:r>
      <w:r>
        <w:rPr>
          <w:spacing w:val="-9"/>
        </w:rPr>
        <w:t>相应地，于 </w:t>
      </w:r>
      <w:r>
        <w:rPr>
          <w:rFonts w:ascii="Times New Roman" w:hAnsi="Times New Roman" w:eastAsia="Times New Roman"/>
        </w:rPr>
        <w:t>1920 </w:t>
      </w:r>
      <w:r>
        <w:rPr/>
        <w:t>年成立了职业指导部，进一步推动了全国各地职业指导机构的</w:t>
      </w:r>
      <w:r>
        <w:rPr>
          <w:spacing w:val="-10"/>
        </w:rPr>
        <w:t>建立。此外，当时还有许多教育家从理论和实践方面积极展开了对职业指导的研</w:t>
      </w:r>
      <w:r>
        <w:rPr>
          <w:spacing w:val="-11"/>
        </w:rPr>
        <w:t>究，较为知名的有黄炎培、潘文安、喻鉴清、何清儒等人，他们以个人力量推进</w:t>
      </w:r>
      <w:r>
        <w:rPr>
          <w:spacing w:val="-10"/>
        </w:rPr>
        <w:t>了“职业指导”在我国的发展。我国早期的职业指导先驱们，为了我国职业指导的产生与发展，可谓是付出了巨大的精力。</w:t>
      </w:r>
      <w:r>
        <w:rPr>
          <w:rFonts w:ascii="Times New Roman" w:hAnsi="Times New Roman" w:eastAsia="Times New Roman"/>
          <w:spacing w:val="-10"/>
          <w:position w:val="8"/>
          <w:sz w:val="15"/>
        </w:rPr>
        <w:t>[</w:t>
      </w:r>
      <w:hyperlink w:history="true" w:anchor="_bookmark203">
        <w:r>
          <w:rPr>
            <w:rFonts w:ascii="Times New Roman" w:hAnsi="Times New Roman" w:eastAsia="Times New Roman"/>
            <w:spacing w:val="-10"/>
            <w:position w:val="8"/>
            <w:sz w:val="15"/>
          </w:rPr>
          <w:t>2</w:t>
        </w:r>
      </w:hyperlink>
      <w:r>
        <w:rPr>
          <w:rFonts w:ascii="Times New Roman" w:hAnsi="Times New Roman" w:eastAsia="Times New Roman"/>
          <w:spacing w:val="-10"/>
          <w:position w:val="8"/>
          <w:sz w:val="15"/>
        </w:rPr>
        <w:t>]</w:t>
      </w:r>
    </w:p>
    <w:p>
      <w:pPr>
        <w:pStyle w:val="BodyText"/>
        <w:spacing w:before="4"/>
        <w:rPr>
          <w:rFonts w:ascii="Times New Roman"/>
          <w:sz w:val="26"/>
        </w:rPr>
      </w:pPr>
    </w:p>
    <w:p>
      <w:pPr>
        <w:pStyle w:val="ListParagraph"/>
        <w:numPr>
          <w:ilvl w:val="2"/>
          <w:numId w:val="42"/>
        </w:numPr>
        <w:tabs>
          <w:tab w:pos="1920" w:val="left" w:leader="none"/>
        </w:tabs>
        <w:spacing w:line="240" w:lineRule="auto" w:before="0" w:after="0"/>
        <w:ind w:left="1920" w:right="0" w:hanging="601"/>
        <w:jc w:val="left"/>
        <w:rPr>
          <w:sz w:val="24"/>
        </w:rPr>
      </w:pPr>
      <w:r>
        <w:rPr>
          <w:sz w:val="24"/>
        </w:rPr>
        <w:t>我国生涯规划教育的停滞</w:t>
      </w:r>
    </w:p>
    <w:p>
      <w:pPr>
        <w:pStyle w:val="BodyText"/>
        <w:spacing w:before="7"/>
        <w:rPr>
          <w:sz w:val="35"/>
        </w:rPr>
      </w:pPr>
    </w:p>
    <w:p>
      <w:pPr>
        <w:pStyle w:val="BodyText"/>
        <w:spacing w:line="364" w:lineRule="auto"/>
        <w:ind w:left="1319" w:right="1577" w:firstLine="480"/>
        <w:jc w:val="both"/>
      </w:pPr>
      <w:r>
        <w:rPr>
          <w:spacing w:val="-18"/>
        </w:rPr>
        <w:t>到了 </w:t>
      </w:r>
      <w:r>
        <w:rPr>
          <w:rFonts w:ascii="Times New Roman" w:hAnsi="Times New Roman" w:eastAsia="Times New Roman"/>
        </w:rPr>
        <w:t>20 </w:t>
      </w:r>
      <w:r>
        <w:rPr>
          <w:spacing w:val="-1"/>
        </w:rPr>
        <w:t>世纪中期，在计划经济体制就业政策的影响下，生涯规划教育发展</w:t>
      </w:r>
      <w:r>
        <w:rPr/>
        <w:t>几乎处于停滞，甚至是倒退状态。</w:t>
      </w:r>
      <w:hyperlink w:history="true" w:anchor="_bookmark204">
        <w:r>
          <w:rPr>
            <w:rFonts w:ascii="Times New Roman" w:hAnsi="Times New Roman" w:eastAsia="Times New Roman"/>
            <w:position w:val="8"/>
            <w:sz w:val="15"/>
          </w:rPr>
          <w:t>[3</w:t>
        </w:r>
      </w:hyperlink>
      <w:r>
        <w:rPr>
          <w:rFonts w:ascii="Times New Roman" w:hAnsi="Times New Roman" w:eastAsia="Times New Roman"/>
          <w:position w:val="8"/>
          <w:sz w:val="15"/>
        </w:rPr>
        <w:t>]</w:t>
      </w:r>
      <w:r>
        <w:rPr>
          <w:rFonts w:ascii="Times New Roman" w:hAnsi="Times New Roman" w:eastAsia="Times New Roman"/>
        </w:rPr>
        <w:t>50 </w:t>
      </w:r>
      <w:r>
        <w:rPr>
          <w:spacing w:val="-11"/>
        </w:rPr>
        <w:t>年代初至 </w:t>
      </w:r>
      <w:r>
        <w:rPr>
          <w:rFonts w:ascii="Times New Roman" w:hAnsi="Times New Roman" w:eastAsia="Times New Roman"/>
        </w:rPr>
        <w:t>80 </w:t>
      </w:r>
      <w:r>
        <w:rPr/>
        <w:t>年代，在计划经济体制下， </w:t>
      </w:r>
      <w:r>
        <w:rPr>
          <w:spacing w:val="-7"/>
        </w:rPr>
        <w:t>我国用人机制的基本特征是“不规定用工期限，达到法定就业年龄由国家安排就</w:t>
      </w:r>
      <w:r>
        <w:rPr>
          <w:spacing w:val="-11"/>
        </w:rPr>
        <w:t>业，实行‘统包统配’；不准许辞退职工，只能在不同部门单位之间调配；企业</w:t>
      </w:r>
      <w:r>
        <w:rPr>
          <w:spacing w:val="-4"/>
        </w:rPr>
        <w:t>无权自主招工，职工无权自主择业”。</w:t>
      </w:r>
      <w:r>
        <w:rPr>
          <w:rFonts w:ascii="Times New Roman" w:hAnsi="Times New Roman" w:eastAsia="Times New Roman"/>
          <w:position w:val="8"/>
          <w:sz w:val="15"/>
        </w:rPr>
        <w:t>[</w:t>
      </w:r>
      <w:hyperlink w:history="true" w:anchor="_bookmark205">
        <w:r>
          <w:rPr>
            <w:rFonts w:ascii="Times New Roman" w:hAnsi="Times New Roman" w:eastAsia="Times New Roman"/>
            <w:position w:val="8"/>
            <w:sz w:val="15"/>
          </w:rPr>
          <w:t>4</w:t>
        </w:r>
      </w:hyperlink>
      <w:r>
        <w:rPr>
          <w:rFonts w:ascii="Times New Roman" w:hAnsi="Times New Roman" w:eastAsia="Times New Roman"/>
          <w:position w:val="8"/>
          <w:sz w:val="15"/>
        </w:rPr>
        <w:t>]</w:t>
      </w:r>
      <w:r>
        <w:rPr>
          <w:spacing w:val="-4"/>
        </w:rPr>
        <w:t>因此，这一时期企业几乎没有用人的选</w:t>
      </w:r>
      <w:r>
        <w:rPr/>
        <w:t>择权，个人也缺乏自主择业的权力。</w:t>
      </w:r>
    </w:p>
    <w:p>
      <w:pPr>
        <w:pStyle w:val="BodyText"/>
        <w:spacing w:line="364" w:lineRule="auto" w:before="4"/>
        <w:ind w:left="1319" w:right="1485" w:firstLine="480"/>
      </w:pPr>
      <w:r>
        <w:rPr>
          <w:spacing w:val="-4"/>
        </w:rPr>
        <w:t>高度集权的劳动就业政策很大程度上制约了职业指导的开展：一方面，高校毕业生</w:t>
      </w:r>
      <w:r>
        <w:rPr>
          <w:rFonts w:ascii="Times New Roman" w:hAnsi="Times New Roman" w:eastAsia="Times New Roman"/>
          <w:spacing w:val="-4"/>
        </w:rPr>
        <w:t>/</w:t>
      </w:r>
      <w:r>
        <w:rPr>
          <w:spacing w:val="-4"/>
        </w:rPr>
        <w:t>普通高中毕业生，一旦毕业就由国家安排去向，学生并不需要考虑未来</w:t>
      </w:r>
      <w:r>
        <w:rPr>
          <w:spacing w:val="-5"/>
        </w:rPr>
        <w:t>的就业与发展，他们没有就业压力，无需择业，只需要按照国家指令行事即可； </w:t>
      </w:r>
      <w:r>
        <w:rPr>
          <w:spacing w:val="-8"/>
        </w:rPr>
        <w:t>另一方面，统包统分的固定工制度使劳动者一旦入职即享有“终身制”工作，换</w:t>
      </w:r>
      <w:r>
        <w:rPr>
          <w:spacing w:val="-12"/>
        </w:rPr>
        <w:t>言之，拥有“铁饭碗”后的劳动人民也不用担心失业与再就业的问题。因此，在</w:t>
      </w:r>
      <w:r>
        <w:rPr>
          <w:spacing w:val="-15"/>
        </w:rPr>
        <w:t>很长一段时间里，深受“统一分配”制度的影响，社会各界人士自主择业、就业</w:t>
      </w:r>
      <w:r>
        <w:rPr>
          <w:spacing w:val="-14"/>
        </w:rPr>
        <w:t>的意识较为薄弱，职业指导也失去了其应有的价值和地位，其机构设置、学校开</w:t>
      </w:r>
      <w:r>
        <w:rPr>
          <w:spacing w:val="-18"/>
        </w:rPr>
        <w:t>设的职业指导课程和活动以及社会上相应的师资培训、社会影响等方面的发展均举步维艰，甚至原有的进展也无法得到保证。</w:t>
      </w:r>
    </w:p>
    <w:p>
      <w:pPr>
        <w:pStyle w:val="BodyText"/>
        <w:rPr>
          <w:sz w:val="20"/>
        </w:rPr>
      </w:pPr>
    </w:p>
    <w:p>
      <w:pPr>
        <w:pStyle w:val="BodyText"/>
        <w:spacing w:before="11"/>
        <w:rPr>
          <w:sz w:val="12"/>
        </w:rPr>
      </w:pPr>
      <w:r>
        <w:rPr/>
        <w:pict>
          <v:shape style="position:absolute;margin-left:90pt;margin-top:10.210792pt;width:144pt;height:.1pt;mso-position-horizontal-relative:page;mso-position-vertical-relative:paragraph;z-index:-251556864;mso-wrap-distance-left:0;mso-wrap-distance-right:0" coordorigin="1800,204" coordsize="2880,0" path="m1800,204l4680,204e" filled="false" stroked="true" strokeweight="0pt" strokecolor="#000000">
            <v:path arrowok="t"/>
            <v:stroke dashstyle="solid"/>
            <w10:wrap type="topAndBottom"/>
          </v:shape>
        </w:pict>
      </w:r>
    </w:p>
    <w:p>
      <w:pPr>
        <w:spacing w:before="97"/>
        <w:ind w:left="1320" w:right="0" w:firstLine="0"/>
        <w:jc w:val="left"/>
        <w:rPr>
          <w:rFonts w:ascii="Times New Roman" w:eastAsia="Times New Roman"/>
          <w:sz w:val="18"/>
        </w:rPr>
      </w:pPr>
      <w:bookmarkStart w:name="_bookmark202" w:id="245"/>
      <w:bookmarkEnd w:id="245"/>
      <w:r>
        <w:rPr/>
      </w:r>
      <w:r>
        <w:rPr>
          <w:rFonts w:ascii="Times New Roman" w:eastAsia="Times New Roman"/>
          <w:position w:val="7"/>
          <w:sz w:val="13"/>
        </w:rPr>
        <w:t>[1] </w:t>
      </w:r>
      <w:r>
        <w:rPr>
          <w:sz w:val="18"/>
        </w:rPr>
        <w:t>张元等</w:t>
      </w:r>
      <w:r>
        <w:rPr>
          <w:rFonts w:ascii="Times New Roman" w:eastAsia="Times New Roman"/>
          <w:sz w:val="18"/>
        </w:rPr>
        <w:t>.</w:t>
      </w:r>
      <w:r>
        <w:rPr>
          <w:sz w:val="18"/>
        </w:rPr>
        <w:t>论职业指导概念的形成与发展</w:t>
      </w:r>
      <w:r>
        <w:rPr>
          <w:rFonts w:ascii="Times New Roman" w:eastAsia="Times New Roman"/>
          <w:sz w:val="18"/>
        </w:rPr>
        <w:t>[J].</w:t>
      </w:r>
      <w:r>
        <w:rPr>
          <w:sz w:val="18"/>
        </w:rPr>
        <w:t>教育与职业，</w:t>
      </w:r>
      <w:r>
        <w:rPr>
          <w:rFonts w:ascii="Times New Roman" w:eastAsia="Times New Roman"/>
          <w:sz w:val="18"/>
        </w:rPr>
        <w:t>2008</w:t>
      </w:r>
      <w:r>
        <w:rPr>
          <w:sz w:val="18"/>
        </w:rPr>
        <w:t>（</w:t>
      </w:r>
      <w:r>
        <w:rPr>
          <w:rFonts w:ascii="Times New Roman" w:eastAsia="Times New Roman"/>
          <w:sz w:val="18"/>
        </w:rPr>
        <w:t>21</w:t>
      </w:r>
      <w:r>
        <w:rPr>
          <w:sz w:val="18"/>
        </w:rPr>
        <w:t>）：</w:t>
      </w:r>
      <w:r>
        <w:rPr>
          <w:rFonts w:ascii="Times New Roman" w:eastAsia="Times New Roman"/>
          <w:sz w:val="18"/>
        </w:rPr>
        <w:t>33.</w:t>
      </w:r>
    </w:p>
    <w:p>
      <w:pPr>
        <w:spacing w:before="128"/>
        <w:ind w:left="1319" w:right="0" w:firstLine="0"/>
        <w:jc w:val="left"/>
        <w:rPr>
          <w:rFonts w:ascii="Times New Roman" w:eastAsia="Times New Roman"/>
          <w:sz w:val="18"/>
        </w:rPr>
      </w:pPr>
      <w:bookmarkStart w:name="_bookmark203" w:id="246"/>
      <w:bookmarkEnd w:id="246"/>
      <w:r>
        <w:rPr/>
      </w:r>
      <w:r>
        <w:rPr>
          <w:rFonts w:ascii="Times New Roman" w:eastAsia="Times New Roman"/>
          <w:position w:val="7"/>
          <w:sz w:val="13"/>
        </w:rPr>
        <w:t>[2] </w:t>
      </w:r>
      <w:r>
        <w:rPr>
          <w:sz w:val="18"/>
        </w:rPr>
        <w:t>朱启臻</w:t>
      </w:r>
      <w:r>
        <w:rPr>
          <w:rFonts w:ascii="Times New Roman" w:eastAsia="Times New Roman"/>
          <w:sz w:val="18"/>
        </w:rPr>
        <w:t>.</w:t>
      </w:r>
      <w:r>
        <w:rPr>
          <w:sz w:val="18"/>
        </w:rPr>
        <w:t>职业指导理论与方法</w:t>
      </w:r>
      <w:r>
        <w:rPr>
          <w:rFonts w:ascii="Times New Roman" w:eastAsia="Times New Roman"/>
          <w:sz w:val="18"/>
        </w:rPr>
        <w:t>[M].</w:t>
      </w:r>
      <w:r>
        <w:rPr>
          <w:sz w:val="18"/>
        </w:rPr>
        <w:t>北京：人民教育出版社，</w:t>
      </w:r>
      <w:r>
        <w:rPr>
          <w:rFonts w:ascii="Times New Roman" w:eastAsia="Times New Roman"/>
          <w:sz w:val="18"/>
        </w:rPr>
        <w:t>1996</w:t>
      </w:r>
      <w:r>
        <w:rPr>
          <w:sz w:val="18"/>
        </w:rPr>
        <w:t>：</w:t>
      </w:r>
      <w:r>
        <w:rPr>
          <w:rFonts w:ascii="Times New Roman" w:eastAsia="Times New Roman"/>
          <w:sz w:val="18"/>
        </w:rPr>
        <w:t>20-23.56.</w:t>
      </w:r>
    </w:p>
    <w:p>
      <w:pPr>
        <w:spacing w:before="127"/>
        <w:ind w:left="1319" w:right="0" w:firstLine="0"/>
        <w:jc w:val="left"/>
        <w:rPr>
          <w:rFonts w:ascii="Times New Roman" w:eastAsia="Times New Roman"/>
          <w:sz w:val="18"/>
        </w:rPr>
      </w:pPr>
      <w:bookmarkStart w:name="_bookmark204" w:id="247"/>
      <w:bookmarkEnd w:id="247"/>
      <w:r>
        <w:rPr/>
      </w:r>
      <w:r>
        <w:rPr>
          <w:rFonts w:ascii="Times New Roman" w:eastAsia="Times New Roman"/>
          <w:position w:val="7"/>
          <w:sz w:val="13"/>
        </w:rPr>
        <w:t>[3] </w:t>
      </w:r>
      <w:r>
        <w:rPr>
          <w:sz w:val="18"/>
        </w:rPr>
        <w:t>王雅文</w:t>
      </w:r>
      <w:r>
        <w:rPr>
          <w:rFonts w:ascii="Times New Roman" w:eastAsia="Times New Roman"/>
          <w:sz w:val="18"/>
        </w:rPr>
        <w:t>.</w:t>
      </w:r>
      <w:r>
        <w:rPr>
          <w:sz w:val="18"/>
        </w:rPr>
        <w:t>我国普通高中职业生涯教育现状和对策研究</w:t>
      </w:r>
      <w:r>
        <w:rPr>
          <w:rFonts w:ascii="Times New Roman" w:eastAsia="Times New Roman"/>
          <w:sz w:val="18"/>
        </w:rPr>
        <w:t>[D].</w:t>
      </w:r>
      <w:r>
        <w:rPr>
          <w:sz w:val="18"/>
        </w:rPr>
        <w:t>上海：华东师范大学硕士论文，</w:t>
      </w:r>
      <w:r>
        <w:rPr>
          <w:rFonts w:ascii="Times New Roman" w:eastAsia="Times New Roman"/>
          <w:sz w:val="18"/>
        </w:rPr>
        <w:t>2014:26-27.</w:t>
      </w:r>
    </w:p>
    <w:p>
      <w:pPr>
        <w:spacing w:before="128"/>
        <w:ind w:left="1319" w:right="0" w:firstLine="0"/>
        <w:jc w:val="left"/>
        <w:rPr>
          <w:rFonts w:ascii="Times New Roman" w:eastAsia="Times New Roman"/>
          <w:sz w:val="18"/>
        </w:rPr>
      </w:pPr>
      <w:bookmarkStart w:name="_bookmark205" w:id="248"/>
      <w:bookmarkEnd w:id="248"/>
      <w:r>
        <w:rPr/>
      </w:r>
      <w:r>
        <w:rPr>
          <w:rFonts w:ascii="Times New Roman" w:eastAsia="Times New Roman"/>
          <w:position w:val="7"/>
          <w:sz w:val="13"/>
        </w:rPr>
        <w:t>[4] </w:t>
      </w:r>
      <w:r>
        <w:rPr>
          <w:sz w:val="18"/>
        </w:rPr>
        <w:t>黄安余</w:t>
      </w:r>
      <w:r>
        <w:rPr>
          <w:rFonts w:ascii="Times New Roman" w:eastAsia="Times New Roman"/>
          <w:sz w:val="18"/>
        </w:rPr>
        <w:t>.</w:t>
      </w:r>
      <w:r>
        <w:rPr>
          <w:sz w:val="18"/>
        </w:rPr>
        <w:t>经济发展与劳动就业</w:t>
      </w:r>
      <w:r>
        <w:rPr>
          <w:rFonts w:ascii="Times New Roman" w:eastAsia="Times New Roman"/>
          <w:sz w:val="18"/>
        </w:rPr>
        <w:t>[M].</w:t>
      </w:r>
      <w:r>
        <w:rPr>
          <w:sz w:val="18"/>
        </w:rPr>
        <w:t>北京：北京大学出版社，</w:t>
      </w:r>
      <w:r>
        <w:rPr>
          <w:rFonts w:ascii="Times New Roman" w:eastAsia="Times New Roman"/>
          <w:sz w:val="18"/>
        </w:rPr>
        <w:t>2008:80.</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11"/>
        <w:rPr>
          <w:rFonts w:ascii="Times New Roman"/>
          <w:sz w:val="14"/>
        </w:rPr>
      </w:pPr>
    </w:p>
    <w:p>
      <w:pPr>
        <w:pStyle w:val="ListParagraph"/>
        <w:numPr>
          <w:ilvl w:val="2"/>
          <w:numId w:val="42"/>
        </w:numPr>
        <w:tabs>
          <w:tab w:pos="1920" w:val="left" w:leader="none"/>
        </w:tabs>
        <w:spacing w:line="240" w:lineRule="auto" w:before="74" w:after="0"/>
        <w:ind w:left="1920" w:right="0" w:hanging="600"/>
        <w:jc w:val="left"/>
        <w:rPr>
          <w:sz w:val="24"/>
        </w:rPr>
      </w:pPr>
      <w:bookmarkStart w:name="_bookmark206" w:id="249"/>
      <w:bookmarkEnd w:id="249"/>
      <w:r>
        <w:rPr/>
      </w:r>
      <w:bookmarkStart w:name="_bookmark206" w:id="250"/>
      <w:bookmarkEnd w:id="250"/>
      <w:r>
        <w:rPr>
          <w:sz w:val="24"/>
        </w:rPr>
        <w:t>我国生涯规划教育的恢复</w:t>
      </w:r>
    </w:p>
    <w:p>
      <w:pPr>
        <w:pStyle w:val="BodyText"/>
        <w:spacing w:before="9"/>
        <w:rPr>
          <w:sz w:val="35"/>
        </w:rPr>
      </w:pPr>
    </w:p>
    <w:p>
      <w:pPr>
        <w:pStyle w:val="BodyText"/>
        <w:spacing w:line="364" w:lineRule="auto" w:before="1"/>
        <w:ind w:left="1319" w:right="1457" w:firstLine="420"/>
      </w:pPr>
      <w:r>
        <w:rPr>
          <w:spacing w:val="-12"/>
        </w:rPr>
        <w:t>一直到改革开放以后，我国开始由计划经济向社会主义市场经济转变。此时， </w:t>
      </w:r>
      <w:r>
        <w:rPr>
          <w:spacing w:val="-10"/>
        </w:rPr>
        <w:t>国家“统包统分”的就业政策已无法适应就业压力及市场需求，就业政策也随之</w:t>
      </w:r>
      <w:r>
        <w:rPr>
          <w:spacing w:val="-14"/>
        </w:rPr>
        <w:t>产生了根本性改变。我国逐步开放就业政策，企业开始自主择优用人，个人开始</w:t>
      </w:r>
      <w:r>
        <w:rPr>
          <w:spacing w:val="-13"/>
        </w:rPr>
        <w:t>竞争就业，社会各界也开始重新认识和定位生涯规划教育，停滞数十年的生涯规</w:t>
      </w:r>
      <w:r>
        <w:rPr>
          <w:spacing w:val="-7"/>
        </w:rPr>
        <w:t>划教育在我国又焕发生机，缓慢恢复发展。</w:t>
      </w:r>
      <w:r>
        <w:rPr>
          <w:rFonts w:ascii="Times New Roman" w:hAnsi="Times New Roman" w:eastAsia="Times New Roman"/>
        </w:rPr>
        <w:t>1986</w:t>
      </w:r>
      <w:r>
        <w:rPr>
          <w:rFonts w:ascii="Times New Roman" w:hAnsi="Times New Roman" w:eastAsia="Times New Roman"/>
          <w:spacing w:val="18"/>
        </w:rPr>
        <w:t> </w:t>
      </w:r>
      <w:r>
        <w:rPr/>
        <w:t>年，劳动人事部就业培训司编辑出版了《就业指导》，这意味着消失、沉寂多年的职业指导，终于重见天日。</w:t>
      </w:r>
      <w:r>
        <w:rPr>
          <w:rFonts w:ascii="Times New Roman" w:hAnsi="Times New Roman" w:eastAsia="Times New Roman"/>
          <w:position w:val="8"/>
          <w:sz w:val="15"/>
        </w:rPr>
        <w:t>[</w:t>
      </w:r>
      <w:hyperlink w:history="true" w:anchor="_bookmark207">
        <w:r>
          <w:rPr>
            <w:rFonts w:ascii="Times New Roman" w:hAnsi="Times New Roman" w:eastAsia="Times New Roman"/>
            <w:position w:val="8"/>
            <w:sz w:val="15"/>
          </w:rPr>
          <w:t>1</w:t>
        </w:r>
      </w:hyperlink>
      <w:r>
        <w:rPr>
          <w:rFonts w:ascii="Times New Roman" w:hAnsi="Times New Roman" w:eastAsia="Times New Roman"/>
          <w:position w:val="8"/>
          <w:sz w:val="15"/>
        </w:rPr>
        <w:t>]</w:t>
      </w:r>
      <w:r>
        <w:rPr>
          <w:rFonts w:ascii="Times New Roman" w:hAnsi="Times New Roman" w:eastAsia="Times New Roman"/>
        </w:rPr>
        <w:t>1989</w:t>
      </w:r>
      <w:r>
        <w:rPr>
          <w:rFonts w:ascii="Times New Roman" w:hAnsi="Times New Roman" w:eastAsia="Times New Roman"/>
          <w:spacing w:val="1"/>
        </w:rPr>
        <w:t> </w:t>
      </w:r>
      <w:r>
        <w:rPr>
          <w:spacing w:val="-30"/>
        </w:rPr>
        <w:t>年 </w:t>
      </w:r>
      <w:r>
        <w:rPr>
          <w:rFonts w:ascii="Times New Roman" w:hAnsi="Times New Roman" w:eastAsia="Times New Roman"/>
        </w:rPr>
        <w:t>2</w:t>
      </w:r>
      <w:r>
        <w:rPr>
          <w:rFonts w:ascii="Times New Roman" w:hAnsi="Times New Roman" w:eastAsia="Times New Roman"/>
          <w:spacing w:val="2"/>
        </w:rPr>
        <w:t> </w:t>
      </w:r>
      <w:r>
        <w:rPr>
          <w:spacing w:val="-11"/>
        </w:rPr>
        <w:t>月，国家教委发出通知：要求各省市教育部门在中学阶段逐步开展生</w:t>
      </w:r>
      <w:r>
        <w:rPr>
          <w:spacing w:val="-14"/>
        </w:rPr>
        <w:t>涯规划教育。受教育、经济等条件限制，生涯规划教育的开展仅在一些一线城市</w:t>
      </w:r>
      <w:r>
        <w:rPr>
          <w:spacing w:val="-15"/>
        </w:rPr>
        <w:t>取得了阶段性成果，并未在全国推广，随着时间的推移其功能和作用也逐渐被弱</w:t>
      </w:r>
      <w:r>
        <w:rPr>
          <w:spacing w:val="-13"/>
        </w:rPr>
        <w:t>化甚至消失。此后，我国陆续颁布了多份促进职业指导发展的文件，例如，</w:t>
      </w:r>
      <w:r>
        <w:rPr>
          <w:rFonts w:ascii="Times New Roman" w:hAnsi="Times New Roman" w:eastAsia="Times New Roman"/>
          <w:spacing w:val="-5"/>
        </w:rPr>
        <w:t>1992 </w:t>
      </w:r>
      <w:r>
        <w:rPr/>
        <w:t>年国家教委组织编写的《普通中学职业指导教育实验纲要》，</w:t>
      </w:r>
      <w:r>
        <w:rPr>
          <w:rFonts w:ascii="Times New Roman" w:hAnsi="Times New Roman" w:eastAsia="Times New Roman"/>
        </w:rPr>
        <w:t>1994</w:t>
      </w:r>
      <w:r>
        <w:rPr>
          <w:rFonts w:ascii="Times New Roman" w:hAnsi="Times New Roman" w:eastAsia="Times New Roman"/>
          <w:spacing w:val="18"/>
        </w:rPr>
        <w:t> </w:t>
      </w:r>
      <w:r>
        <w:rPr/>
        <w:t>年《普通中学职业指导纲要》的出台，均要求在初中和高中开设职业指导课。</w:t>
      </w:r>
    </w:p>
    <w:p>
      <w:pPr>
        <w:pStyle w:val="BodyText"/>
        <w:spacing w:line="364" w:lineRule="auto" w:before="7"/>
        <w:ind w:left="1319" w:right="1575" w:firstLine="420"/>
        <w:jc w:val="both"/>
      </w:pPr>
      <w:r>
        <w:rPr>
          <w:spacing w:val="-7"/>
        </w:rPr>
        <w:t>与此同时，西方发达国家的生涯规划教育则已历经了一个多世纪连续不断的</w:t>
      </w:r>
      <w:r>
        <w:rPr>
          <w:spacing w:val="-10"/>
        </w:rPr>
        <w:t>发展，可以说，在理论研究和实践探索方面均趋于成熟和完善。相比之下，我国</w:t>
      </w:r>
      <w:r>
        <w:rPr>
          <w:spacing w:val="-3"/>
        </w:rPr>
        <w:t>的生涯规划教育起步虽早，但期间却有近 </w:t>
      </w:r>
      <w:r>
        <w:rPr>
          <w:rFonts w:ascii="Times New Roman" w:hAnsi="Times New Roman" w:eastAsia="Times New Roman"/>
        </w:rPr>
        <w:t>30 </w:t>
      </w:r>
      <w:r>
        <w:rPr>
          <w:spacing w:val="-1"/>
        </w:rPr>
        <w:t>年的停滞，出现了断层现象，其严</w:t>
      </w:r>
      <w:r>
        <w:rPr>
          <w:spacing w:val="-8"/>
        </w:rPr>
        <w:t>重阻碍了生涯规划教育的发展：一方面，停滞期里，人们普遍缺乏对于生涯规划</w:t>
      </w:r>
      <w:r>
        <w:rPr>
          <w:spacing w:val="-7"/>
        </w:rPr>
        <w:t>教育重要性的认识，要重新唤起社会各界人士对生涯规划教育的关注，仍然“任</w:t>
      </w:r>
      <w:r>
        <w:rPr>
          <w:spacing w:val="-11"/>
        </w:rPr>
        <w:t>重而道远”；另一方面，生涯规划教育在理论、政策和实践方面虽得到了一定的</w:t>
      </w:r>
      <w:r>
        <w:rPr>
          <w:spacing w:val="-3"/>
        </w:rPr>
        <w:t>恢复和发展，但鲜见相关理论体系、知识体系，</w:t>
      </w:r>
      <w:r>
        <w:rPr>
          <w:rFonts w:ascii="Times New Roman" w:hAnsi="Times New Roman" w:eastAsia="Times New Roman"/>
          <w:spacing w:val="-3"/>
          <w:position w:val="8"/>
          <w:sz w:val="15"/>
        </w:rPr>
        <w:t>[</w:t>
      </w:r>
      <w:hyperlink w:history="true" w:anchor="_bookmark208">
        <w:r>
          <w:rPr>
            <w:rFonts w:ascii="Times New Roman" w:hAnsi="Times New Roman" w:eastAsia="Times New Roman"/>
            <w:spacing w:val="-3"/>
            <w:position w:val="8"/>
            <w:sz w:val="15"/>
          </w:rPr>
          <w:t>2</w:t>
        </w:r>
      </w:hyperlink>
      <w:r>
        <w:rPr>
          <w:rFonts w:ascii="Times New Roman" w:hAnsi="Times New Roman" w:eastAsia="Times New Roman"/>
          <w:spacing w:val="-3"/>
          <w:position w:val="8"/>
          <w:sz w:val="15"/>
        </w:rPr>
        <w:t>]</w:t>
      </w:r>
      <w:r>
        <w:rPr>
          <w:spacing w:val="-2"/>
        </w:rPr>
        <w:t>教育实践也明显不足，总体进</w:t>
      </w:r>
      <w:r>
        <w:rPr>
          <w:spacing w:val="-10"/>
        </w:rPr>
        <w:t>程缓慢。可见，目前我国的生涯规划教育依然处于探索阶段，理论与实践研究远</w:t>
      </w:r>
      <w:r>
        <w:rPr>
          <w:spacing w:val="-5"/>
        </w:rPr>
        <w:t>远不够。</w:t>
      </w:r>
      <w:r>
        <w:rPr>
          <w:rFonts w:ascii="Times New Roman" w:hAnsi="Times New Roman" w:eastAsia="Times New Roman"/>
          <w:position w:val="8"/>
          <w:sz w:val="15"/>
        </w:rPr>
        <w:t>[</w:t>
      </w:r>
      <w:hyperlink w:history="true" w:anchor="_bookmark209">
        <w:r>
          <w:rPr>
            <w:rFonts w:ascii="Times New Roman" w:hAnsi="Times New Roman" w:eastAsia="Times New Roman"/>
            <w:position w:val="8"/>
            <w:sz w:val="15"/>
          </w:rPr>
          <w:t>3</w:t>
        </w:r>
      </w:hyperlink>
      <w:r>
        <w:rPr>
          <w:rFonts w:ascii="Times New Roman" w:hAnsi="Times New Roman" w:eastAsia="Times New Roman"/>
          <w:position w:val="8"/>
          <w:sz w:val="15"/>
        </w:rPr>
        <w:t>]</w:t>
      </w:r>
      <w:r>
        <w:rPr>
          <w:spacing w:val="-5"/>
        </w:rPr>
        <w:t>总体来看，我国生涯规划教育的发展与发达国家的生涯规划教育存在</w:t>
      </w:r>
      <w:r>
        <w:rPr/>
        <w:t>较为显著的差距。</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8"/>
        </w:rPr>
      </w:pPr>
      <w:r>
        <w:rPr/>
        <w:pict>
          <v:shape style="position:absolute;margin-left:90pt;margin-top:13.804668pt;width:144pt;height:.1pt;mso-position-horizontal-relative:page;mso-position-vertical-relative:paragraph;z-index:-251555840;mso-wrap-distance-left:0;mso-wrap-distance-right:0" coordorigin="1800,276" coordsize="2880,0" path="m1800,276l4680,276e" filled="false" stroked="true" strokeweight="0pt" strokecolor="#000000">
            <v:path arrowok="t"/>
            <v:stroke dashstyle="solid"/>
            <w10:wrap type="topAndBottom"/>
          </v:shape>
        </w:pict>
      </w:r>
    </w:p>
    <w:p>
      <w:pPr>
        <w:spacing w:before="98"/>
        <w:ind w:left="1320" w:right="0" w:firstLine="0"/>
        <w:jc w:val="left"/>
        <w:rPr>
          <w:rFonts w:ascii="Times New Roman" w:eastAsia="Times New Roman"/>
          <w:sz w:val="18"/>
        </w:rPr>
      </w:pPr>
      <w:bookmarkStart w:name="_bookmark207" w:id="251"/>
      <w:bookmarkEnd w:id="251"/>
      <w:r>
        <w:rPr/>
      </w:r>
      <w:r>
        <w:rPr>
          <w:rFonts w:ascii="Times New Roman" w:eastAsia="Times New Roman"/>
          <w:position w:val="7"/>
          <w:sz w:val="13"/>
        </w:rPr>
        <w:t>[1] </w:t>
      </w:r>
      <w:r>
        <w:rPr>
          <w:sz w:val="18"/>
        </w:rPr>
        <w:t>张元等</w:t>
      </w:r>
      <w:r>
        <w:rPr>
          <w:rFonts w:ascii="Times New Roman" w:eastAsia="Times New Roman"/>
          <w:sz w:val="18"/>
        </w:rPr>
        <w:t>.</w:t>
      </w:r>
      <w:r>
        <w:rPr>
          <w:sz w:val="18"/>
        </w:rPr>
        <w:t>中国职业指导发展的历史</w:t>
      </w:r>
      <w:r>
        <w:rPr>
          <w:rFonts w:ascii="Times New Roman" w:eastAsia="Times New Roman"/>
          <w:sz w:val="18"/>
        </w:rPr>
        <w:t>[J].</w:t>
      </w:r>
      <w:r>
        <w:rPr>
          <w:sz w:val="18"/>
        </w:rPr>
        <w:t>中国职业技术教育，</w:t>
      </w:r>
      <w:r>
        <w:rPr>
          <w:rFonts w:ascii="Times New Roman" w:eastAsia="Times New Roman"/>
          <w:sz w:val="18"/>
        </w:rPr>
        <w:t>2008</w:t>
      </w:r>
      <w:r>
        <w:rPr>
          <w:sz w:val="18"/>
        </w:rPr>
        <w:t>：</w:t>
      </w:r>
      <w:r>
        <w:rPr>
          <w:rFonts w:ascii="Times New Roman" w:eastAsia="Times New Roman"/>
          <w:sz w:val="18"/>
        </w:rPr>
        <w:t>21.</w:t>
      </w:r>
    </w:p>
    <w:p>
      <w:pPr>
        <w:spacing w:before="127"/>
        <w:ind w:left="1319" w:right="0" w:firstLine="0"/>
        <w:jc w:val="left"/>
        <w:rPr>
          <w:rFonts w:ascii="Times New Roman" w:eastAsia="Times New Roman"/>
          <w:sz w:val="18"/>
        </w:rPr>
      </w:pPr>
      <w:bookmarkStart w:name="_bookmark208" w:id="252"/>
      <w:bookmarkEnd w:id="252"/>
      <w:r>
        <w:rPr/>
      </w:r>
      <w:r>
        <w:rPr>
          <w:rFonts w:ascii="Times New Roman" w:eastAsia="Times New Roman"/>
          <w:position w:val="7"/>
          <w:sz w:val="13"/>
        </w:rPr>
        <w:t>[2] </w:t>
      </w:r>
      <w:r>
        <w:rPr>
          <w:sz w:val="18"/>
        </w:rPr>
        <w:t>李兴军</w:t>
      </w:r>
      <w:r>
        <w:rPr>
          <w:rFonts w:ascii="Times New Roman" w:eastAsia="Times New Roman"/>
          <w:sz w:val="18"/>
        </w:rPr>
        <w:t>.</w:t>
      </w:r>
      <w:r>
        <w:rPr>
          <w:sz w:val="18"/>
        </w:rPr>
        <w:t>侯佳</w:t>
      </w:r>
      <w:r>
        <w:rPr>
          <w:rFonts w:ascii="Times New Roman" w:eastAsia="Times New Roman"/>
          <w:sz w:val="18"/>
        </w:rPr>
        <w:t>.</w:t>
      </w:r>
      <w:r>
        <w:rPr>
          <w:sz w:val="18"/>
        </w:rPr>
        <w:t>中国当代职业指导发展回眸：</w:t>
      </w:r>
      <w:r>
        <w:rPr>
          <w:rFonts w:ascii="Times New Roman" w:eastAsia="Times New Roman"/>
          <w:sz w:val="18"/>
        </w:rPr>
        <w:t>1978-2008[J].</w:t>
      </w:r>
      <w:r>
        <w:rPr>
          <w:sz w:val="18"/>
        </w:rPr>
        <w:t>江苏技术师范学院学报，</w:t>
      </w:r>
      <w:r>
        <w:rPr>
          <w:rFonts w:ascii="Times New Roman" w:eastAsia="Times New Roman"/>
          <w:sz w:val="18"/>
        </w:rPr>
        <w:t>2008</w:t>
      </w:r>
      <w:r>
        <w:rPr>
          <w:sz w:val="18"/>
        </w:rPr>
        <w:t>（</w:t>
      </w:r>
      <w:r>
        <w:rPr>
          <w:rFonts w:ascii="Times New Roman" w:eastAsia="Times New Roman"/>
          <w:sz w:val="18"/>
        </w:rPr>
        <w:t>11</w:t>
      </w:r>
      <w:r>
        <w:rPr>
          <w:sz w:val="18"/>
        </w:rPr>
        <w:t>）：</w:t>
      </w:r>
      <w:r>
        <w:rPr>
          <w:rFonts w:ascii="Times New Roman" w:eastAsia="Times New Roman"/>
          <w:sz w:val="18"/>
        </w:rPr>
        <w:t>21.</w:t>
      </w:r>
    </w:p>
    <w:p>
      <w:pPr>
        <w:spacing w:before="128"/>
        <w:ind w:left="1319" w:right="0" w:firstLine="0"/>
        <w:jc w:val="left"/>
        <w:rPr>
          <w:rFonts w:ascii="Times New Roman" w:eastAsia="Times New Roman"/>
          <w:sz w:val="18"/>
        </w:rPr>
      </w:pPr>
      <w:bookmarkStart w:name="_bookmark209" w:id="253"/>
      <w:bookmarkEnd w:id="253"/>
      <w:r>
        <w:rPr/>
      </w:r>
      <w:r>
        <w:rPr>
          <w:rFonts w:ascii="Times New Roman" w:eastAsia="Times New Roman"/>
          <w:position w:val="7"/>
          <w:sz w:val="13"/>
        </w:rPr>
        <w:t>[3] </w:t>
      </w:r>
      <w:r>
        <w:rPr>
          <w:sz w:val="18"/>
        </w:rPr>
        <w:t>李荣</w:t>
      </w:r>
      <w:r>
        <w:rPr>
          <w:rFonts w:ascii="Times New Roman" w:eastAsia="Times New Roman"/>
          <w:sz w:val="18"/>
        </w:rPr>
        <w:t>.</w:t>
      </w:r>
      <w:r>
        <w:rPr>
          <w:sz w:val="18"/>
        </w:rPr>
        <w:t>论高中职业生涯规划教育的实施策略</w:t>
      </w:r>
      <w:r>
        <w:rPr>
          <w:rFonts w:ascii="Times New Roman" w:eastAsia="Times New Roman"/>
          <w:sz w:val="18"/>
        </w:rPr>
        <w:t>[D].</w:t>
      </w:r>
      <w:r>
        <w:rPr>
          <w:sz w:val="18"/>
        </w:rPr>
        <w:t>武汉：华中师范大学硕士论文，</w:t>
      </w:r>
      <w:r>
        <w:rPr>
          <w:rFonts w:ascii="Times New Roman" w:eastAsia="Times New Roman"/>
          <w:sz w:val="18"/>
        </w:rPr>
        <w:t>2014</w:t>
      </w:r>
      <w:r>
        <w:rPr>
          <w:sz w:val="18"/>
        </w:rPr>
        <w:t>：</w:t>
      </w:r>
      <w:r>
        <w:rPr>
          <w:rFonts w:ascii="Times New Roman" w:eastAsia="Times New Roman"/>
          <w:sz w:val="18"/>
        </w:rPr>
        <w:t>21.</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7"/>
        <w:rPr>
          <w:rFonts w:ascii="Times New Roman"/>
          <w:sz w:val="16"/>
        </w:rPr>
      </w:pPr>
    </w:p>
    <w:p>
      <w:pPr>
        <w:pStyle w:val="Heading2"/>
        <w:numPr>
          <w:ilvl w:val="1"/>
          <w:numId w:val="42"/>
        </w:numPr>
        <w:tabs>
          <w:tab w:pos="1810" w:val="left" w:leader="none"/>
        </w:tabs>
        <w:spacing w:line="495" w:lineRule="exact" w:before="0" w:after="0"/>
        <w:ind w:left="1809" w:right="0" w:hanging="490"/>
        <w:jc w:val="left"/>
      </w:pPr>
      <w:bookmarkStart w:name="_bookmark210" w:id="254"/>
      <w:bookmarkEnd w:id="254"/>
      <w:r>
        <w:rPr>
          <w:b w:val="0"/>
        </w:rPr>
      </w:r>
      <w:bookmarkStart w:name="_bookmark210" w:id="255"/>
      <w:bookmarkEnd w:id="255"/>
      <w:r>
        <w:rPr/>
        <w:t>普通高中教育性质与价值定位的片面化</w:t>
      </w:r>
    </w:p>
    <w:p>
      <w:pPr>
        <w:pStyle w:val="BodyText"/>
        <w:spacing w:before="4"/>
        <w:rPr>
          <w:rFonts w:ascii="Microsoft JhengHei"/>
          <w:b/>
          <w:sz w:val="22"/>
        </w:rPr>
      </w:pPr>
    </w:p>
    <w:p>
      <w:pPr>
        <w:pStyle w:val="BodyText"/>
        <w:spacing w:line="364" w:lineRule="auto" w:before="1"/>
        <w:ind w:left="1320" w:right="1485" w:firstLine="420"/>
      </w:pPr>
      <w:r>
        <w:rPr/>
        <w:t>生涯规划教育的发展离不开普通高中教育的支持与配合，但目前普通高中教育不仅没有对生涯规划教育予以相应的支持，还在一定程度上起到了抑制作用。究其因，这与我国普通高中教育的性质与价值定位呈现片面化的特征密不可分。</w:t>
      </w:r>
    </w:p>
    <w:p>
      <w:pPr>
        <w:pStyle w:val="BodyText"/>
        <w:spacing w:before="2"/>
        <w:rPr>
          <w:sz w:val="23"/>
        </w:rPr>
      </w:pPr>
    </w:p>
    <w:p>
      <w:pPr>
        <w:pStyle w:val="ListParagraph"/>
        <w:numPr>
          <w:ilvl w:val="2"/>
          <w:numId w:val="42"/>
        </w:numPr>
        <w:tabs>
          <w:tab w:pos="1920" w:val="left" w:leader="none"/>
        </w:tabs>
        <w:spacing w:line="240" w:lineRule="auto" w:before="0" w:after="0"/>
        <w:ind w:left="1920" w:right="0" w:hanging="600"/>
        <w:jc w:val="left"/>
        <w:rPr>
          <w:sz w:val="24"/>
        </w:rPr>
      </w:pPr>
      <w:r>
        <w:rPr>
          <w:sz w:val="24"/>
        </w:rPr>
        <w:t>片面化定位的论争</w:t>
      </w:r>
    </w:p>
    <w:p>
      <w:pPr>
        <w:pStyle w:val="BodyText"/>
        <w:spacing w:before="7"/>
        <w:rPr>
          <w:sz w:val="35"/>
        </w:rPr>
      </w:pPr>
    </w:p>
    <w:p>
      <w:pPr>
        <w:pStyle w:val="BodyText"/>
        <w:spacing w:line="364" w:lineRule="auto"/>
        <w:ind w:left="1319" w:right="1485" w:firstLine="480"/>
        <w:jc w:val="both"/>
      </w:pPr>
      <w:r>
        <w:rPr>
          <w:spacing w:val="-6"/>
        </w:rPr>
        <w:t>关于普通高中性质与价值定位的看法，长期以来，以“升学”和“就业”的</w:t>
      </w:r>
      <w:r>
        <w:rPr>
          <w:spacing w:val="-21"/>
        </w:rPr>
        <w:t>“双重任务论”为主，即在我国传统思想中，普通高中应承担“预备教育”和“就</w:t>
      </w:r>
      <w:r>
        <w:rPr>
          <w:spacing w:val="-15"/>
        </w:rPr>
        <w:t>业分流教育”的双重任务。随着时代的发展，当前对普通高中性质与价值定位问</w:t>
      </w:r>
      <w:r>
        <w:rPr>
          <w:spacing w:val="-10"/>
        </w:rPr>
        <w:t>题的讨论中，“大学预科”说这一观点比较具有代表性，</w:t>
      </w:r>
      <w:r>
        <w:rPr>
          <w:rFonts w:ascii="Times New Roman" w:hAnsi="Times New Roman" w:eastAsia="Times New Roman"/>
          <w:spacing w:val="-3"/>
          <w:position w:val="8"/>
          <w:sz w:val="15"/>
        </w:rPr>
        <w:t>[</w:t>
      </w:r>
      <w:hyperlink w:history="true" w:anchor="_bookmark211">
        <w:r>
          <w:rPr>
            <w:rFonts w:ascii="Times New Roman" w:hAnsi="Times New Roman" w:eastAsia="Times New Roman"/>
            <w:spacing w:val="-3"/>
            <w:position w:val="8"/>
            <w:sz w:val="15"/>
          </w:rPr>
          <w:t>1</w:t>
        </w:r>
      </w:hyperlink>
      <w:r>
        <w:rPr>
          <w:rFonts w:ascii="Times New Roman" w:hAnsi="Times New Roman" w:eastAsia="Times New Roman"/>
          <w:spacing w:val="-3"/>
          <w:position w:val="8"/>
          <w:sz w:val="15"/>
        </w:rPr>
        <w:t>]</w:t>
      </w:r>
      <w:r>
        <w:rPr>
          <w:spacing w:val="-2"/>
        </w:rPr>
        <w:t>该观点认为：我国新</w:t>
      </w:r>
      <w:r>
        <w:rPr>
          <w:spacing w:val="-3"/>
        </w:rPr>
        <w:t>时期普通高中教育已经具备了大学预科的性质，成为了高等教育的准备和预备。</w:t>
      </w:r>
    </w:p>
    <w:p>
      <w:pPr>
        <w:pStyle w:val="BodyText"/>
        <w:spacing w:line="364" w:lineRule="auto" w:before="3"/>
        <w:ind w:left="1319" w:right="1577" w:firstLine="420"/>
        <w:jc w:val="both"/>
      </w:pPr>
      <w:r>
        <w:rPr>
          <w:spacing w:val="-4"/>
        </w:rPr>
        <w:t>以上两种观点虽有一定合理性，但均存在将普通高中教育工具化的倾向，着</w:t>
      </w:r>
      <w:r>
        <w:rPr>
          <w:spacing w:val="-6"/>
        </w:rPr>
        <w:t>重强调普通高中教育的预备功能，即“为大学做准备”和“为就业做准备”，实质上都是从社会发展的角度提出的，仅注重它的社会功能，而缺乏对其内在价值</w:t>
      </w:r>
    </w:p>
    <w:p>
      <w:pPr>
        <w:pStyle w:val="BodyText"/>
        <w:spacing w:line="364" w:lineRule="auto" w:before="2"/>
        <w:ind w:left="1319" w:right="1525"/>
      </w:pPr>
      <w:r>
        <w:rPr/>
        <w:t>——“育人”功能的思考，</w:t>
      </w:r>
      <w:r>
        <w:rPr>
          <w:rFonts w:ascii="Times New Roman" w:hAnsi="Times New Roman" w:eastAsia="Times New Roman"/>
          <w:position w:val="8"/>
          <w:sz w:val="15"/>
        </w:rPr>
        <w:t>[</w:t>
      </w:r>
      <w:hyperlink w:history="true" w:anchor="_bookmark212">
        <w:r>
          <w:rPr>
            <w:rFonts w:ascii="Times New Roman" w:hAnsi="Times New Roman" w:eastAsia="Times New Roman"/>
            <w:position w:val="8"/>
            <w:sz w:val="15"/>
          </w:rPr>
          <w:t>2</w:t>
        </w:r>
      </w:hyperlink>
      <w:r>
        <w:rPr>
          <w:rFonts w:ascii="Times New Roman" w:hAnsi="Times New Roman" w:eastAsia="Times New Roman"/>
          <w:position w:val="8"/>
          <w:sz w:val="15"/>
        </w:rPr>
        <w:t>]</w:t>
      </w:r>
      <w:r>
        <w:rPr/>
        <w:t>普通高中教育作为特定学习阶段的独特价值也一并被忽视。</w:t>
      </w:r>
    </w:p>
    <w:p>
      <w:pPr>
        <w:pStyle w:val="BodyText"/>
        <w:spacing w:line="364" w:lineRule="auto" w:before="1"/>
        <w:ind w:left="1319" w:right="1575" w:firstLine="420"/>
        <w:jc w:val="both"/>
      </w:pPr>
      <w:r>
        <w:rPr/>
        <w:t>有学者将普通教育的性质定位于“基础教育”，提出了“基础</w:t>
      </w:r>
      <w:r>
        <w:rPr>
          <w:rFonts w:ascii="Times New Roman" w:hAnsi="Times New Roman" w:eastAsia="Times New Roman"/>
        </w:rPr>
        <w:t>+</w:t>
      </w:r>
      <w:r>
        <w:rPr/>
        <w:t>选择”的观</w:t>
      </w:r>
      <w:r>
        <w:rPr>
          <w:spacing w:val="-5"/>
        </w:rPr>
        <w:t>点，通过“选择”对高中教育与义务教育进行区分，</w:t>
      </w:r>
      <w:r>
        <w:rPr>
          <w:rFonts w:ascii="Times New Roman" w:hAnsi="Times New Roman" w:eastAsia="Times New Roman"/>
          <w:position w:val="8"/>
          <w:sz w:val="15"/>
        </w:rPr>
        <w:t>[</w:t>
      </w:r>
      <w:hyperlink w:history="true" w:anchor="_bookmark213">
        <w:r>
          <w:rPr>
            <w:rFonts w:ascii="Times New Roman" w:hAnsi="Times New Roman" w:eastAsia="Times New Roman"/>
            <w:position w:val="8"/>
            <w:sz w:val="15"/>
          </w:rPr>
          <w:t>3</w:t>
        </w:r>
      </w:hyperlink>
      <w:r>
        <w:rPr>
          <w:rFonts w:ascii="Times New Roman" w:hAnsi="Times New Roman" w:eastAsia="Times New Roman"/>
          <w:position w:val="8"/>
          <w:sz w:val="15"/>
        </w:rPr>
        <w:t>]</w:t>
      </w:r>
      <w:r>
        <w:rPr>
          <w:spacing w:val="-4"/>
        </w:rPr>
        <w:t>但强调“基础性”则相应</w:t>
      </w:r>
      <w:r>
        <w:rPr>
          <w:spacing w:val="-7"/>
        </w:rPr>
        <w:t>的忽视了大多数高中毕业生升学，少数毕业生进入职场和社会生活的需求，在一</w:t>
      </w:r>
      <w:r>
        <w:rPr/>
        <w:t>定程度上会弱化普通高中教育的工具价值。</w:t>
      </w:r>
    </w:p>
    <w:p>
      <w:pPr>
        <w:pStyle w:val="BodyText"/>
        <w:spacing w:line="364" w:lineRule="auto" w:before="3"/>
        <w:ind w:left="1319" w:right="1577" w:firstLine="480"/>
      </w:pPr>
      <w:r>
        <w:rPr>
          <w:spacing w:val="-10"/>
        </w:rPr>
        <w:t>因此，普通高中的性质与价值定位应将实现“内在价值”与“工具价值”相</w:t>
      </w:r>
      <w:r>
        <w:rPr/>
        <w:t>统一。</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23"/>
        </w:rPr>
      </w:pPr>
    </w:p>
    <w:p>
      <w:pPr>
        <w:spacing w:before="100"/>
        <w:ind w:left="1320" w:right="0" w:firstLine="0"/>
        <w:jc w:val="left"/>
        <w:rPr>
          <w:rFonts w:ascii="Times New Roman" w:eastAsia="Times New Roman"/>
          <w:sz w:val="18"/>
        </w:rPr>
      </w:pPr>
      <w:bookmarkStart w:name="_bookmark211" w:id="256"/>
      <w:bookmarkEnd w:id="256"/>
      <w:r>
        <w:rPr/>
      </w:r>
      <w:r>
        <w:rPr>
          <w:rFonts w:ascii="Times New Roman" w:eastAsia="Times New Roman"/>
          <w:position w:val="7"/>
          <w:sz w:val="13"/>
        </w:rPr>
        <w:t>[1] </w:t>
      </w:r>
      <w:r>
        <w:rPr>
          <w:sz w:val="18"/>
        </w:rPr>
        <w:t>张华</w:t>
      </w:r>
      <w:r>
        <w:rPr>
          <w:rFonts w:ascii="Times New Roman" w:eastAsia="Times New Roman"/>
          <w:sz w:val="18"/>
        </w:rPr>
        <w:t>.</w:t>
      </w:r>
      <w:r>
        <w:rPr>
          <w:sz w:val="18"/>
        </w:rPr>
        <w:t>论我国普通高中教育的性质与价值定位</w:t>
      </w:r>
      <w:r>
        <w:rPr>
          <w:rFonts w:ascii="Times New Roman" w:eastAsia="Times New Roman"/>
          <w:sz w:val="18"/>
        </w:rPr>
        <w:t>[J].</w:t>
      </w:r>
      <w:r>
        <w:rPr>
          <w:sz w:val="18"/>
        </w:rPr>
        <w:t>教育研究，</w:t>
      </w:r>
      <w:r>
        <w:rPr>
          <w:rFonts w:ascii="Times New Roman" w:eastAsia="Times New Roman"/>
          <w:sz w:val="18"/>
        </w:rPr>
        <w:t>2013</w:t>
      </w:r>
      <w:r>
        <w:rPr>
          <w:sz w:val="18"/>
        </w:rPr>
        <w:t>（</w:t>
      </w:r>
      <w:r>
        <w:rPr>
          <w:rFonts w:ascii="Times New Roman" w:eastAsia="Times New Roman"/>
          <w:sz w:val="18"/>
        </w:rPr>
        <w:t>09</w:t>
      </w:r>
      <w:r>
        <w:rPr>
          <w:sz w:val="18"/>
        </w:rPr>
        <w:t>）：</w:t>
      </w:r>
      <w:r>
        <w:rPr>
          <w:rFonts w:ascii="Times New Roman" w:eastAsia="Times New Roman"/>
          <w:sz w:val="18"/>
        </w:rPr>
        <w:t>67.</w:t>
      </w:r>
    </w:p>
    <w:p>
      <w:pPr>
        <w:spacing w:before="128"/>
        <w:ind w:left="1319" w:right="0" w:firstLine="0"/>
        <w:jc w:val="left"/>
        <w:rPr>
          <w:rFonts w:ascii="Times New Roman" w:eastAsia="Times New Roman"/>
          <w:sz w:val="18"/>
        </w:rPr>
      </w:pPr>
      <w:bookmarkStart w:name="_bookmark212" w:id="257"/>
      <w:bookmarkEnd w:id="257"/>
      <w:r>
        <w:rPr/>
      </w:r>
      <w:r>
        <w:rPr>
          <w:rFonts w:ascii="Times New Roman" w:eastAsia="Times New Roman"/>
          <w:position w:val="7"/>
          <w:sz w:val="13"/>
        </w:rPr>
        <w:t>[2] </w:t>
      </w:r>
      <w:r>
        <w:rPr>
          <w:sz w:val="18"/>
        </w:rPr>
        <w:t>廖军</w:t>
      </w:r>
      <w:r>
        <w:rPr>
          <w:rFonts w:ascii="Times New Roman" w:eastAsia="Times New Roman"/>
          <w:sz w:val="18"/>
        </w:rPr>
        <w:t>.</w:t>
      </w:r>
      <w:r>
        <w:rPr>
          <w:sz w:val="18"/>
        </w:rPr>
        <w:t>李志勇</w:t>
      </w:r>
      <w:r>
        <w:rPr>
          <w:rFonts w:ascii="Times New Roman" w:eastAsia="Times New Roman"/>
          <w:sz w:val="18"/>
        </w:rPr>
        <w:t>.</w:t>
      </w:r>
      <w:r>
        <w:rPr>
          <w:sz w:val="18"/>
        </w:rPr>
        <w:t>从精英到大众：我国普通高中教育定位之思考</w:t>
      </w:r>
      <w:r>
        <w:rPr>
          <w:rFonts w:ascii="Times New Roman" w:eastAsia="Times New Roman"/>
          <w:sz w:val="18"/>
        </w:rPr>
        <w:t>[J].</w:t>
      </w:r>
      <w:r>
        <w:rPr>
          <w:sz w:val="18"/>
        </w:rPr>
        <w:t>教育科学研究，</w:t>
      </w:r>
      <w:r>
        <w:rPr>
          <w:rFonts w:ascii="Times New Roman" w:eastAsia="Times New Roman"/>
          <w:sz w:val="18"/>
        </w:rPr>
        <w:t>2011</w:t>
      </w:r>
      <w:r>
        <w:rPr>
          <w:sz w:val="18"/>
        </w:rPr>
        <w:t>（</w:t>
      </w:r>
      <w:r>
        <w:rPr>
          <w:rFonts w:ascii="Times New Roman" w:eastAsia="Times New Roman"/>
          <w:sz w:val="18"/>
        </w:rPr>
        <w:t>2</w:t>
      </w:r>
      <w:r>
        <w:rPr>
          <w:sz w:val="18"/>
        </w:rPr>
        <w:t>）：</w:t>
      </w:r>
      <w:r>
        <w:rPr>
          <w:rFonts w:ascii="Times New Roman" w:eastAsia="Times New Roman"/>
          <w:sz w:val="18"/>
        </w:rPr>
        <w:t>21.</w:t>
      </w:r>
    </w:p>
    <w:p>
      <w:pPr>
        <w:spacing w:before="128"/>
        <w:ind w:left="1319" w:right="0" w:firstLine="0"/>
        <w:jc w:val="left"/>
        <w:rPr>
          <w:rFonts w:ascii="Times New Roman" w:hAnsi="Times New Roman" w:eastAsia="Times New Roman"/>
          <w:sz w:val="18"/>
        </w:rPr>
      </w:pPr>
      <w:bookmarkStart w:name="_bookmark213" w:id="258"/>
      <w:bookmarkEnd w:id="258"/>
      <w:r>
        <w:rPr/>
      </w:r>
      <w:r>
        <w:rPr>
          <w:rFonts w:ascii="Times New Roman" w:hAnsi="Times New Roman" w:eastAsia="Times New Roman"/>
          <w:position w:val="7"/>
          <w:sz w:val="13"/>
        </w:rPr>
        <w:t>[3] </w:t>
      </w:r>
      <w:r>
        <w:rPr>
          <w:sz w:val="18"/>
        </w:rPr>
        <w:t>霍益萍</w:t>
      </w:r>
      <w:r>
        <w:rPr>
          <w:rFonts w:ascii="Times New Roman" w:hAnsi="Times New Roman" w:eastAsia="Times New Roman"/>
          <w:sz w:val="18"/>
        </w:rPr>
        <w:t>.</w:t>
      </w:r>
      <w:r>
        <w:rPr>
          <w:sz w:val="18"/>
        </w:rPr>
        <w:t>高中：基础</w:t>
      </w:r>
      <w:r>
        <w:rPr>
          <w:rFonts w:ascii="Times New Roman" w:hAnsi="Times New Roman" w:eastAsia="Times New Roman"/>
          <w:sz w:val="18"/>
        </w:rPr>
        <w:t>+</w:t>
      </w:r>
      <w:r>
        <w:rPr>
          <w:sz w:val="18"/>
        </w:rPr>
        <w:t>选择</w:t>
      </w:r>
      <w:r>
        <w:rPr>
          <w:rFonts w:ascii="Times New Roman" w:hAnsi="Times New Roman" w:eastAsia="Times New Roman"/>
          <w:sz w:val="18"/>
        </w:rPr>
        <w:t>——</w:t>
      </w:r>
      <w:r>
        <w:rPr>
          <w:sz w:val="18"/>
        </w:rPr>
        <w:t>也谈高中教育的定位与选择</w:t>
      </w:r>
      <w:r>
        <w:rPr>
          <w:rFonts w:ascii="Times New Roman" w:hAnsi="Times New Roman" w:eastAsia="Times New Roman"/>
          <w:sz w:val="18"/>
        </w:rPr>
        <w:t>[N].</w:t>
      </w:r>
      <w:r>
        <w:rPr>
          <w:sz w:val="18"/>
        </w:rPr>
        <w:t>中国教育报，</w:t>
      </w:r>
      <w:r>
        <w:rPr>
          <w:rFonts w:ascii="Times New Roman" w:hAnsi="Times New Roman" w:eastAsia="Times New Roman"/>
          <w:sz w:val="18"/>
        </w:rPr>
        <w:t>2012-3-9.</w:t>
      </w:r>
    </w:p>
    <w:p>
      <w:pPr>
        <w:spacing w:after="0"/>
        <w:jc w:val="left"/>
        <w:rPr>
          <w:rFonts w:ascii="Times New Roman" w:hAnsi="Times New Roman" w:eastAsia="Times New Roman"/>
          <w:sz w:val="18"/>
        </w:rPr>
        <w:sectPr>
          <w:headerReference w:type="default" r:id="rId81"/>
          <w:footerReference w:type="default" r:id="rId82"/>
          <w:pgSz w:w="11910" w:h="16840"/>
          <w:pgMar w:header="878" w:footer="1295" w:top="1300" w:bottom="1480" w:left="480" w:right="220"/>
        </w:sectPr>
      </w:pPr>
    </w:p>
    <w:p>
      <w:pPr>
        <w:pStyle w:val="BodyText"/>
        <w:spacing w:before="11"/>
        <w:rPr>
          <w:rFonts w:ascii="Times New Roman"/>
          <w:sz w:val="14"/>
        </w:rPr>
      </w:pPr>
    </w:p>
    <w:p>
      <w:pPr>
        <w:pStyle w:val="ListParagraph"/>
        <w:numPr>
          <w:ilvl w:val="2"/>
          <w:numId w:val="42"/>
        </w:numPr>
        <w:tabs>
          <w:tab w:pos="1920" w:val="left" w:leader="none"/>
        </w:tabs>
        <w:spacing w:line="240" w:lineRule="auto" w:before="74" w:after="0"/>
        <w:ind w:left="1920" w:right="0" w:hanging="600"/>
        <w:jc w:val="left"/>
        <w:rPr>
          <w:sz w:val="24"/>
        </w:rPr>
      </w:pPr>
      <w:bookmarkStart w:name="_bookmark214" w:id="259"/>
      <w:bookmarkEnd w:id="259"/>
      <w:r>
        <w:rPr/>
      </w:r>
      <w:bookmarkStart w:name="_bookmark214" w:id="260"/>
      <w:bookmarkEnd w:id="260"/>
      <w:r>
        <w:rPr>
          <w:sz w:val="24"/>
        </w:rPr>
        <w:t>片面化定位的现实</w:t>
      </w:r>
    </w:p>
    <w:p>
      <w:pPr>
        <w:pStyle w:val="BodyText"/>
        <w:spacing w:before="9"/>
        <w:rPr>
          <w:sz w:val="35"/>
        </w:rPr>
      </w:pPr>
    </w:p>
    <w:p>
      <w:pPr>
        <w:pStyle w:val="BodyText"/>
        <w:spacing w:line="364" w:lineRule="auto" w:before="1"/>
        <w:ind w:left="1320" w:right="1576" w:firstLine="480"/>
        <w:jc w:val="both"/>
        <w:rPr>
          <w:rFonts w:ascii="Times New Roman" w:hAnsi="Times New Roman" w:eastAsia="Times New Roman"/>
          <w:sz w:val="15"/>
        </w:rPr>
      </w:pPr>
      <w:r>
        <w:rPr>
          <w:spacing w:val="4"/>
        </w:rPr>
        <w:t>事实上，现阶段我国普通高中教育仍然是单一的为升学作准备的教育。</w:t>
      </w:r>
      <w:r>
        <w:rPr>
          <w:rFonts w:ascii="Times New Roman" w:hAnsi="Times New Roman" w:eastAsia="Times New Roman"/>
          <w:position w:val="8"/>
          <w:sz w:val="15"/>
        </w:rPr>
        <w:t>[</w:t>
      </w:r>
      <w:hyperlink w:history="true" w:anchor="_bookmark215">
        <w:r>
          <w:rPr>
            <w:rFonts w:ascii="Times New Roman" w:hAnsi="Times New Roman" w:eastAsia="Times New Roman"/>
            <w:position w:val="8"/>
            <w:sz w:val="15"/>
          </w:rPr>
          <w:t>1</w:t>
        </w:r>
      </w:hyperlink>
      <w:r>
        <w:rPr>
          <w:rFonts w:ascii="Times New Roman" w:hAnsi="Times New Roman" w:eastAsia="Times New Roman"/>
          <w:position w:val="8"/>
          <w:sz w:val="15"/>
        </w:rPr>
        <w:t>] </w:t>
      </w:r>
      <w:r>
        <w:rPr>
          <w:spacing w:val="-4"/>
        </w:rPr>
        <w:t>从对普通高中教育的定位来看，直到 </w:t>
      </w:r>
      <w:r>
        <w:rPr>
          <w:rFonts w:ascii="Times New Roman" w:hAnsi="Times New Roman" w:eastAsia="Times New Roman"/>
        </w:rPr>
        <w:t>1966 </w:t>
      </w:r>
      <w:r>
        <w:rPr>
          <w:spacing w:val="-1"/>
        </w:rPr>
        <w:t>年，高中阶段独有的价值和特征才逐</w:t>
      </w:r>
      <w:r>
        <w:rPr>
          <w:spacing w:val="-11"/>
        </w:rPr>
        <w:t>渐得到重视。在此之前，初中与高中一直并称为中学学段，而中学学段往往作为</w:t>
      </w:r>
      <w:r>
        <w:rPr>
          <w:spacing w:val="-2"/>
        </w:rPr>
        <w:t>升学的预备。</w:t>
      </w:r>
      <w:r>
        <w:rPr>
          <w:rFonts w:ascii="Times New Roman" w:hAnsi="Times New Roman" w:eastAsia="Times New Roman"/>
        </w:rPr>
        <w:t>20 </w:t>
      </w:r>
      <w:r>
        <w:rPr>
          <w:spacing w:val="-20"/>
        </w:rPr>
        <w:t>世纪 </w:t>
      </w:r>
      <w:r>
        <w:rPr>
          <w:rFonts w:ascii="Times New Roman" w:hAnsi="Times New Roman" w:eastAsia="Times New Roman"/>
        </w:rPr>
        <w:t>80 </w:t>
      </w:r>
      <w:r>
        <w:rPr>
          <w:spacing w:val="-5"/>
        </w:rPr>
        <w:t>年代，我国确立了优先发展高等教育的战略方针，号召</w:t>
      </w:r>
      <w:r>
        <w:rPr>
          <w:spacing w:val="-8"/>
        </w:rPr>
        <w:t>“为高等院校输送合格新生”。教育政策向高等教育的过度倾斜导致基础教育的发展方向有所偏差，基础教育一度沦为高等教育的预备，出现“千军万马过独木</w:t>
      </w:r>
      <w:r>
        <w:rPr/>
        <w:t>桥”的局面。</w:t>
      </w:r>
      <w:r>
        <w:rPr>
          <w:rFonts w:ascii="Times New Roman" w:hAnsi="Times New Roman" w:eastAsia="Times New Roman"/>
          <w:position w:val="8"/>
          <w:sz w:val="15"/>
        </w:rPr>
        <w:t>[</w:t>
      </w:r>
      <w:hyperlink w:history="true" w:anchor="_bookmark216">
        <w:r>
          <w:rPr>
            <w:rFonts w:ascii="Times New Roman" w:hAnsi="Times New Roman" w:eastAsia="Times New Roman"/>
            <w:position w:val="8"/>
            <w:sz w:val="15"/>
          </w:rPr>
          <w:t>2</w:t>
        </w:r>
      </w:hyperlink>
      <w:r>
        <w:rPr>
          <w:rFonts w:ascii="Times New Roman" w:hAnsi="Times New Roman" w:eastAsia="Times New Roman"/>
          <w:position w:val="8"/>
          <w:sz w:val="15"/>
        </w:rPr>
        <w:t>]</w:t>
      </w:r>
    </w:p>
    <w:p>
      <w:pPr>
        <w:pStyle w:val="BodyText"/>
        <w:spacing w:line="364" w:lineRule="auto" w:before="4"/>
        <w:ind w:left="1319" w:right="1575" w:firstLine="480"/>
        <w:jc w:val="both"/>
      </w:pPr>
      <w:r>
        <w:rPr>
          <w:spacing w:val="-6"/>
        </w:rPr>
        <w:t>这种片面的工具论的教育价值观根深蒂固，“越是优质的普通高中，越是强</w:t>
      </w:r>
      <w:r>
        <w:rPr>
          <w:spacing w:val="-3"/>
        </w:rPr>
        <w:t>调这种自身的大学预备性质，这是不争的事实”。</w:t>
      </w:r>
      <w:r>
        <w:rPr>
          <w:rFonts w:ascii="Times New Roman" w:hAnsi="Times New Roman" w:eastAsia="Times New Roman"/>
          <w:position w:val="8"/>
          <w:sz w:val="15"/>
        </w:rPr>
        <w:t>[</w:t>
      </w:r>
      <w:hyperlink w:history="true" w:anchor="_bookmark217">
        <w:r>
          <w:rPr>
            <w:rFonts w:ascii="Times New Roman" w:hAnsi="Times New Roman" w:eastAsia="Times New Roman"/>
            <w:position w:val="8"/>
            <w:sz w:val="15"/>
          </w:rPr>
          <w:t>3</w:t>
        </w:r>
      </w:hyperlink>
      <w:r>
        <w:rPr>
          <w:rFonts w:ascii="Times New Roman" w:hAnsi="Times New Roman" w:eastAsia="Times New Roman"/>
          <w:position w:val="8"/>
          <w:sz w:val="15"/>
        </w:rPr>
        <w:t>]</w:t>
      </w:r>
      <w:r>
        <w:rPr>
          <w:spacing w:val="-3"/>
        </w:rPr>
        <w:t>有校长谈到，高中教育已经</w:t>
      </w:r>
      <w:r>
        <w:rPr>
          <w:spacing w:val="-8"/>
        </w:rPr>
        <w:t>不自觉地办成了大学预科教育，学校的教育教学工作都是围绕高考这根指挥棒在</w:t>
      </w:r>
      <w:r>
        <w:rPr>
          <w:spacing w:val="-11"/>
        </w:rPr>
        <w:t>运行，高考的内容决定了学校的教学内容，高考升学率成为了评价学校的唯一标</w:t>
      </w:r>
      <w:r>
        <w:rPr/>
        <w:t>准。</w:t>
      </w:r>
      <w:r>
        <w:rPr>
          <w:rFonts w:ascii="Times New Roman" w:hAnsi="Times New Roman" w:eastAsia="Times New Roman"/>
          <w:position w:val="8"/>
          <w:sz w:val="15"/>
        </w:rPr>
        <w:t>[</w:t>
      </w:r>
      <w:hyperlink w:history="true" w:anchor="_bookmark218">
        <w:r>
          <w:rPr>
            <w:rFonts w:ascii="Times New Roman" w:hAnsi="Times New Roman" w:eastAsia="Times New Roman"/>
            <w:position w:val="8"/>
            <w:sz w:val="15"/>
          </w:rPr>
          <w:t>4</w:t>
        </w:r>
      </w:hyperlink>
      <w:r>
        <w:rPr>
          <w:rFonts w:ascii="Times New Roman" w:hAnsi="Times New Roman" w:eastAsia="Times New Roman"/>
          <w:position w:val="8"/>
          <w:sz w:val="15"/>
        </w:rPr>
        <w:t>]</w:t>
      </w:r>
      <w:r>
        <w:rPr/>
        <w:t>几乎所有的学校都将办学目标直指升学，</w:t>
      </w:r>
      <w:r>
        <w:rPr>
          <w:rFonts w:ascii="Times New Roman" w:hAnsi="Times New Roman" w:eastAsia="Times New Roman"/>
          <w:position w:val="8"/>
          <w:sz w:val="15"/>
        </w:rPr>
        <w:t>[</w:t>
      </w:r>
      <w:hyperlink w:history="true" w:anchor="_bookmark219">
        <w:r>
          <w:rPr>
            <w:rFonts w:ascii="Times New Roman" w:hAnsi="Times New Roman" w:eastAsia="Times New Roman"/>
            <w:position w:val="8"/>
            <w:sz w:val="15"/>
          </w:rPr>
          <w:t>5</w:t>
        </w:r>
      </w:hyperlink>
      <w:r>
        <w:rPr>
          <w:rFonts w:ascii="Times New Roman" w:hAnsi="Times New Roman" w:eastAsia="Times New Roman"/>
          <w:position w:val="8"/>
          <w:sz w:val="15"/>
        </w:rPr>
        <w:t>]</w:t>
      </w:r>
      <w:r>
        <w:rPr/>
        <w:t>学校的工具倾向日益加剧，升</w:t>
      </w:r>
      <w:r>
        <w:rPr>
          <w:spacing w:val="-9"/>
        </w:rPr>
        <w:t>学变成了一种目的。在追逐高分与名次的过程中，学生健全的人格与身心等各方</w:t>
      </w:r>
      <w:r>
        <w:rPr>
          <w:spacing w:val="-18"/>
        </w:rPr>
        <w:t>面的发展均被忽视。不难发现，当前我国普通高中美其名曰“兼具‘升学’和‘就</w:t>
      </w:r>
      <w:r>
        <w:rPr>
          <w:spacing w:val="-12"/>
        </w:rPr>
        <w:t>业’双重功能”，实际仍局限于“大学预科”的功能，其“内在价值”几乎完全</w:t>
      </w:r>
      <w:r>
        <w:rPr/>
        <w:t>被忽视。</w:t>
      </w:r>
    </w:p>
    <w:p>
      <w:pPr>
        <w:pStyle w:val="BodyText"/>
        <w:spacing w:line="364" w:lineRule="auto" w:before="5"/>
        <w:ind w:left="1319" w:right="1455" w:firstLine="480"/>
      </w:pPr>
      <w:r>
        <w:rPr>
          <w:spacing w:val="-6"/>
        </w:rPr>
        <w:t>普通高中教育位于教育的中端，是九年义务教育与高等教育、职业世界和社</w:t>
      </w:r>
      <w:r>
        <w:rPr>
          <w:spacing w:val="-11"/>
        </w:rPr>
        <w:t>会生活的桥梁，具有承上启下的衔接作用，应该积极适应社会发展的现实需求和未来趋势，体现其职业方面和社会生活方面的价值，强调其内在价值的发展，关</w:t>
      </w:r>
      <w:r>
        <w:rPr>
          <w:spacing w:val="-15"/>
        </w:rPr>
        <w:t>注学生的个性成长和终身发展。但片面化的定位致使生涯规划教育在普通高中屡</w:t>
      </w:r>
      <w:r>
        <w:rPr>
          <w:spacing w:val="-13"/>
        </w:rPr>
        <w:t>遭困难，举步维艰。从笔者的调查来看，当前的普通高中教育中明显弱化了“为</w:t>
      </w:r>
      <w:r>
        <w:rPr>
          <w:spacing w:val="-20"/>
        </w:rPr>
        <w:t>学生走向职业世界做准备”和“为学生进入社会生活做准备”的内容，也就是说， </w:t>
      </w:r>
      <w:r>
        <w:rPr/>
        <w:t>当前的生涯规划教育尚未成为普通高中教育教学的有机组成部分。</w:t>
      </w:r>
    </w:p>
    <w:p>
      <w:pPr>
        <w:pStyle w:val="BodyText"/>
        <w:spacing w:before="3"/>
      </w:pPr>
      <w:r>
        <w:rPr/>
        <w:pict>
          <v:shape style="position:absolute;margin-left:90pt;margin-top:17.497168pt;width:144pt;height:.1pt;mso-position-horizontal-relative:page;mso-position-vertical-relative:paragraph;z-index:-251554816;mso-wrap-distance-left:0;mso-wrap-distance-right:0" coordorigin="1800,350" coordsize="2880,0" path="m1800,350l4680,350e" filled="false" stroked="true" strokeweight="0pt" strokecolor="#000000">
            <v:path arrowok="t"/>
            <v:stroke dashstyle="solid"/>
            <w10:wrap type="topAndBottom"/>
          </v:shape>
        </w:pict>
      </w:r>
    </w:p>
    <w:p>
      <w:pPr>
        <w:spacing w:before="99"/>
        <w:ind w:left="1320" w:right="0" w:firstLine="0"/>
        <w:jc w:val="left"/>
        <w:rPr>
          <w:rFonts w:ascii="Times New Roman" w:eastAsia="Times New Roman"/>
          <w:sz w:val="18"/>
        </w:rPr>
      </w:pPr>
      <w:bookmarkStart w:name="_bookmark215" w:id="261"/>
      <w:bookmarkEnd w:id="261"/>
      <w:r>
        <w:rPr/>
      </w:r>
      <w:r>
        <w:rPr>
          <w:rFonts w:ascii="Times New Roman" w:eastAsia="Times New Roman"/>
          <w:position w:val="7"/>
          <w:sz w:val="13"/>
        </w:rPr>
        <w:t>[1] </w:t>
      </w:r>
      <w:r>
        <w:rPr>
          <w:sz w:val="18"/>
        </w:rPr>
        <w:t>陈旭远</w:t>
      </w:r>
      <w:r>
        <w:rPr>
          <w:rFonts w:ascii="Times New Roman" w:eastAsia="Times New Roman"/>
          <w:sz w:val="18"/>
        </w:rPr>
        <w:t>.</w:t>
      </w:r>
      <w:r>
        <w:rPr>
          <w:sz w:val="18"/>
        </w:rPr>
        <w:t>理解普通高中新课程</w:t>
      </w:r>
      <w:r>
        <w:rPr>
          <w:rFonts w:ascii="Times New Roman" w:eastAsia="Times New Roman"/>
          <w:sz w:val="18"/>
        </w:rPr>
        <w:t>[M].</w:t>
      </w:r>
      <w:r>
        <w:rPr>
          <w:sz w:val="18"/>
        </w:rPr>
        <w:t>辽宁：东北师范大学出版社，</w:t>
      </w:r>
      <w:r>
        <w:rPr>
          <w:rFonts w:ascii="Times New Roman" w:eastAsia="Times New Roman"/>
          <w:sz w:val="18"/>
        </w:rPr>
        <w:t>2004:45.</w:t>
      </w:r>
    </w:p>
    <w:p>
      <w:pPr>
        <w:spacing w:before="125"/>
        <w:ind w:left="1319" w:right="0" w:firstLine="0"/>
        <w:jc w:val="left"/>
        <w:rPr>
          <w:rFonts w:ascii="Times New Roman" w:eastAsia="Times New Roman"/>
          <w:sz w:val="18"/>
        </w:rPr>
      </w:pPr>
      <w:bookmarkStart w:name="_bookmark216" w:id="262"/>
      <w:bookmarkEnd w:id="262"/>
      <w:r>
        <w:rPr/>
      </w:r>
      <w:r>
        <w:rPr>
          <w:rFonts w:ascii="Times New Roman" w:eastAsia="Times New Roman"/>
          <w:position w:val="7"/>
          <w:sz w:val="13"/>
        </w:rPr>
        <w:t>[2] </w:t>
      </w:r>
      <w:r>
        <w:rPr>
          <w:sz w:val="18"/>
        </w:rPr>
        <w:t>《走进高中新课程》编写组</w:t>
      </w:r>
      <w:r>
        <w:rPr>
          <w:rFonts w:ascii="Times New Roman" w:eastAsia="Times New Roman"/>
          <w:sz w:val="18"/>
        </w:rPr>
        <w:t>.</w:t>
      </w:r>
      <w:r>
        <w:rPr>
          <w:sz w:val="18"/>
        </w:rPr>
        <w:t>走进高中新课程</w:t>
      </w:r>
      <w:r>
        <w:rPr>
          <w:rFonts w:ascii="Times New Roman" w:eastAsia="Times New Roman"/>
          <w:sz w:val="18"/>
        </w:rPr>
        <w:t>[M].</w:t>
      </w:r>
      <w:r>
        <w:rPr>
          <w:sz w:val="18"/>
        </w:rPr>
        <w:t>武汉：华中师范大学出版社，</w:t>
      </w:r>
      <w:r>
        <w:rPr>
          <w:rFonts w:ascii="Times New Roman" w:eastAsia="Times New Roman"/>
          <w:sz w:val="18"/>
        </w:rPr>
        <w:t>2005:25-27.</w:t>
      </w:r>
    </w:p>
    <w:p>
      <w:pPr>
        <w:spacing w:before="128"/>
        <w:ind w:left="1319" w:right="0" w:firstLine="0"/>
        <w:jc w:val="left"/>
        <w:rPr>
          <w:rFonts w:ascii="Times New Roman" w:eastAsia="Times New Roman"/>
          <w:sz w:val="18"/>
        </w:rPr>
      </w:pPr>
      <w:bookmarkStart w:name="_bookmark217" w:id="263"/>
      <w:bookmarkEnd w:id="263"/>
      <w:r>
        <w:rPr/>
      </w:r>
      <w:r>
        <w:rPr>
          <w:rFonts w:ascii="Times New Roman" w:eastAsia="Times New Roman"/>
          <w:position w:val="7"/>
          <w:sz w:val="13"/>
        </w:rPr>
        <w:t>[3] </w:t>
      </w:r>
      <w:r>
        <w:rPr>
          <w:sz w:val="18"/>
        </w:rPr>
        <w:t>石中英</w:t>
      </w:r>
      <w:r>
        <w:rPr>
          <w:rFonts w:ascii="Times New Roman" w:eastAsia="Times New Roman"/>
          <w:sz w:val="18"/>
        </w:rPr>
        <w:t>.</w:t>
      </w:r>
      <w:r>
        <w:rPr>
          <w:sz w:val="18"/>
        </w:rPr>
        <w:t>关于现阶段普通高中教育性质的再认识</w:t>
      </w:r>
      <w:r>
        <w:rPr>
          <w:rFonts w:ascii="Times New Roman" w:eastAsia="Times New Roman"/>
          <w:sz w:val="18"/>
        </w:rPr>
        <w:t>[J].</w:t>
      </w:r>
      <w:r>
        <w:rPr>
          <w:sz w:val="18"/>
        </w:rPr>
        <w:t>教育研究，</w:t>
      </w:r>
      <w:r>
        <w:rPr>
          <w:rFonts w:ascii="Times New Roman" w:eastAsia="Times New Roman"/>
          <w:sz w:val="18"/>
        </w:rPr>
        <w:t>2014</w:t>
      </w:r>
      <w:r>
        <w:rPr>
          <w:sz w:val="18"/>
        </w:rPr>
        <w:t>（</w:t>
      </w:r>
      <w:r>
        <w:rPr>
          <w:rFonts w:ascii="Times New Roman" w:eastAsia="Times New Roman"/>
          <w:sz w:val="18"/>
        </w:rPr>
        <w:t>10</w:t>
      </w:r>
      <w:r>
        <w:rPr>
          <w:sz w:val="18"/>
        </w:rPr>
        <w:t>）：</w:t>
      </w:r>
      <w:r>
        <w:rPr>
          <w:rFonts w:ascii="Times New Roman" w:eastAsia="Times New Roman"/>
          <w:sz w:val="18"/>
        </w:rPr>
        <w:t>18.</w:t>
      </w:r>
    </w:p>
    <w:p>
      <w:pPr>
        <w:spacing w:before="127"/>
        <w:ind w:left="1319" w:right="0" w:firstLine="0"/>
        <w:jc w:val="left"/>
        <w:rPr>
          <w:rFonts w:ascii="Times New Roman" w:eastAsia="Times New Roman"/>
          <w:sz w:val="18"/>
        </w:rPr>
      </w:pPr>
      <w:bookmarkStart w:name="_bookmark218" w:id="264"/>
      <w:bookmarkEnd w:id="264"/>
      <w:r>
        <w:rPr/>
      </w:r>
      <w:r>
        <w:rPr>
          <w:rFonts w:ascii="Times New Roman" w:eastAsia="Times New Roman"/>
          <w:position w:val="7"/>
          <w:sz w:val="13"/>
        </w:rPr>
        <w:t>[4] </w:t>
      </w:r>
      <w:r>
        <w:rPr>
          <w:sz w:val="18"/>
        </w:rPr>
        <w:t>李建平</w:t>
      </w:r>
      <w:r>
        <w:rPr>
          <w:rFonts w:ascii="Times New Roman" w:eastAsia="Times New Roman"/>
          <w:sz w:val="18"/>
        </w:rPr>
        <w:t>.</w:t>
      </w:r>
      <w:r>
        <w:rPr>
          <w:sz w:val="18"/>
        </w:rPr>
        <w:t>高中：为学生终身发展奠基</w:t>
      </w:r>
      <w:r>
        <w:rPr>
          <w:rFonts w:ascii="Times New Roman" w:eastAsia="Times New Roman"/>
          <w:sz w:val="18"/>
        </w:rPr>
        <w:t>[N].</w:t>
      </w:r>
      <w:r>
        <w:rPr>
          <w:sz w:val="18"/>
        </w:rPr>
        <w:t>中国教育报</w:t>
      </w:r>
      <w:r>
        <w:rPr>
          <w:rFonts w:ascii="Times New Roman" w:eastAsia="Times New Roman"/>
          <w:sz w:val="18"/>
        </w:rPr>
        <w:t>.2004-2-21</w:t>
      </w:r>
      <w:r>
        <w:rPr>
          <w:sz w:val="18"/>
        </w:rPr>
        <w:t>（</w:t>
      </w:r>
      <w:r>
        <w:rPr>
          <w:rFonts w:ascii="Times New Roman" w:eastAsia="Times New Roman"/>
          <w:sz w:val="18"/>
        </w:rPr>
        <w:t>01</w:t>
      </w:r>
      <w:r>
        <w:rPr>
          <w:sz w:val="18"/>
        </w:rPr>
        <w:t>）</w:t>
      </w:r>
      <w:r>
        <w:rPr>
          <w:rFonts w:ascii="Times New Roman" w:eastAsia="Times New Roman"/>
          <w:sz w:val="18"/>
        </w:rPr>
        <w:t>.</w:t>
      </w:r>
    </w:p>
    <w:p>
      <w:pPr>
        <w:spacing w:before="128"/>
        <w:ind w:left="1319" w:right="0" w:firstLine="0"/>
        <w:jc w:val="left"/>
        <w:rPr>
          <w:rFonts w:ascii="Times New Roman" w:eastAsia="Times New Roman"/>
          <w:sz w:val="18"/>
        </w:rPr>
      </w:pPr>
      <w:bookmarkStart w:name="_bookmark219" w:id="265"/>
      <w:bookmarkEnd w:id="265"/>
      <w:r>
        <w:rPr/>
      </w:r>
      <w:r>
        <w:rPr>
          <w:rFonts w:ascii="Times New Roman" w:eastAsia="Times New Roman"/>
          <w:position w:val="7"/>
          <w:sz w:val="13"/>
        </w:rPr>
        <w:t>[5] </w:t>
      </w:r>
      <w:r>
        <w:rPr>
          <w:sz w:val="18"/>
        </w:rPr>
        <w:t>廖军</w:t>
      </w:r>
      <w:r>
        <w:rPr>
          <w:rFonts w:ascii="Times New Roman" w:eastAsia="Times New Roman"/>
          <w:sz w:val="18"/>
        </w:rPr>
        <w:t>.</w:t>
      </w:r>
      <w:r>
        <w:rPr>
          <w:sz w:val="18"/>
        </w:rPr>
        <w:t>李志勇</w:t>
      </w:r>
      <w:r>
        <w:rPr>
          <w:rFonts w:ascii="Times New Roman" w:eastAsia="Times New Roman"/>
          <w:sz w:val="18"/>
        </w:rPr>
        <w:t>.</w:t>
      </w:r>
      <w:r>
        <w:rPr>
          <w:sz w:val="18"/>
        </w:rPr>
        <w:t>从精英到大众：我国普通高中教育定位之思考</w:t>
      </w:r>
      <w:r>
        <w:rPr>
          <w:rFonts w:ascii="Times New Roman" w:eastAsia="Times New Roman"/>
          <w:sz w:val="18"/>
        </w:rPr>
        <w:t>[J].</w:t>
      </w:r>
      <w:r>
        <w:rPr>
          <w:sz w:val="18"/>
        </w:rPr>
        <w:t>教育科学研究，</w:t>
      </w:r>
      <w:r>
        <w:rPr>
          <w:rFonts w:ascii="Times New Roman" w:eastAsia="Times New Roman"/>
          <w:sz w:val="18"/>
        </w:rPr>
        <w:t>2011</w:t>
      </w:r>
      <w:r>
        <w:rPr>
          <w:sz w:val="18"/>
        </w:rPr>
        <w:t>（</w:t>
      </w:r>
      <w:r>
        <w:rPr>
          <w:rFonts w:ascii="Times New Roman" w:eastAsia="Times New Roman"/>
          <w:sz w:val="18"/>
        </w:rPr>
        <w:t>2</w:t>
      </w:r>
      <w:r>
        <w:rPr>
          <w:sz w:val="18"/>
        </w:rPr>
        <w:t>）：</w:t>
      </w:r>
      <w:r>
        <w:rPr>
          <w:rFonts w:ascii="Times New Roman" w:eastAsia="Times New Roman"/>
          <w:sz w:val="18"/>
        </w:rPr>
        <w:t>21.</w:t>
      </w:r>
    </w:p>
    <w:p>
      <w:pPr>
        <w:spacing w:after="0"/>
        <w:jc w:val="left"/>
        <w:rPr>
          <w:rFonts w:ascii="Times New Roman" w:eastAsia="Times New Roman"/>
          <w:sz w:val="18"/>
        </w:rPr>
        <w:sectPr>
          <w:headerReference w:type="default" r:id="rId83"/>
          <w:footerReference w:type="default" r:id="rId84"/>
          <w:pgSz w:w="11910" w:h="16840"/>
          <w:pgMar w:header="878" w:footer="1191" w:top="1300" w:bottom="1380" w:left="480" w:right="220"/>
          <w:pgNumType w:start="85"/>
        </w:sectPr>
      </w:pPr>
    </w:p>
    <w:p>
      <w:pPr>
        <w:pStyle w:val="BodyText"/>
        <w:spacing w:before="6"/>
        <w:rPr>
          <w:rFonts w:ascii="Times New Roman"/>
          <w:sz w:val="12"/>
        </w:rPr>
      </w:pPr>
    </w:p>
    <w:p>
      <w:pPr>
        <w:pStyle w:val="BodyText"/>
        <w:spacing w:line="364" w:lineRule="auto" w:before="66"/>
        <w:ind w:left="1320" w:right="1575" w:firstLine="480"/>
        <w:jc w:val="both"/>
      </w:pPr>
      <w:bookmarkStart w:name="_bookmark220" w:id="266"/>
      <w:bookmarkEnd w:id="266"/>
      <w:r>
        <w:rPr/>
      </w:r>
      <w:r>
        <w:rPr>
          <w:spacing w:val="-10"/>
        </w:rPr>
        <w:t>普通高中教育以“升学”为主要目标，强调普通高中的“学术性”功能，忽</w:t>
      </w:r>
      <w:r>
        <w:rPr>
          <w:spacing w:val="-7"/>
        </w:rPr>
        <w:t>视了学校教育与职业世界、社会生活的内在联系，忽视每位学生的个性发展及终</w:t>
      </w:r>
      <w:r>
        <w:rPr>
          <w:spacing w:val="-11"/>
        </w:rPr>
        <w:t>身发展。因此，普通高中的课程目标、课程结构及课程内容的编排均以学术课程</w:t>
      </w:r>
      <w:r>
        <w:rPr/>
        <w:t>为主，学校的教育教学活动均要为其让步。</w:t>
      </w:r>
    </w:p>
    <w:p>
      <w:pPr>
        <w:pStyle w:val="BodyText"/>
        <w:spacing w:line="364" w:lineRule="auto" w:before="2"/>
        <w:ind w:left="1320" w:right="1455" w:firstLine="480"/>
      </w:pPr>
      <w:r>
        <w:rPr>
          <w:spacing w:val="-9"/>
        </w:rPr>
        <w:t>综上所述，只有突破对普通高中片面化的定位，明确普通高中教育的价值定</w:t>
      </w:r>
      <w:r>
        <w:rPr>
          <w:spacing w:val="-11"/>
        </w:rPr>
        <w:t>位，凸显“职业生涯”和“社会生活”方面的教育，才能为生涯规划教育在普通</w:t>
      </w:r>
      <w:r>
        <w:rPr>
          <w:spacing w:val="-20"/>
        </w:rPr>
        <w:t>高中教育中占有一席之地创造有利条件。换言之，如果不能适时扭转“大学预科” </w:t>
      </w:r>
      <w:r>
        <w:rPr>
          <w:spacing w:val="-9"/>
        </w:rPr>
        <w:t>的价值定位，任何生涯规划教育的理念和主张不过是隔靴搔痒，难以取得实质性进展。</w:t>
      </w:r>
    </w:p>
    <w:p>
      <w:pPr>
        <w:pStyle w:val="BodyText"/>
        <w:spacing w:before="6"/>
        <w:rPr>
          <w:sz w:val="17"/>
        </w:rPr>
      </w:pPr>
    </w:p>
    <w:p>
      <w:pPr>
        <w:pStyle w:val="Heading2"/>
        <w:numPr>
          <w:ilvl w:val="1"/>
          <w:numId w:val="42"/>
        </w:numPr>
        <w:tabs>
          <w:tab w:pos="1810" w:val="left" w:leader="none"/>
        </w:tabs>
        <w:spacing w:line="240" w:lineRule="auto" w:before="0" w:after="0"/>
        <w:ind w:left="1809" w:right="0" w:hanging="490"/>
        <w:jc w:val="left"/>
      </w:pPr>
      <w:r>
        <w:rPr/>
        <w:t>应试教育根深蒂固</w:t>
      </w:r>
    </w:p>
    <w:p>
      <w:pPr>
        <w:pStyle w:val="BodyText"/>
        <w:spacing w:before="5"/>
        <w:rPr>
          <w:rFonts w:ascii="Microsoft JhengHei"/>
          <w:b/>
          <w:sz w:val="22"/>
        </w:rPr>
      </w:pPr>
    </w:p>
    <w:p>
      <w:pPr>
        <w:pStyle w:val="BodyText"/>
        <w:spacing w:line="364" w:lineRule="auto"/>
        <w:ind w:left="1319" w:right="1457" w:firstLine="480"/>
      </w:pPr>
      <w:r>
        <w:rPr>
          <w:spacing w:val="-16"/>
        </w:rPr>
        <w:t>所谓“应试教育”，是指我国教育实践中存在的以应付考试、盲目追求分数， </w:t>
      </w:r>
      <w:r>
        <w:rPr>
          <w:spacing w:val="-1"/>
        </w:rPr>
        <w:t>以及片面追求升学率的一种倾向，</w:t>
      </w:r>
      <w:r>
        <w:rPr>
          <w:rFonts w:ascii="Times New Roman" w:hAnsi="Times New Roman" w:eastAsia="Times New Roman"/>
          <w:spacing w:val="-3"/>
          <w:position w:val="8"/>
          <w:sz w:val="15"/>
        </w:rPr>
        <w:t>[</w:t>
      </w:r>
      <w:hyperlink w:history="true" w:anchor="_bookmark221">
        <w:r>
          <w:rPr>
            <w:rFonts w:ascii="Times New Roman" w:hAnsi="Times New Roman" w:eastAsia="Times New Roman"/>
            <w:spacing w:val="-3"/>
            <w:position w:val="8"/>
            <w:sz w:val="15"/>
          </w:rPr>
          <w:t>1</w:t>
        </w:r>
      </w:hyperlink>
      <w:r>
        <w:rPr>
          <w:rFonts w:ascii="Times New Roman" w:hAnsi="Times New Roman" w:eastAsia="Times New Roman"/>
          <w:spacing w:val="-3"/>
          <w:position w:val="8"/>
          <w:sz w:val="15"/>
        </w:rPr>
        <w:t>]</w:t>
      </w:r>
      <w:r>
        <w:rPr>
          <w:spacing w:val="-3"/>
        </w:rPr>
        <w:t>它忽视了教育的内在价值。“应试教育”的</w:t>
      </w:r>
      <w:r>
        <w:rPr>
          <w:spacing w:val="-10"/>
        </w:rPr>
        <w:t>出现，往往伴随着“升学压力”、“学业负担过重”、“学生片面发展”这些负</w:t>
      </w:r>
      <w:r>
        <w:rPr>
          <w:spacing w:val="-13"/>
        </w:rPr>
        <w:t>面现象。针对这些问题，我国早在 </w:t>
      </w:r>
      <w:r>
        <w:rPr>
          <w:rFonts w:ascii="Times New Roman" w:hAnsi="Times New Roman" w:eastAsia="Times New Roman"/>
        </w:rPr>
        <w:t>1993</w:t>
      </w:r>
      <w:r>
        <w:rPr>
          <w:rFonts w:ascii="Times New Roman" w:hAnsi="Times New Roman" w:eastAsia="Times New Roman"/>
          <w:spacing w:val="5"/>
        </w:rPr>
        <w:t> </w:t>
      </w:r>
      <w:r>
        <w:rPr/>
        <w:t>年颁布的《中国教育改革与发展纲要》</w:t>
      </w:r>
      <w:r>
        <w:rPr>
          <w:spacing w:val="-7"/>
        </w:rPr>
        <w:t>中明确就提出：中小学应从“应试教育”转向“全面提高国民素质”，至今虽有</w:t>
      </w:r>
      <w:r>
        <w:rPr>
          <w:spacing w:val="-6"/>
        </w:rPr>
        <w:t>二十余年，但应试教育仍愈演愈烈，</w:t>
      </w:r>
      <w:r>
        <w:rPr>
          <w:rFonts w:ascii="Times New Roman" w:hAnsi="Times New Roman" w:eastAsia="Times New Roman"/>
          <w:spacing w:val="-4"/>
          <w:position w:val="8"/>
          <w:sz w:val="15"/>
        </w:rPr>
        <w:t>[</w:t>
      </w:r>
      <w:hyperlink w:history="true" w:anchor="_bookmark222">
        <w:r>
          <w:rPr>
            <w:rFonts w:ascii="Times New Roman" w:hAnsi="Times New Roman" w:eastAsia="Times New Roman"/>
            <w:spacing w:val="-4"/>
            <w:position w:val="8"/>
            <w:sz w:val="15"/>
          </w:rPr>
          <w:t>2</w:t>
        </w:r>
      </w:hyperlink>
      <w:r>
        <w:rPr>
          <w:rFonts w:ascii="Times New Roman" w:hAnsi="Times New Roman" w:eastAsia="Times New Roman"/>
          <w:spacing w:val="-4"/>
          <w:position w:val="8"/>
          <w:sz w:val="15"/>
        </w:rPr>
        <w:t>]</w:t>
      </w:r>
      <w:r>
        <w:rPr>
          <w:spacing w:val="-4"/>
        </w:rPr>
        <w:t>可见“应试教育”对我国教育的影响坚不可摧。</w:t>
      </w:r>
    </w:p>
    <w:p>
      <w:pPr>
        <w:pStyle w:val="BodyText"/>
        <w:spacing w:before="4"/>
        <w:rPr>
          <w:sz w:val="23"/>
        </w:rPr>
      </w:pPr>
    </w:p>
    <w:p>
      <w:pPr>
        <w:pStyle w:val="ListParagraph"/>
        <w:numPr>
          <w:ilvl w:val="2"/>
          <w:numId w:val="42"/>
        </w:numPr>
        <w:tabs>
          <w:tab w:pos="1920" w:val="left" w:leader="none"/>
        </w:tabs>
        <w:spacing w:line="240" w:lineRule="auto" w:before="1" w:after="0"/>
        <w:ind w:left="1920" w:right="0" w:hanging="600"/>
        <w:jc w:val="left"/>
        <w:rPr>
          <w:sz w:val="24"/>
        </w:rPr>
      </w:pPr>
      <w:r>
        <w:rPr>
          <w:sz w:val="24"/>
        </w:rPr>
        <w:t>久远的应试教育传统</w:t>
      </w:r>
    </w:p>
    <w:p>
      <w:pPr>
        <w:pStyle w:val="BodyText"/>
        <w:spacing w:before="9"/>
        <w:rPr>
          <w:sz w:val="35"/>
        </w:rPr>
      </w:pPr>
    </w:p>
    <w:p>
      <w:pPr>
        <w:pStyle w:val="BodyText"/>
        <w:spacing w:line="364" w:lineRule="auto"/>
        <w:ind w:left="1320" w:right="1455" w:firstLine="480"/>
      </w:pPr>
      <w:r>
        <w:rPr>
          <w:spacing w:val="-9"/>
        </w:rPr>
        <w:t>“应试教育”具有久远的传统，其深受科举考试制度的影响。实质上，“应</w:t>
      </w:r>
      <w:r>
        <w:rPr>
          <w:spacing w:val="-11"/>
        </w:rPr>
        <w:t>试教育”本是我国传统文化中的“官”本位的人才尺度，即以当官来衡量个人成</w:t>
      </w:r>
      <w:r>
        <w:rPr>
          <w:spacing w:val="-25"/>
        </w:rPr>
        <w:t>就与价值。春秋战国时期，孔子就提出“耕也，馁在其中矣；学也，禄在其中矣。” </w:t>
      </w:r>
      <w:r>
        <w:rPr>
          <w:spacing w:val="-5"/>
        </w:rPr>
        <w:t>这是“读书做官”思想的最早表述。</w:t>
      </w:r>
      <w:r>
        <w:rPr>
          <w:rFonts w:ascii="Times New Roman" w:hAnsi="Times New Roman" w:eastAsia="Times New Roman"/>
          <w:position w:val="8"/>
          <w:sz w:val="15"/>
        </w:rPr>
        <w:t>[</w:t>
      </w:r>
      <w:hyperlink w:history="true" w:anchor="_bookmark223">
        <w:r>
          <w:rPr>
            <w:rFonts w:ascii="Times New Roman" w:hAnsi="Times New Roman" w:eastAsia="Times New Roman"/>
            <w:position w:val="8"/>
            <w:sz w:val="15"/>
          </w:rPr>
          <w:t>3</w:t>
        </w:r>
      </w:hyperlink>
      <w:r>
        <w:rPr>
          <w:rFonts w:ascii="Times New Roman" w:hAnsi="Times New Roman" w:eastAsia="Times New Roman"/>
          <w:position w:val="8"/>
          <w:sz w:val="15"/>
        </w:rPr>
        <w:t>]</w:t>
      </w:r>
      <w:r>
        <w:rPr>
          <w:spacing w:val="-3"/>
        </w:rPr>
        <w:t>儒家认为如果要实现“治国平天下”的理</w:t>
      </w:r>
      <w:r>
        <w:rPr>
          <w:spacing w:val="-11"/>
        </w:rPr>
        <w:t>想，就需要当官，“学而优则仕”是基本途径。这种思想对以后两千多年的学校</w:t>
      </w:r>
    </w:p>
    <w:p>
      <w:pPr>
        <w:pStyle w:val="BodyText"/>
        <w:spacing w:before="7"/>
        <w:rPr>
          <w:sz w:val="17"/>
        </w:rPr>
      </w:pPr>
      <w:r>
        <w:rPr/>
        <w:pict>
          <v:shape style="position:absolute;margin-left:90pt;margin-top:13.440391pt;width:144pt;height:.1pt;mso-position-horizontal-relative:page;mso-position-vertical-relative:paragraph;z-index:-251553792;mso-wrap-distance-left:0;mso-wrap-distance-right:0" coordorigin="1800,269" coordsize="2880,0" path="m1800,269l4680,269e" filled="false" stroked="true" strokeweight=".402pt" strokecolor="#000000">
            <v:path arrowok="t"/>
            <v:stroke dashstyle="solid"/>
            <w10:wrap type="topAndBottom"/>
          </v:shape>
        </w:pict>
      </w:r>
    </w:p>
    <w:p>
      <w:pPr>
        <w:spacing w:line="367" w:lineRule="auto" w:before="92"/>
        <w:ind w:left="1320" w:right="1513" w:firstLine="0"/>
        <w:jc w:val="left"/>
        <w:rPr>
          <w:rFonts w:ascii="Times New Roman" w:eastAsia="Times New Roman"/>
          <w:sz w:val="18"/>
        </w:rPr>
      </w:pPr>
      <w:bookmarkStart w:name="_bookmark221" w:id="267"/>
      <w:bookmarkEnd w:id="267"/>
      <w:r>
        <w:rPr/>
      </w:r>
      <w:r>
        <w:rPr>
          <w:rFonts w:ascii="Times New Roman" w:eastAsia="Times New Roman"/>
          <w:position w:val="7"/>
          <w:sz w:val="13"/>
        </w:rPr>
        <w:t>[1] </w:t>
      </w:r>
      <w:r>
        <w:rPr>
          <w:sz w:val="18"/>
        </w:rPr>
        <w:t>朱开轩</w:t>
      </w:r>
      <w:r>
        <w:rPr>
          <w:rFonts w:ascii="Times New Roman" w:eastAsia="Times New Roman"/>
          <w:sz w:val="18"/>
        </w:rPr>
        <w:t>.</w:t>
      </w:r>
      <w:r>
        <w:rPr>
          <w:sz w:val="18"/>
        </w:rPr>
        <w:t>全面贯彻教育方针，积极推进素质教育</w:t>
      </w:r>
      <w:r>
        <w:rPr>
          <w:rFonts w:ascii="Times New Roman" w:eastAsia="Times New Roman"/>
          <w:sz w:val="18"/>
        </w:rPr>
        <w:t>.</w:t>
      </w:r>
      <w:r>
        <w:rPr>
          <w:sz w:val="18"/>
        </w:rPr>
        <w:t>转引自国家教委基础教育司编</w:t>
      </w:r>
      <w:r>
        <w:rPr>
          <w:rFonts w:ascii="Times New Roman" w:eastAsia="Times New Roman"/>
          <w:sz w:val="18"/>
        </w:rPr>
        <w:t>.</w:t>
      </w:r>
      <w:r>
        <w:rPr>
          <w:sz w:val="18"/>
        </w:rPr>
        <w:t>面向 </w:t>
      </w:r>
      <w:r>
        <w:rPr>
          <w:rFonts w:ascii="Times New Roman" w:eastAsia="Times New Roman"/>
          <w:sz w:val="18"/>
        </w:rPr>
        <w:t>21 </w:t>
      </w:r>
      <w:r>
        <w:rPr>
          <w:sz w:val="18"/>
        </w:rPr>
        <w:t>世纪，开创基础教育的新局面</w:t>
      </w:r>
      <w:r>
        <w:rPr>
          <w:rFonts w:ascii="Times New Roman" w:eastAsia="Times New Roman"/>
          <w:sz w:val="18"/>
        </w:rPr>
        <w:t>[M].</w:t>
      </w:r>
      <w:r>
        <w:rPr>
          <w:sz w:val="18"/>
        </w:rPr>
        <w:t>北京：北京师范大学出版社，</w:t>
      </w:r>
      <w:r>
        <w:rPr>
          <w:rFonts w:ascii="Times New Roman" w:eastAsia="Times New Roman"/>
          <w:sz w:val="18"/>
        </w:rPr>
        <w:t>1997</w:t>
      </w:r>
      <w:r>
        <w:rPr>
          <w:sz w:val="18"/>
        </w:rPr>
        <w:t>：</w:t>
      </w:r>
      <w:r>
        <w:rPr>
          <w:rFonts w:ascii="Times New Roman" w:eastAsia="Times New Roman"/>
          <w:sz w:val="18"/>
        </w:rPr>
        <w:t>25.</w:t>
      </w:r>
    </w:p>
    <w:p>
      <w:pPr>
        <w:spacing w:before="3"/>
        <w:ind w:left="1319" w:right="0" w:firstLine="0"/>
        <w:jc w:val="left"/>
        <w:rPr>
          <w:rFonts w:ascii="Times New Roman" w:eastAsia="Times New Roman"/>
          <w:sz w:val="18"/>
        </w:rPr>
      </w:pPr>
      <w:bookmarkStart w:name="_bookmark222" w:id="268"/>
      <w:bookmarkEnd w:id="268"/>
      <w:r>
        <w:rPr/>
      </w:r>
      <w:r>
        <w:rPr>
          <w:rFonts w:ascii="Times New Roman" w:eastAsia="Times New Roman"/>
          <w:position w:val="7"/>
          <w:sz w:val="13"/>
        </w:rPr>
        <w:t>[2] </w:t>
      </w:r>
      <w:r>
        <w:rPr>
          <w:sz w:val="18"/>
        </w:rPr>
        <w:t>卢现祥等</w:t>
      </w:r>
      <w:r>
        <w:rPr>
          <w:rFonts w:ascii="Times New Roman" w:eastAsia="Times New Roman"/>
          <w:sz w:val="18"/>
        </w:rPr>
        <w:t>.</w:t>
      </w:r>
      <w:r>
        <w:rPr>
          <w:sz w:val="18"/>
        </w:rPr>
        <w:t>中国应试教育的制度分析</w:t>
      </w:r>
      <w:r>
        <w:rPr>
          <w:rFonts w:ascii="Times New Roman" w:eastAsia="Times New Roman"/>
          <w:sz w:val="18"/>
        </w:rPr>
        <w:t>[J].</w:t>
      </w:r>
      <w:r>
        <w:rPr>
          <w:sz w:val="18"/>
        </w:rPr>
        <w:t>湖北经济学院学报，</w:t>
      </w:r>
      <w:r>
        <w:rPr>
          <w:rFonts w:ascii="Times New Roman" w:eastAsia="Times New Roman"/>
          <w:sz w:val="18"/>
        </w:rPr>
        <w:t>2007</w:t>
      </w:r>
      <w:r>
        <w:rPr>
          <w:sz w:val="18"/>
        </w:rPr>
        <w:t>（</w:t>
      </w:r>
      <w:r>
        <w:rPr>
          <w:rFonts w:ascii="Times New Roman" w:eastAsia="Times New Roman"/>
          <w:sz w:val="18"/>
        </w:rPr>
        <w:t>11</w:t>
      </w:r>
      <w:r>
        <w:rPr>
          <w:sz w:val="18"/>
        </w:rPr>
        <w:t>）：</w:t>
      </w:r>
      <w:r>
        <w:rPr>
          <w:rFonts w:ascii="Times New Roman" w:eastAsia="Times New Roman"/>
          <w:sz w:val="18"/>
        </w:rPr>
        <w:t>5.</w:t>
      </w:r>
    </w:p>
    <w:p>
      <w:pPr>
        <w:spacing w:before="128"/>
        <w:ind w:left="1319" w:right="0" w:firstLine="0"/>
        <w:jc w:val="left"/>
        <w:rPr>
          <w:rFonts w:ascii="Times New Roman" w:eastAsia="Times New Roman"/>
          <w:sz w:val="18"/>
        </w:rPr>
      </w:pPr>
      <w:bookmarkStart w:name="_bookmark223" w:id="269"/>
      <w:bookmarkEnd w:id="269"/>
      <w:r>
        <w:rPr/>
      </w:r>
      <w:r>
        <w:rPr>
          <w:rFonts w:ascii="Times New Roman" w:eastAsia="Times New Roman"/>
          <w:position w:val="7"/>
          <w:sz w:val="13"/>
        </w:rPr>
        <w:t>[3] </w:t>
      </w:r>
      <w:r>
        <w:rPr>
          <w:sz w:val="18"/>
        </w:rPr>
        <w:t>于建福</w:t>
      </w:r>
      <w:r>
        <w:rPr>
          <w:rFonts w:ascii="Times New Roman" w:eastAsia="Times New Roman"/>
          <w:sz w:val="18"/>
        </w:rPr>
        <w:t>.</w:t>
      </w:r>
      <w:r>
        <w:rPr>
          <w:sz w:val="18"/>
        </w:rPr>
        <w:t>素质教育</w:t>
      </w:r>
      <w:r>
        <w:rPr>
          <w:rFonts w:ascii="Times New Roman" w:eastAsia="Times New Roman"/>
          <w:sz w:val="18"/>
        </w:rPr>
        <w:t>[M].</w:t>
      </w:r>
      <w:r>
        <w:rPr>
          <w:sz w:val="18"/>
        </w:rPr>
        <w:t>北京：教育科学出版社，</w:t>
      </w:r>
      <w:r>
        <w:rPr>
          <w:rFonts w:ascii="Times New Roman" w:eastAsia="Times New Roman"/>
          <w:sz w:val="18"/>
        </w:rPr>
        <w:t>1999</w:t>
      </w:r>
      <w:r>
        <w:rPr>
          <w:sz w:val="18"/>
        </w:rPr>
        <w:t>：</w:t>
      </w:r>
      <w:r>
        <w:rPr>
          <w:rFonts w:ascii="Times New Roman" w:eastAsia="Times New Roman"/>
          <w:sz w:val="18"/>
        </w:rPr>
        <w:t>23.</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485"/>
      </w:pPr>
      <w:bookmarkStart w:name="_bookmark224" w:id="270"/>
      <w:bookmarkEnd w:id="270"/>
      <w:r>
        <w:rPr/>
      </w:r>
      <w:r>
        <w:rPr>
          <w:spacing w:val="-5"/>
        </w:rPr>
        <w:t>教育和隋唐以来的科举制度有着深远影响，就有了学优者通过科举而仕，即学校</w:t>
      </w:r>
      <w:r>
        <w:rPr>
          <w:spacing w:val="-6"/>
        </w:rPr>
        <w:t>是通过考试达到做官的目的。</w:t>
      </w:r>
      <w:hyperlink w:history="true" w:anchor="_bookmark225">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2"/>
        </w:rPr>
        <w:t>随着科举制的发展，读书做官的价值观更是深入人心。读书被视为人们（尤其是寒门子弟）</w:t>
      </w:r>
      <w:r>
        <w:rPr>
          <w:spacing w:val="-4"/>
        </w:rPr>
        <w:t>入仕的重要途径。“读书只为做官， </w:t>
      </w:r>
      <w:r>
        <w:rPr>
          <w:spacing w:val="-3"/>
        </w:rPr>
        <w:t>做官必须读书”甚至成为了我国传统教育的基本特色。</w:t>
      </w:r>
      <w:r>
        <w:rPr>
          <w:rFonts w:ascii="Times New Roman" w:hAnsi="Times New Roman" w:eastAsia="Times New Roman"/>
          <w:position w:val="8"/>
          <w:sz w:val="15"/>
        </w:rPr>
        <w:t>[</w:t>
      </w:r>
      <w:hyperlink w:history="true" w:anchor="_bookmark226">
        <w:r>
          <w:rPr>
            <w:rFonts w:ascii="Times New Roman" w:hAnsi="Times New Roman" w:eastAsia="Times New Roman"/>
            <w:position w:val="8"/>
            <w:sz w:val="15"/>
          </w:rPr>
          <w:t>2</w:t>
        </w:r>
      </w:hyperlink>
      <w:r>
        <w:rPr>
          <w:rFonts w:ascii="Times New Roman" w:hAnsi="Times New Roman" w:eastAsia="Times New Roman"/>
          <w:position w:val="8"/>
          <w:sz w:val="15"/>
        </w:rPr>
        <w:t>]</w:t>
      </w:r>
      <w:r>
        <w:rPr>
          <w:spacing w:val="-2"/>
        </w:rPr>
        <w:t>读书的目的被扭曲，变</w:t>
      </w:r>
      <w:r>
        <w:rPr>
          <w:spacing w:val="-9"/>
        </w:rPr>
        <w:t>得功利化，读书成为了入仕的敲门砖。历代读书人多热衷于仕途，醉心于功名利</w:t>
      </w:r>
      <w:r>
        <w:rPr>
          <w:spacing w:val="-10"/>
        </w:rPr>
        <w:t>禄，将中举做官作为自己的人生信条，此外便无别的追求。“万般皆下品，惟有</w:t>
      </w:r>
      <w:r>
        <w:rPr>
          <w:spacing w:val="-12"/>
        </w:rPr>
        <w:t>读书高”、“十年寒窗无人问、一举成名天下知”成为了当时社会读书人的真实写照。</w:t>
      </w:r>
    </w:p>
    <w:p>
      <w:pPr>
        <w:pStyle w:val="BodyText"/>
        <w:spacing w:line="364" w:lineRule="auto" w:before="5"/>
        <w:ind w:left="1320" w:right="1577" w:firstLine="480"/>
        <w:jc w:val="both"/>
      </w:pPr>
      <w:r>
        <w:rPr>
          <w:spacing w:val="-8"/>
        </w:rPr>
        <w:t>至于读书的内容，基本以科举考试的儒家经典为主。古代社会，儒家思想经</w:t>
      </w:r>
      <w:r>
        <w:rPr>
          <w:spacing w:val="-9"/>
        </w:rPr>
        <w:t>千百年的发展，其它各种学说难以形成与之抗衡的力量，科学技术被视为“奇淫</w:t>
      </w:r>
      <w:r>
        <w:rPr>
          <w:spacing w:val="-10"/>
        </w:rPr>
        <w:t>巧技”。儒家经典占据着整个教育界，科举考试的内容也局限于儒家典籍。学校</w:t>
      </w:r>
      <w:r>
        <w:rPr>
          <w:spacing w:val="-6"/>
        </w:rPr>
        <w:t>的教育内容多根据科举考试的内容而定，学校沦为科举考试的附庸。学子的读书</w:t>
      </w:r>
      <w:r>
        <w:rPr>
          <w:spacing w:val="-7"/>
        </w:rPr>
        <w:t>方法受到科举考试形式的制约，把精力耗于死记硬背和咬文嚼字中，对知识不求</w:t>
      </w:r>
      <w:r>
        <w:rPr>
          <w:spacing w:val="-9"/>
        </w:rPr>
        <w:t>甚解。当时的学校教育充满了形式主义、教条主义，学子只是知识的容器，其个</w:t>
      </w:r>
      <w:r>
        <w:rPr/>
        <w:t>性与创造性被扼杀。</w:t>
      </w:r>
    </w:p>
    <w:p>
      <w:pPr>
        <w:pStyle w:val="BodyText"/>
        <w:spacing w:line="364" w:lineRule="auto" w:before="4"/>
        <w:ind w:left="1319" w:right="1577" w:firstLine="480"/>
        <w:jc w:val="both"/>
      </w:pPr>
      <w:r>
        <w:rPr>
          <w:spacing w:val="-3"/>
        </w:rPr>
        <w:t>自隋朝产生科举制以来，科举制在我国延续了 </w:t>
      </w:r>
      <w:r>
        <w:rPr>
          <w:rFonts w:ascii="Times New Roman" w:hAnsi="Times New Roman" w:eastAsia="Times New Roman"/>
        </w:rPr>
        <w:t>1300 </w:t>
      </w:r>
      <w:r>
        <w:rPr>
          <w:spacing w:val="-1"/>
        </w:rPr>
        <w:t>年之久。“读书做官” </w:t>
      </w:r>
      <w:r>
        <w:rPr>
          <w:spacing w:val="-5"/>
        </w:rPr>
        <w:t>的价值取向通过从地方到中央的层层考试选拔得以实现的。虽然科举制已经被废</w:t>
      </w:r>
      <w:r>
        <w:rPr>
          <w:spacing w:val="-20"/>
        </w:rPr>
        <w:t>除了 </w:t>
      </w:r>
      <w:r>
        <w:rPr>
          <w:rFonts w:ascii="Times New Roman" w:hAnsi="Times New Roman" w:eastAsia="Times New Roman"/>
        </w:rPr>
        <w:t>100 </w:t>
      </w:r>
      <w:r>
        <w:rPr>
          <w:spacing w:val="-10"/>
        </w:rPr>
        <w:t>多年，但中国传统考试文化对现今学校教育产生的影响力至深，以至于</w:t>
      </w:r>
      <w:r>
        <w:rPr>
          <w:spacing w:val="-2"/>
        </w:rPr>
        <w:t>社会各界认为考试选拔人才是天经地义的。</w:t>
      </w:r>
      <w:r>
        <w:rPr>
          <w:rFonts w:ascii="Times New Roman" w:hAnsi="Times New Roman" w:eastAsia="Times New Roman"/>
          <w:position w:val="8"/>
          <w:sz w:val="15"/>
        </w:rPr>
        <w:t>[</w:t>
      </w:r>
      <w:hyperlink w:history="true" w:anchor="_bookmark227">
        <w:r>
          <w:rPr>
            <w:rFonts w:ascii="Times New Roman" w:hAnsi="Times New Roman" w:eastAsia="Times New Roman"/>
            <w:position w:val="8"/>
            <w:sz w:val="15"/>
          </w:rPr>
          <w:t>3</w:t>
        </w:r>
      </w:hyperlink>
      <w:r>
        <w:rPr>
          <w:rFonts w:ascii="Times New Roman" w:hAnsi="Times New Roman" w:eastAsia="Times New Roman"/>
          <w:position w:val="8"/>
          <w:sz w:val="15"/>
        </w:rPr>
        <w:t>]</w:t>
      </w:r>
      <w:r>
        <w:rPr>
          <w:spacing w:val="-1"/>
        </w:rPr>
        <w:t>逢进必考的传统在中国至今仍未改</w:t>
      </w:r>
      <w:r>
        <w:rPr>
          <w:spacing w:val="-10"/>
        </w:rPr>
        <w:t>变，从小学升入初中需要考试，中考、会考、高考等，就业还有入职考，在一些地方，幼儿园进入小学甚至都要进行考试。考试成为了评价人才的手段，分数成</w:t>
      </w:r>
      <w:r>
        <w:rPr>
          <w:spacing w:val="-7"/>
        </w:rPr>
        <w:t>为了衡量人的能力和水平的标准，而升学成为了成才的唯一途径，而人才的真正</w:t>
      </w:r>
      <w:r>
        <w:rPr/>
        <w:t>标准，如何使人成才等问题却鲜有关注。</w:t>
      </w:r>
    </w:p>
    <w:p>
      <w:pPr>
        <w:pStyle w:val="BodyText"/>
        <w:spacing w:before="8"/>
        <w:rPr>
          <w:sz w:val="23"/>
        </w:rPr>
      </w:pPr>
    </w:p>
    <w:p>
      <w:pPr>
        <w:pStyle w:val="ListParagraph"/>
        <w:numPr>
          <w:ilvl w:val="2"/>
          <w:numId w:val="42"/>
        </w:numPr>
        <w:tabs>
          <w:tab w:pos="1920" w:val="left" w:leader="none"/>
        </w:tabs>
        <w:spacing w:line="595" w:lineRule="auto" w:before="0" w:after="0"/>
        <w:ind w:left="1799" w:right="1485" w:hanging="480"/>
        <w:jc w:val="both"/>
        <w:rPr>
          <w:sz w:val="24"/>
        </w:rPr>
      </w:pPr>
      <w:r>
        <w:rPr/>
        <w:pict>
          <v:shape style="position:absolute;margin-left:90pt;margin-top:79.360001pt;width:144pt;height:.1pt;mso-position-horizontal-relative:page;mso-position-vertical-relative:paragraph;z-index:-251552768;mso-wrap-distance-left:0;mso-wrap-distance-right:0" coordorigin="1800,1587" coordsize="2880,0" path="m1800,1587l4680,1587e" filled="false" stroked="true" strokeweight="0pt" strokecolor="#000000">
            <v:path arrowok="t"/>
            <v:stroke dashstyle="solid"/>
            <w10:wrap type="topAndBottom"/>
          </v:shape>
        </w:pict>
      </w:r>
      <w:r>
        <w:rPr>
          <w:sz w:val="24"/>
        </w:rPr>
        <w:t>学校教育深受应试影响                                            </w:t>
      </w:r>
      <w:r>
        <w:rPr>
          <w:spacing w:val="-1"/>
          <w:sz w:val="24"/>
        </w:rPr>
        <w:t>“高考”制度是应试教育对普通高中教育最显著的影响。在“高考指挥棒”</w:t>
      </w:r>
    </w:p>
    <w:p>
      <w:pPr>
        <w:spacing w:before="98"/>
        <w:ind w:left="1320" w:right="0" w:firstLine="0"/>
        <w:jc w:val="left"/>
        <w:rPr>
          <w:rFonts w:ascii="Times New Roman" w:eastAsia="Times New Roman"/>
          <w:sz w:val="18"/>
        </w:rPr>
      </w:pPr>
      <w:bookmarkStart w:name="_bookmark225" w:id="271"/>
      <w:bookmarkEnd w:id="271"/>
      <w:r>
        <w:rPr/>
      </w:r>
      <w:r>
        <w:rPr>
          <w:rFonts w:ascii="Times New Roman" w:eastAsia="Times New Roman"/>
          <w:position w:val="7"/>
          <w:sz w:val="13"/>
        </w:rPr>
        <w:t>[1] </w:t>
      </w:r>
      <w:r>
        <w:rPr>
          <w:sz w:val="18"/>
        </w:rPr>
        <w:t>张道春</w:t>
      </w:r>
      <w:r>
        <w:rPr>
          <w:rFonts w:ascii="Times New Roman" w:eastAsia="Times New Roman"/>
          <w:sz w:val="18"/>
        </w:rPr>
        <w:t>.</w:t>
      </w:r>
      <w:r>
        <w:rPr>
          <w:sz w:val="18"/>
        </w:rPr>
        <w:t>应试教育的历史思考</w:t>
      </w:r>
      <w:r>
        <w:rPr>
          <w:rFonts w:ascii="Times New Roman" w:eastAsia="Times New Roman"/>
          <w:sz w:val="18"/>
        </w:rPr>
        <w:t>[J].</w:t>
      </w:r>
      <w:r>
        <w:rPr>
          <w:sz w:val="18"/>
        </w:rPr>
        <w:t>泸州职业技术学院学报，</w:t>
      </w:r>
      <w:r>
        <w:rPr>
          <w:rFonts w:ascii="Times New Roman" w:eastAsia="Times New Roman"/>
          <w:sz w:val="18"/>
        </w:rPr>
        <w:t>1999</w:t>
      </w:r>
      <w:r>
        <w:rPr>
          <w:sz w:val="18"/>
        </w:rPr>
        <w:t>（</w:t>
      </w:r>
      <w:r>
        <w:rPr>
          <w:rFonts w:ascii="Times New Roman" w:eastAsia="Times New Roman"/>
          <w:sz w:val="18"/>
        </w:rPr>
        <w:t>1</w:t>
      </w:r>
      <w:r>
        <w:rPr>
          <w:sz w:val="18"/>
        </w:rPr>
        <w:t>）：</w:t>
      </w:r>
      <w:r>
        <w:rPr>
          <w:rFonts w:ascii="Times New Roman" w:eastAsia="Times New Roman"/>
          <w:sz w:val="18"/>
        </w:rPr>
        <w:t>134.</w:t>
      </w:r>
    </w:p>
    <w:p>
      <w:pPr>
        <w:spacing w:before="127"/>
        <w:ind w:left="1320" w:right="0" w:firstLine="0"/>
        <w:jc w:val="left"/>
        <w:rPr>
          <w:rFonts w:ascii="Times New Roman" w:eastAsia="Times New Roman"/>
          <w:sz w:val="18"/>
        </w:rPr>
      </w:pPr>
      <w:bookmarkStart w:name="_bookmark226" w:id="272"/>
      <w:bookmarkEnd w:id="272"/>
      <w:r>
        <w:rPr/>
      </w:r>
      <w:r>
        <w:rPr>
          <w:rFonts w:ascii="Times New Roman" w:eastAsia="Times New Roman"/>
          <w:position w:val="7"/>
          <w:sz w:val="13"/>
        </w:rPr>
        <w:t>[2</w:t>
      </w:r>
      <w:r>
        <w:rPr>
          <w:rFonts w:ascii="Times New Roman" w:eastAsia="Times New Roman"/>
          <w:spacing w:val="7"/>
          <w:position w:val="7"/>
          <w:sz w:val="13"/>
        </w:rPr>
        <w:t>]  </w:t>
      </w:r>
      <w:r>
        <w:rPr>
          <w:sz w:val="18"/>
        </w:rPr>
        <w:t>游安军</w:t>
      </w:r>
      <w:r>
        <w:rPr>
          <w:rFonts w:ascii="Times New Roman" w:eastAsia="Times New Roman"/>
          <w:sz w:val="18"/>
        </w:rPr>
        <w:t>.</w:t>
      </w:r>
      <w:r>
        <w:rPr>
          <w:sz w:val="18"/>
        </w:rPr>
        <w:t>黎华</w:t>
      </w:r>
      <w:r>
        <w:rPr>
          <w:rFonts w:ascii="Times New Roman" w:eastAsia="Times New Roman"/>
          <w:sz w:val="18"/>
        </w:rPr>
        <w:t>.</w:t>
      </w:r>
      <w:r>
        <w:rPr>
          <w:sz w:val="18"/>
        </w:rPr>
        <w:t>简论应试教育的社会历史根源和现实基础</w:t>
      </w:r>
      <w:r>
        <w:rPr>
          <w:rFonts w:ascii="Times New Roman" w:eastAsia="Times New Roman"/>
          <w:sz w:val="18"/>
        </w:rPr>
        <w:t>[J].</w:t>
      </w:r>
      <w:r>
        <w:rPr>
          <w:sz w:val="18"/>
        </w:rPr>
        <w:t>教育科学</w:t>
      </w:r>
      <w:r>
        <w:rPr>
          <w:rFonts w:ascii="Times New Roman" w:eastAsia="Times New Roman"/>
          <w:sz w:val="18"/>
        </w:rPr>
        <w:t>.1994</w:t>
      </w:r>
      <w:r>
        <w:rPr>
          <w:sz w:val="18"/>
        </w:rPr>
        <w:t>（</w:t>
      </w:r>
      <w:r>
        <w:rPr>
          <w:rFonts w:ascii="Times New Roman" w:eastAsia="Times New Roman"/>
          <w:sz w:val="18"/>
        </w:rPr>
        <w:t>3</w:t>
      </w:r>
      <w:r>
        <w:rPr>
          <w:sz w:val="18"/>
        </w:rPr>
        <w:t>）：</w:t>
      </w:r>
      <w:r>
        <w:rPr>
          <w:rFonts w:ascii="Times New Roman" w:eastAsia="Times New Roman"/>
          <w:sz w:val="18"/>
        </w:rPr>
        <w:t>7.</w:t>
      </w:r>
    </w:p>
    <w:p>
      <w:pPr>
        <w:spacing w:before="128"/>
        <w:ind w:left="1319" w:right="0" w:firstLine="0"/>
        <w:jc w:val="left"/>
        <w:rPr>
          <w:rFonts w:ascii="Times New Roman" w:eastAsia="Times New Roman"/>
          <w:sz w:val="18"/>
        </w:rPr>
      </w:pPr>
      <w:bookmarkStart w:name="_bookmark227" w:id="273"/>
      <w:bookmarkEnd w:id="273"/>
      <w:r>
        <w:rPr/>
      </w:r>
      <w:r>
        <w:rPr>
          <w:rFonts w:ascii="Times New Roman" w:eastAsia="Times New Roman"/>
          <w:position w:val="7"/>
          <w:sz w:val="13"/>
        </w:rPr>
        <w:t>[3</w:t>
      </w:r>
      <w:r>
        <w:rPr>
          <w:rFonts w:ascii="Times New Roman" w:eastAsia="Times New Roman"/>
          <w:spacing w:val="7"/>
          <w:position w:val="7"/>
          <w:sz w:val="13"/>
        </w:rPr>
        <w:t>]  </w:t>
      </w:r>
      <w:r>
        <w:rPr>
          <w:sz w:val="18"/>
        </w:rPr>
        <w:t>游安军</w:t>
      </w:r>
      <w:r>
        <w:rPr>
          <w:rFonts w:ascii="Times New Roman" w:eastAsia="Times New Roman"/>
          <w:sz w:val="18"/>
        </w:rPr>
        <w:t>.</w:t>
      </w:r>
      <w:r>
        <w:rPr>
          <w:sz w:val="18"/>
        </w:rPr>
        <w:t>黎华</w:t>
      </w:r>
      <w:r>
        <w:rPr>
          <w:rFonts w:ascii="Times New Roman" w:eastAsia="Times New Roman"/>
          <w:sz w:val="18"/>
        </w:rPr>
        <w:t>.</w:t>
      </w:r>
      <w:r>
        <w:rPr>
          <w:sz w:val="18"/>
        </w:rPr>
        <w:t>简论应试教育的社会历史根源和现实基础</w:t>
      </w:r>
      <w:r>
        <w:rPr>
          <w:rFonts w:ascii="Times New Roman" w:eastAsia="Times New Roman"/>
          <w:sz w:val="18"/>
        </w:rPr>
        <w:t>[J].</w:t>
      </w:r>
      <w:r>
        <w:rPr>
          <w:sz w:val="18"/>
        </w:rPr>
        <w:t>教育科学</w:t>
      </w:r>
      <w:r>
        <w:rPr>
          <w:rFonts w:ascii="Times New Roman" w:eastAsia="Times New Roman"/>
          <w:sz w:val="18"/>
        </w:rPr>
        <w:t>.1994</w:t>
      </w:r>
      <w:r>
        <w:rPr>
          <w:sz w:val="18"/>
        </w:rPr>
        <w:t>（</w:t>
      </w:r>
      <w:r>
        <w:rPr>
          <w:rFonts w:ascii="Times New Roman" w:eastAsia="Times New Roman"/>
          <w:sz w:val="18"/>
        </w:rPr>
        <w:t>3</w:t>
      </w:r>
      <w:r>
        <w:rPr>
          <w:sz w:val="18"/>
        </w:rPr>
        <w:t>）：</w:t>
      </w:r>
      <w:r>
        <w:rPr>
          <w:rFonts w:ascii="Times New Roman" w:eastAsia="Times New Roman"/>
          <w:sz w:val="18"/>
        </w:rPr>
        <w:t>7.</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575"/>
        <w:jc w:val="both"/>
      </w:pPr>
      <w:r>
        <w:rPr>
          <w:spacing w:val="-10"/>
        </w:rPr>
        <w:t>的指引下，学生的目的就是为了考上大学，而大学后的职业与生活，学生是无暇</w:t>
      </w:r>
      <w:r>
        <w:rPr>
          <w:spacing w:val="-11"/>
        </w:rPr>
        <w:t>顾及的。整个高中，学生的字典里只剩下“考试”二字，家长、老师、学校以及</w:t>
      </w:r>
      <w:r>
        <w:rPr>
          <w:spacing w:val="-9"/>
        </w:rPr>
        <w:t>社会舆论以分数至上，学生们成了“考试机器”、“分数达人”。这种“只见分</w:t>
      </w:r>
      <w:r>
        <w:rPr>
          <w:spacing w:val="-10"/>
        </w:rPr>
        <w:t>数不见人”的教育对学生的身心造成了巨大的伤害，步入社会后，学生往往会与</w:t>
      </w:r>
      <w:r>
        <w:rPr/>
        <w:t>材料中的刘宁一样面临着理想与现实的冲突。</w:t>
      </w:r>
    </w:p>
    <w:p>
      <w:pPr>
        <w:pStyle w:val="BodyText"/>
      </w:pPr>
    </w:p>
    <w:p>
      <w:pPr>
        <w:pStyle w:val="BodyText"/>
        <w:spacing w:line="364" w:lineRule="auto" w:before="163"/>
        <w:ind w:left="1320" w:right="1665" w:firstLine="420"/>
        <w:jc w:val="both"/>
        <w:rPr>
          <w:sz w:val="12"/>
        </w:rPr>
      </w:pPr>
      <w:r>
        <w:rPr/>
        <w:drawing>
          <wp:anchor distT="0" distB="0" distL="0" distR="0" allowOverlap="1" layoutInCell="1" locked="0" behindDoc="0" simplePos="0" relativeHeight="104">
            <wp:simplePos x="0" y="0"/>
            <wp:positionH relativeFrom="page">
              <wp:posOffset>1298661</wp:posOffset>
            </wp:positionH>
            <wp:positionV relativeFrom="paragraph">
              <wp:posOffset>750887</wp:posOffset>
            </wp:positionV>
            <wp:extent cx="4901279" cy="3253740"/>
            <wp:effectExtent l="0" t="0" r="0" b="0"/>
            <wp:wrapTopAndBottom/>
            <wp:docPr id="67" name="image17.jpeg"/>
            <wp:cNvGraphicFramePr>
              <a:graphicFrameLocks noChangeAspect="1"/>
            </wp:cNvGraphicFramePr>
            <a:graphic>
              <a:graphicData uri="http://schemas.openxmlformats.org/drawingml/2006/picture">
                <pic:pic>
                  <pic:nvPicPr>
                    <pic:cNvPr id="68" name="image17.jpeg"/>
                    <pic:cNvPicPr/>
                  </pic:nvPicPr>
                  <pic:blipFill>
                    <a:blip r:embed="rId85" cstate="print"/>
                    <a:stretch>
                      <a:fillRect/>
                    </a:stretch>
                  </pic:blipFill>
                  <pic:spPr>
                    <a:xfrm>
                      <a:off x="0" y="0"/>
                      <a:ext cx="4901279" cy="3253740"/>
                    </a:xfrm>
                    <a:prstGeom prst="rect">
                      <a:avLst/>
                    </a:prstGeom>
                  </pic:spPr>
                </pic:pic>
              </a:graphicData>
            </a:graphic>
          </wp:anchor>
        </w:drawing>
      </w:r>
      <w:r>
        <w:rPr/>
        <w:t>【材料：从高考状元到“流浪汉”】（改编自《年轻‘流浪汉’ 竟是当年理科状元》</w:t>
      </w:r>
      <w:hyperlink w:history="true" w:anchor="_bookmark228">
        <w:r>
          <w:rPr>
            <w:position w:val="12"/>
            <w:sz w:val="12"/>
          </w:rPr>
          <w:t>[1</w:t>
        </w:r>
      </w:hyperlink>
      <w:r>
        <w:rPr>
          <w:position w:val="12"/>
          <w:sz w:val="12"/>
        </w:rPr>
        <w:t>]</w:t>
      </w:r>
    </w:p>
    <w:p>
      <w:pPr>
        <w:pStyle w:val="BodyText"/>
        <w:spacing w:before="7"/>
        <w:rPr>
          <w:sz w:val="29"/>
        </w:rPr>
      </w:pPr>
    </w:p>
    <w:p>
      <w:pPr>
        <w:pStyle w:val="BodyText"/>
        <w:spacing w:line="364" w:lineRule="auto" w:before="1"/>
        <w:ind w:left="1320" w:right="1577" w:firstLine="480"/>
        <w:jc w:val="both"/>
      </w:pPr>
      <w:r>
        <w:rPr>
          <w:spacing w:val="-6"/>
        </w:rPr>
        <w:t>教育的本质不是教人善于考试取得高分，而是要让学生们通过学习，具备必</w:t>
      </w:r>
      <w:r>
        <w:rPr>
          <w:spacing w:val="-8"/>
        </w:rPr>
        <w:t>要的知识和技能，学会生存，学会生活，在社会立足。案例中的刘宁作为理科状</w:t>
      </w:r>
      <w:r>
        <w:rPr>
          <w:spacing w:val="-11"/>
        </w:rPr>
        <w:t>元，在考试中如鱼得水，却在现实生活中一败涂地。他一直对自己抱有较大的期</w:t>
      </w:r>
      <w:r>
        <w:rPr>
          <w:spacing w:val="-9"/>
        </w:rPr>
        <w:t>待，但是理想与现实之间巨大的差距让他最终选择了逃避。归根究底，“应试教</w:t>
      </w:r>
      <w:r>
        <w:rPr>
          <w:spacing w:val="-11"/>
        </w:rPr>
        <w:t>育”下对分数的追求，对升学率的追求，让学生疲于应付考试，提高分数，而忽</w:t>
      </w:r>
      <w:r>
        <w:rPr/>
        <w:t>视了个体的成长与发展。</w:t>
      </w:r>
    </w:p>
    <w:p>
      <w:pPr>
        <w:pStyle w:val="BodyText"/>
        <w:spacing w:line="364" w:lineRule="auto" w:before="3"/>
        <w:ind w:left="1320" w:right="1577" w:firstLine="480"/>
        <w:jc w:val="both"/>
      </w:pPr>
      <w:r>
        <w:rPr/>
        <w:pict>
          <v:line style="position:absolute;mso-position-horizontal-relative:page;mso-position-vertical-relative:paragraph;z-index:251765760" from="90pt,45.590996pt" to="234pt,45.590996pt" stroked="true" strokeweight="0pt" strokecolor="#000000">
            <v:stroke dashstyle="solid"/>
            <w10:wrap type="none"/>
          </v:line>
        </w:pict>
      </w:r>
      <w:r>
        <w:rPr>
          <w:spacing w:val="-5"/>
        </w:rPr>
        <w:t>教师对于在教学中渗透生涯规划教育表示了较强愿望，迫于现实的重压，教</w:t>
      </w:r>
      <w:r>
        <w:rPr>
          <w:spacing w:val="-7"/>
        </w:rPr>
        <w:t>师也不得不向高考妥协。</w:t>
      </w:r>
      <w:r>
        <w:rPr>
          <w:rFonts w:ascii="Times New Roman" w:eastAsia="Times New Roman"/>
        </w:rPr>
        <w:t>C </w:t>
      </w:r>
      <w:r>
        <w:rPr>
          <w:spacing w:val="-1"/>
        </w:rPr>
        <w:t>教师的看法代表了众多教师对学科教学中渗透生涯规</w:t>
      </w:r>
    </w:p>
    <w:p>
      <w:pPr>
        <w:spacing w:line="364" w:lineRule="auto" w:before="103"/>
        <w:ind w:left="1320" w:right="1578" w:firstLine="0"/>
        <w:jc w:val="left"/>
        <w:rPr>
          <w:rFonts w:ascii="Times New Roman" w:hAnsi="Times New Roman" w:eastAsia="Times New Roman"/>
          <w:sz w:val="18"/>
        </w:rPr>
      </w:pPr>
      <w:bookmarkStart w:name="_bookmark228" w:id="274"/>
      <w:bookmarkEnd w:id="274"/>
      <w:r>
        <w:rPr/>
      </w:r>
      <w:r>
        <w:rPr>
          <w:rFonts w:ascii="Times New Roman" w:hAnsi="Times New Roman" w:eastAsia="Times New Roman"/>
          <w:position w:val="7"/>
          <w:sz w:val="13"/>
        </w:rPr>
        <w:t>[1] </w:t>
      </w:r>
      <w:r>
        <w:rPr>
          <w:sz w:val="18"/>
        </w:rPr>
        <w:t>改编自胡挺</w:t>
      </w:r>
      <w:r>
        <w:rPr>
          <w:rFonts w:ascii="Times New Roman" w:hAnsi="Times New Roman" w:eastAsia="Times New Roman"/>
          <w:sz w:val="18"/>
        </w:rPr>
        <w:t>.</w:t>
      </w:r>
      <w:r>
        <w:rPr>
          <w:sz w:val="18"/>
        </w:rPr>
        <w:t>年轻的“流浪汉”竟是当年理科状元</w:t>
      </w:r>
      <w:r>
        <w:rPr>
          <w:rFonts w:ascii="Times New Roman" w:hAnsi="Times New Roman" w:eastAsia="Times New Roman"/>
          <w:sz w:val="18"/>
        </w:rPr>
        <w:t>[N/OL].</w:t>
      </w:r>
      <w:r>
        <w:rPr>
          <w:sz w:val="18"/>
        </w:rPr>
        <w:t>成都商报电子版</w:t>
      </w:r>
      <w:r>
        <w:rPr>
          <w:rFonts w:ascii="Times New Roman" w:hAnsi="Times New Roman" w:eastAsia="Times New Roman"/>
          <w:sz w:val="18"/>
        </w:rPr>
        <w:t>.2016-2-11.</w:t>
      </w:r>
      <w:hyperlink r:id="rId86">
        <w:r>
          <w:rPr>
            <w:rFonts w:ascii="Times New Roman" w:hAnsi="Times New Roman" w:eastAsia="Times New Roman"/>
            <w:sz w:val="18"/>
          </w:rPr>
          <w:t>http://e.chengdu.cn/ht</w:t>
        </w:r>
      </w:hyperlink>
      <w:r>
        <w:rPr>
          <w:rFonts w:ascii="Times New Roman" w:hAnsi="Times New Roman" w:eastAsia="Times New Roman"/>
          <w:sz w:val="18"/>
        </w:rPr>
        <w:t> ml/2014-02/11/content_453555.htm.2016-5-4.</w:t>
      </w:r>
    </w:p>
    <w:p>
      <w:pPr>
        <w:spacing w:after="0" w:line="364" w:lineRule="auto"/>
        <w:jc w:val="left"/>
        <w:rPr>
          <w:rFonts w:ascii="Times New Roman" w:hAns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before="66"/>
        <w:ind w:left="1320"/>
      </w:pPr>
      <w:bookmarkStart w:name="_bookmark229" w:id="275"/>
      <w:bookmarkEnd w:id="275"/>
      <w:r>
        <w:rPr/>
      </w:r>
      <w:r>
        <w:rPr/>
        <w:t>划教育的看法。</w:t>
      </w:r>
    </w:p>
    <w:p>
      <w:pPr>
        <w:pStyle w:val="BodyText"/>
      </w:pPr>
    </w:p>
    <w:p>
      <w:pPr>
        <w:pStyle w:val="BodyText"/>
        <w:rPr>
          <w:sz w:val="25"/>
        </w:rPr>
      </w:pPr>
    </w:p>
    <w:p>
      <w:pPr>
        <w:pStyle w:val="BodyText"/>
        <w:spacing w:line="364" w:lineRule="auto" w:before="1"/>
        <w:ind w:left="1320" w:right="1577" w:firstLine="314"/>
      </w:pPr>
      <w:r>
        <w:rPr/>
        <w:t>笔者：老师，您好！请问您在平常的教学中会渗透生涯规划教育的相关内容吗？</w:t>
      </w:r>
    </w:p>
    <w:p>
      <w:pPr>
        <w:pStyle w:val="BodyText"/>
        <w:spacing w:line="364" w:lineRule="auto" w:before="1"/>
        <w:ind w:left="1320" w:right="1577" w:firstLine="360"/>
        <w:jc w:val="both"/>
      </w:pPr>
      <w:r>
        <w:rPr>
          <w:rFonts w:ascii="Times New Roman" w:eastAsia="Times New Roman"/>
        </w:rPr>
        <w:t>C </w:t>
      </w:r>
      <w:r>
        <w:rPr/>
        <w:t>教师：现在连上课的时间都不够，哪里有时间给学生讲这些东西啊！尤其</w:t>
      </w:r>
      <w:r>
        <w:rPr>
          <w:spacing w:val="-8"/>
        </w:rPr>
        <w:t>是选课以后，学生马上就要面临高考了，要把该教的都教了，还要复习，真的没</w:t>
      </w:r>
      <w:r>
        <w:rPr>
          <w:spacing w:val="-11"/>
        </w:rPr>
        <w:t>时间。有几次自习课，想给同学们普及一下职业方面的知识，哪知道他们纷纷反</w:t>
      </w:r>
      <w:r>
        <w:rPr/>
        <w:t>对，说我占用了他们的学习时间，最后我只能让他们继续做作业了。</w:t>
      </w:r>
    </w:p>
    <w:p>
      <w:pPr>
        <w:pStyle w:val="BodyText"/>
        <w:spacing w:before="2"/>
        <w:ind w:left="1680"/>
      </w:pPr>
      <w:r>
        <w:rPr/>
        <w:t>笔者：那如果时间允许的话，您会为学生普及相关的知识吗？</w:t>
      </w:r>
    </w:p>
    <w:p>
      <w:pPr>
        <w:pStyle w:val="BodyText"/>
        <w:spacing w:line="364" w:lineRule="auto" w:before="161"/>
        <w:ind w:left="1320" w:right="1577" w:firstLine="360"/>
      </w:pPr>
      <w:r>
        <w:rPr>
          <w:rFonts w:ascii="Times New Roman" w:eastAsia="Times New Roman"/>
        </w:rPr>
        <w:t>C </w:t>
      </w:r>
      <w:r>
        <w:rPr/>
        <w:t>教师：那是肯定的啊！我们作为教师的也想多多帮助学生，让学生在走上社会之前多了解一些，扩充学生的眼界，让他们提早为自己谋划谋划！</w:t>
      </w:r>
    </w:p>
    <w:p>
      <w:pPr>
        <w:pStyle w:val="BodyText"/>
        <w:spacing w:before="1"/>
        <w:ind w:left="5352"/>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F </w:t>
      </w:r>
      <w:r>
        <w:rPr/>
        <w:t>老师，化学教师，</w:t>
      </w:r>
      <w:r>
        <w:rPr>
          <w:rFonts w:ascii="Times New Roman" w:hAnsi="Times New Roman" w:eastAsia="Times New Roman"/>
        </w:rPr>
        <w:t>20161024</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577" w:firstLine="480"/>
        <w:jc w:val="both"/>
      </w:pPr>
      <w:r>
        <w:rPr>
          <w:spacing w:val="-5"/>
        </w:rPr>
        <w:t>访谈中，</w:t>
      </w:r>
      <w:r>
        <w:rPr>
          <w:rFonts w:ascii="Times New Roman" w:eastAsia="Times New Roman"/>
          <w:spacing w:val="-18"/>
        </w:rPr>
        <w:t>C </w:t>
      </w:r>
      <w:r>
        <w:rPr>
          <w:spacing w:val="-4"/>
        </w:rPr>
        <w:t>教师希望增进学生对生涯信息的了解，但学生竟然认为提高学习</w:t>
      </w:r>
      <w:r>
        <w:rPr>
          <w:spacing w:val="-8"/>
        </w:rPr>
        <w:t>成绩比进行生涯规划教育更重要。可见，即使教师已经意识到了生涯规划教育对</w:t>
      </w:r>
      <w:r>
        <w:rPr/>
        <w:t>当下学生发展的重要性，但为了提高成绩，应付高考，不得不选择了妥协。</w:t>
      </w:r>
    </w:p>
    <w:p>
      <w:pPr>
        <w:pStyle w:val="BodyText"/>
        <w:spacing w:line="364" w:lineRule="auto" w:before="2"/>
        <w:ind w:left="1320" w:right="1455" w:firstLine="480"/>
      </w:pPr>
      <w:r>
        <w:rPr>
          <w:spacing w:val="-9"/>
        </w:rPr>
        <w:t>应试束缚之下，教师、家长、学生都仿佛“戴着镣铐跳舞”。高中的教育教</w:t>
      </w:r>
      <w:r>
        <w:rPr>
          <w:spacing w:val="-12"/>
        </w:rPr>
        <w:t>学围绕着“高考”展开，一切以“高考”为重心。学校把高考升学率作为学校工</w:t>
      </w:r>
      <w:r>
        <w:rPr>
          <w:spacing w:val="-13"/>
        </w:rPr>
        <w:t>作的重点，用高考分数来衡量个人能力，一切与考试无关的教育内容往往被高中</w:t>
      </w:r>
      <w:r>
        <w:rPr>
          <w:spacing w:val="-18"/>
        </w:rPr>
        <w:t>教育所忽视。学生的生涯认知，学生的生涯发展等问题，对于高中教育无关紧要， </w:t>
      </w:r>
      <w:r>
        <w:rPr/>
        <w:t>学生接受生涯规划教育的机会很少。</w:t>
      </w:r>
    </w:p>
    <w:p>
      <w:pPr>
        <w:pStyle w:val="BodyText"/>
        <w:spacing w:before="6"/>
        <w:rPr>
          <w:sz w:val="17"/>
        </w:rPr>
      </w:pPr>
    </w:p>
    <w:p>
      <w:pPr>
        <w:pStyle w:val="Heading2"/>
        <w:numPr>
          <w:ilvl w:val="1"/>
          <w:numId w:val="42"/>
        </w:numPr>
        <w:tabs>
          <w:tab w:pos="1810" w:val="left" w:leader="none"/>
        </w:tabs>
        <w:spacing w:line="240" w:lineRule="auto" w:before="0" w:after="0"/>
        <w:ind w:left="1809" w:right="0" w:hanging="490"/>
        <w:jc w:val="left"/>
      </w:pPr>
      <w:r>
        <w:rPr/>
        <w:t>生涯规划教育保障机制欠完善</w:t>
      </w:r>
    </w:p>
    <w:p>
      <w:pPr>
        <w:pStyle w:val="BodyText"/>
        <w:spacing w:before="4"/>
        <w:rPr>
          <w:rFonts w:ascii="Microsoft JhengHei"/>
          <w:b/>
        </w:rPr>
      </w:pPr>
    </w:p>
    <w:p>
      <w:pPr>
        <w:pStyle w:val="ListParagraph"/>
        <w:numPr>
          <w:ilvl w:val="2"/>
          <w:numId w:val="42"/>
        </w:numPr>
        <w:tabs>
          <w:tab w:pos="1920" w:val="left" w:leader="none"/>
        </w:tabs>
        <w:spacing w:line="240" w:lineRule="auto" w:before="0" w:after="0"/>
        <w:ind w:left="1920" w:right="0" w:hanging="600"/>
        <w:jc w:val="left"/>
        <w:rPr>
          <w:sz w:val="24"/>
        </w:rPr>
      </w:pPr>
      <w:r>
        <w:rPr>
          <w:sz w:val="24"/>
        </w:rPr>
        <w:t>缺乏法律与资金支持</w:t>
      </w:r>
    </w:p>
    <w:p>
      <w:pPr>
        <w:pStyle w:val="BodyText"/>
        <w:spacing w:before="7"/>
        <w:rPr>
          <w:sz w:val="35"/>
        </w:rPr>
      </w:pPr>
    </w:p>
    <w:p>
      <w:pPr>
        <w:pStyle w:val="BodyText"/>
        <w:spacing w:line="364" w:lineRule="auto"/>
        <w:ind w:left="1320" w:right="1577" w:firstLine="480"/>
        <w:jc w:val="both"/>
      </w:pPr>
      <w:r>
        <w:rPr>
          <w:spacing w:val="-10"/>
        </w:rPr>
        <w:t>一方面，法律法规的保障是生涯规划教育得以顺利实施的前提。发达国家为</w:t>
      </w:r>
      <w:r>
        <w:rPr>
          <w:spacing w:val="-6"/>
        </w:rPr>
        <w:t>生涯规划教育的开展提供了一系列法律支持。例如，《生计教育法》、《国家职</w:t>
      </w:r>
      <w:r>
        <w:rPr>
          <w:spacing w:val="-4"/>
        </w:rPr>
        <w:t>业生涯发展指导方针》、以及《从学校到工作机会法》的陆续颁布，</w:t>
      </w:r>
      <w:hyperlink w:history="true" w:anchor="_bookmark230">
        <w:r>
          <w:rPr>
            <w:rFonts w:ascii="Times New Roman" w:eastAsia="Times New Roman"/>
            <w:spacing w:val="-3"/>
            <w:position w:val="8"/>
            <w:sz w:val="15"/>
          </w:rPr>
          <w:t>[1</w:t>
        </w:r>
      </w:hyperlink>
      <w:r>
        <w:rPr>
          <w:rFonts w:ascii="Times New Roman" w:eastAsia="Times New Roman"/>
          <w:spacing w:val="-3"/>
          <w:position w:val="8"/>
          <w:sz w:val="15"/>
        </w:rPr>
        <w:t>]</w:t>
      </w:r>
      <w:r>
        <w:rPr>
          <w:spacing w:val="-3"/>
        </w:rPr>
        <w:t>美国政府</w:t>
      </w:r>
    </w:p>
    <w:p>
      <w:pPr>
        <w:pStyle w:val="BodyText"/>
        <w:spacing w:before="2"/>
        <w:rPr>
          <w:sz w:val="13"/>
        </w:rPr>
      </w:pPr>
      <w:r>
        <w:rPr/>
        <w:pict>
          <v:shape style="position:absolute;margin-left:90pt;margin-top:10.66291pt;width:144pt;height:.1pt;mso-position-horizontal-relative:page;mso-position-vertical-relative:paragraph;z-index:-251549696;mso-wrap-distance-left:0;mso-wrap-distance-right:0" coordorigin="1800,213" coordsize="2880,0" path="m1800,213l4680,213e" filled="false" stroked="true" strokeweight=".402pt" strokecolor="#000000">
            <v:path arrowok="t"/>
            <v:stroke dashstyle="solid"/>
            <w10:wrap type="topAndBottom"/>
          </v:shape>
        </w:pict>
      </w:r>
    </w:p>
    <w:p>
      <w:pPr>
        <w:spacing w:before="94"/>
        <w:ind w:left="1320" w:right="0" w:firstLine="0"/>
        <w:jc w:val="left"/>
        <w:rPr>
          <w:rFonts w:ascii="Times New Roman" w:eastAsia="Times New Roman"/>
          <w:sz w:val="18"/>
        </w:rPr>
      </w:pPr>
      <w:bookmarkStart w:name="_bookmark230" w:id="276"/>
      <w:bookmarkEnd w:id="276"/>
      <w:r>
        <w:rPr/>
      </w:r>
      <w:r>
        <w:rPr>
          <w:rFonts w:ascii="Times New Roman" w:eastAsia="Times New Roman"/>
          <w:position w:val="7"/>
          <w:sz w:val="13"/>
        </w:rPr>
        <w:t>[1] </w:t>
      </w:r>
      <w:r>
        <w:rPr>
          <w:sz w:val="18"/>
        </w:rPr>
        <w:t>王志强</w:t>
      </w:r>
      <w:r>
        <w:rPr>
          <w:rFonts w:ascii="Times New Roman" w:eastAsia="Times New Roman"/>
          <w:sz w:val="18"/>
        </w:rPr>
        <w:t>.</w:t>
      </w:r>
      <w:r>
        <w:rPr>
          <w:sz w:val="18"/>
        </w:rPr>
        <w:t>美国生涯教育的实施及对我国的启示</w:t>
      </w:r>
      <w:r>
        <w:rPr>
          <w:rFonts w:ascii="Times New Roman" w:eastAsia="Times New Roman"/>
          <w:sz w:val="18"/>
        </w:rPr>
        <w:t>[J].</w:t>
      </w:r>
      <w:r>
        <w:rPr>
          <w:sz w:val="18"/>
        </w:rPr>
        <w:t>世界教育信息，</w:t>
      </w:r>
      <w:r>
        <w:rPr>
          <w:rFonts w:ascii="Times New Roman" w:eastAsia="Times New Roman"/>
          <w:sz w:val="18"/>
        </w:rPr>
        <w:t>2008</w:t>
      </w:r>
      <w:r>
        <w:rPr>
          <w:sz w:val="18"/>
        </w:rPr>
        <w:t>（</w:t>
      </w:r>
      <w:r>
        <w:rPr>
          <w:rFonts w:ascii="Times New Roman" w:eastAsia="Times New Roman"/>
          <w:sz w:val="18"/>
        </w:rPr>
        <w:t>3</w:t>
      </w:r>
      <w:r>
        <w:rPr>
          <w:sz w:val="18"/>
        </w:rPr>
        <w:t>）：</w:t>
      </w:r>
      <w:r>
        <w:rPr>
          <w:rFonts w:ascii="Times New Roman" w:eastAsia="Times New Roman"/>
          <w:sz w:val="18"/>
        </w:rPr>
        <w:t>45.</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19" w:right="1575"/>
        <w:jc w:val="both"/>
      </w:pPr>
      <w:bookmarkStart w:name="_bookmark231" w:id="277"/>
      <w:bookmarkEnd w:id="277"/>
      <w:r>
        <w:rPr/>
      </w:r>
      <w:r>
        <w:rPr>
          <w:spacing w:val="-5"/>
        </w:rPr>
        <w:t>通过一系列的法律法规不断丰富生涯规划教育的内容，保障和引导生涯规划教育</w:t>
      </w:r>
      <w:r>
        <w:rPr>
          <w:spacing w:val="-10"/>
        </w:rPr>
        <w:t>的发展。日本发布了《培养劳动观和职业观的学习计划框架》，促进了生涯规划</w:t>
      </w:r>
      <w:r>
        <w:rPr>
          <w:spacing w:val="-1"/>
        </w:rPr>
        <w:t>教育在基础教育的顺利开展。</w:t>
      </w:r>
      <w:hyperlink w:history="true" w:anchor="_bookmark232">
        <w:r>
          <w:rPr>
            <w:rFonts w:ascii="Times New Roman" w:eastAsia="Times New Roman"/>
            <w:position w:val="8"/>
            <w:sz w:val="15"/>
          </w:rPr>
          <w:t>[1</w:t>
        </w:r>
      </w:hyperlink>
      <w:r>
        <w:rPr>
          <w:rFonts w:ascii="Times New Roman" w:eastAsia="Times New Roman"/>
          <w:position w:val="8"/>
          <w:sz w:val="15"/>
        </w:rPr>
        <w:t>]</w:t>
      </w:r>
      <w:r>
        <w:rPr>
          <w:spacing w:val="-5"/>
        </w:rPr>
        <w:t>反观国内，现阶段，我国各级各类政府虽然颁布</w:t>
      </w:r>
      <w:r>
        <w:rPr>
          <w:spacing w:val="-8"/>
        </w:rPr>
        <w:t>了一些通知或者文件，用以指导各地生涯规划教育的开展，如浙江省教育厅发布</w:t>
      </w:r>
      <w:r>
        <w:rPr>
          <w:spacing w:val="-9"/>
        </w:rPr>
        <w:t>了《关于加强普通高中学生生涯规划教育的指导意见》，青岛市出台了《学生生</w:t>
      </w:r>
      <w:r>
        <w:rPr>
          <w:spacing w:val="-8"/>
        </w:rPr>
        <w:t>涯规划指导实验实施方案》等，但这些方案并没有上升到法律的层面，也不具有</w:t>
      </w:r>
      <w:r>
        <w:rPr/>
        <w:t>强制性。</w:t>
      </w:r>
    </w:p>
    <w:p>
      <w:pPr>
        <w:pStyle w:val="BodyText"/>
        <w:spacing w:line="364" w:lineRule="auto" w:before="4"/>
        <w:ind w:left="1319" w:right="1577" w:firstLine="480"/>
        <w:jc w:val="both"/>
        <w:rPr>
          <w:rFonts w:ascii="Times New Roman" w:eastAsia="Times New Roman"/>
        </w:rPr>
      </w:pPr>
      <w:r>
        <w:rPr>
          <w:spacing w:val="-10"/>
        </w:rPr>
        <w:t>另一方面，国家财政支持的缺失阻碍了生涯规划教育的进一步发展。发达国</w:t>
      </w:r>
      <w:r>
        <w:rPr/>
        <w:t>家通过立法为生涯规划教育的开展提供了大量的资金支持。以美国为例，在 </w:t>
      </w:r>
      <w:r>
        <w:rPr>
          <w:rFonts w:ascii="Times New Roman" w:eastAsia="Times New Roman"/>
        </w:rPr>
        <w:t>20</w:t>
      </w:r>
    </w:p>
    <w:p>
      <w:pPr>
        <w:pStyle w:val="BodyText"/>
        <w:spacing w:before="1"/>
        <w:ind w:left="1319"/>
        <w:jc w:val="both"/>
      </w:pPr>
      <w:r>
        <w:rPr>
          <w:spacing w:val="-17"/>
        </w:rPr>
        <w:t>世纪 </w:t>
      </w:r>
      <w:r>
        <w:rPr>
          <w:rFonts w:ascii="Times New Roman" w:eastAsia="Times New Roman"/>
        </w:rPr>
        <w:t>70</w:t>
      </w:r>
      <w:r>
        <w:rPr>
          <w:rFonts w:ascii="Times New Roman" w:eastAsia="Times New Roman"/>
          <w:spacing w:val="10"/>
        </w:rPr>
        <w:t> </w:t>
      </w:r>
      <w:r>
        <w:rPr>
          <w:spacing w:val="-2"/>
        </w:rPr>
        <w:t>年代，生涯规划教育兴起之初，联邦教育总署分别在 </w:t>
      </w:r>
      <w:r>
        <w:rPr>
          <w:rFonts w:ascii="Times New Roman" w:eastAsia="Times New Roman"/>
        </w:rPr>
        <w:t>1971</w:t>
      </w:r>
      <w:r>
        <w:rPr>
          <w:rFonts w:ascii="Times New Roman" w:eastAsia="Times New Roman"/>
          <w:spacing w:val="10"/>
        </w:rPr>
        <w:t> </w:t>
      </w:r>
      <w:r>
        <w:rPr>
          <w:spacing w:val="2"/>
        </w:rPr>
        <w:t>年、</w:t>
      </w:r>
      <w:r>
        <w:rPr>
          <w:rFonts w:ascii="Times New Roman" w:eastAsia="Times New Roman"/>
        </w:rPr>
        <w:t>1973</w:t>
      </w:r>
      <w:r>
        <w:rPr>
          <w:rFonts w:ascii="Times New Roman" w:eastAsia="Times New Roman"/>
          <w:spacing w:val="8"/>
        </w:rPr>
        <w:t> </w:t>
      </w:r>
      <w:r>
        <w:rPr/>
        <w:t>年</w:t>
      </w:r>
    </w:p>
    <w:p>
      <w:pPr>
        <w:pStyle w:val="BodyText"/>
        <w:spacing w:before="161"/>
        <w:ind w:left="1319"/>
        <w:jc w:val="both"/>
        <w:rPr>
          <w:rFonts w:ascii="Times New Roman" w:hAnsi="Times New Roman" w:eastAsia="Times New Roman"/>
        </w:rPr>
      </w:pPr>
      <w:r>
        <w:rPr>
          <w:spacing w:val="-10"/>
        </w:rPr>
        <w:t>先后拨款 </w:t>
      </w:r>
      <w:r>
        <w:rPr>
          <w:rFonts w:ascii="Times New Roman" w:hAnsi="Times New Roman" w:eastAsia="Times New Roman"/>
        </w:rPr>
        <w:t>900</w:t>
      </w:r>
      <w:r>
        <w:rPr>
          <w:rFonts w:ascii="Times New Roman" w:hAnsi="Times New Roman" w:eastAsia="Times New Roman"/>
          <w:spacing w:val="13"/>
        </w:rPr>
        <w:t> </w:t>
      </w:r>
      <w:r>
        <w:rPr>
          <w:spacing w:val="-10"/>
        </w:rPr>
        <w:t>万美元和 </w:t>
      </w:r>
      <w:r>
        <w:rPr>
          <w:rFonts w:ascii="Times New Roman" w:hAnsi="Times New Roman" w:eastAsia="Times New Roman"/>
        </w:rPr>
        <w:t>1.68</w:t>
      </w:r>
      <w:r>
        <w:rPr>
          <w:rFonts w:ascii="Times New Roman" w:hAnsi="Times New Roman" w:eastAsia="Times New Roman"/>
          <w:spacing w:val="15"/>
        </w:rPr>
        <w:t> </w:t>
      </w:r>
      <w:r>
        <w:rPr/>
        <w:t>亿美元，资助各州开展的“生涯教育”实验，</w:t>
      </w:r>
      <w:r>
        <w:rPr>
          <w:rFonts w:ascii="Times New Roman" w:hAnsi="Times New Roman" w:eastAsia="Times New Roman"/>
        </w:rPr>
        <w:t>1977</w:t>
      </w:r>
    </w:p>
    <w:p>
      <w:pPr>
        <w:pStyle w:val="BodyText"/>
        <w:spacing w:line="364" w:lineRule="auto" w:before="160"/>
        <w:ind w:left="1319" w:right="1575"/>
        <w:jc w:val="both"/>
      </w:pPr>
      <w:r>
        <w:rPr>
          <w:spacing w:val="-1"/>
        </w:rPr>
        <w:t>年国会众议院甚至又专门拨款 </w:t>
      </w:r>
      <w:r>
        <w:rPr>
          <w:rFonts w:ascii="Times New Roman" w:hAnsi="Times New Roman" w:eastAsia="Times New Roman"/>
        </w:rPr>
        <w:t>4 </w:t>
      </w:r>
      <w:r>
        <w:rPr>
          <w:spacing w:val="4"/>
        </w:rPr>
        <w:t>亿美元支持“生涯教育五年计划”的实施。</w:t>
      </w:r>
      <w:r>
        <w:rPr>
          <w:rFonts w:ascii="Times New Roman" w:hAnsi="Times New Roman" w:eastAsia="Times New Roman"/>
          <w:position w:val="8"/>
          <w:sz w:val="15"/>
        </w:rPr>
        <w:t>[</w:t>
      </w:r>
      <w:hyperlink w:history="true" w:anchor="_bookmark233">
        <w:r>
          <w:rPr>
            <w:rFonts w:ascii="Times New Roman" w:hAnsi="Times New Roman" w:eastAsia="Times New Roman"/>
            <w:position w:val="8"/>
            <w:sz w:val="15"/>
          </w:rPr>
          <w:t>2</w:t>
        </w:r>
      </w:hyperlink>
      <w:r>
        <w:rPr>
          <w:rFonts w:ascii="Times New Roman" w:hAnsi="Times New Roman" w:eastAsia="Times New Roman"/>
          <w:position w:val="8"/>
          <w:sz w:val="15"/>
        </w:rPr>
        <w:t>] </w:t>
      </w:r>
      <w:r>
        <w:rPr>
          <w:spacing w:val="-6"/>
        </w:rPr>
        <w:t>我国的生涯规划教育尚未纳入考试范围，在财政预算安排上，教育行政部门以及</w:t>
      </w:r>
      <w:r>
        <w:rPr/>
        <w:t>学校都没有充分重视，对生涯规划教育工作的实施也没有提供专项资金予以支</w:t>
      </w:r>
      <w:r>
        <w:rPr>
          <w:spacing w:val="-6"/>
        </w:rPr>
        <w:t>持。</w:t>
      </w:r>
      <w:r>
        <w:rPr>
          <w:rFonts w:ascii="Times New Roman" w:hAnsi="Times New Roman" w:eastAsia="Times New Roman"/>
          <w:position w:val="8"/>
          <w:sz w:val="15"/>
        </w:rPr>
        <w:t>[</w:t>
      </w:r>
      <w:hyperlink w:history="true" w:anchor="_bookmark234">
        <w:r>
          <w:rPr>
            <w:rFonts w:ascii="Times New Roman" w:hAnsi="Times New Roman" w:eastAsia="Times New Roman"/>
            <w:position w:val="8"/>
            <w:sz w:val="15"/>
          </w:rPr>
          <w:t>3</w:t>
        </w:r>
      </w:hyperlink>
      <w:r>
        <w:rPr>
          <w:rFonts w:ascii="Times New Roman" w:hAnsi="Times New Roman" w:eastAsia="Times New Roman"/>
          <w:position w:val="8"/>
          <w:sz w:val="15"/>
        </w:rPr>
        <w:t>]</w:t>
      </w:r>
      <w:r>
        <w:rPr>
          <w:spacing w:val="-5"/>
        </w:rPr>
        <w:t>事实上，进行生涯规划教育，无论是专业的生涯规划教育导师和相关专家</w:t>
      </w:r>
      <w:r>
        <w:rPr>
          <w:spacing w:val="-10"/>
        </w:rPr>
        <w:t>的聘请、校外生涯规划教育活动的实践，还是生涯规划教育的学术研究、课程开</w:t>
      </w:r>
      <w:r>
        <w:rPr>
          <w:spacing w:val="-9"/>
        </w:rPr>
        <w:t>发与教材编写、实践活动等都需要充足的资金支持。因此，财政支持的不到位也</w:t>
      </w:r>
      <w:r>
        <w:rPr/>
        <w:t>是造成生涯规划教育实施困难的原因之一。</w:t>
      </w:r>
    </w:p>
    <w:p>
      <w:pPr>
        <w:pStyle w:val="BodyText"/>
        <w:spacing w:before="7"/>
        <w:rPr>
          <w:sz w:val="23"/>
        </w:rPr>
      </w:pPr>
    </w:p>
    <w:p>
      <w:pPr>
        <w:pStyle w:val="ListParagraph"/>
        <w:numPr>
          <w:ilvl w:val="2"/>
          <w:numId w:val="42"/>
        </w:numPr>
        <w:tabs>
          <w:tab w:pos="1920" w:val="left" w:leader="none"/>
        </w:tabs>
        <w:spacing w:line="240" w:lineRule="auto" w:before="0" w:after="0"/>
        <w:ind w:left="1920" w:right="0" w:hanging="601"/>
        <w:jc w:val="left"/>
        <w:rPr>
          <w:sz w:val="24"/>
        </w:rPr>
      </w:pPr>
      <w:r>
        <w:rPr>
          <w:sz w:val="24"/>
        </w:rPr>
        <w:t>专业的师资力量紧缺</w:t>
      </w:r>
    </w:p>
    <w:p>
      <w:pPr>
        <w:pStyle w:val="BodyText"/>
        <w:spacing w:before="8"/>
        <w:rPr>
          <w:sz w:val="35"/>
        </w:rPr>
      </w:pPr>
    </w:p>
    <w:p>
      <w:pPr>
        <w:pStyle w:val="BodyText"/>
        <w:spacing w:line="364" w:lineRule="auto"/>
        <w:ind w:left="1319" w:right="1485" w:firstLine="480"/>
      </w:pPr>
      <w:r>
        <w:rPr>
          <w:spacing w:val="-5"/>
        </w:rPr>
        <w:t>专业的师资是开展生涯规划教育的首要条件，只有相对专业化的生涯规划教</w:t>
      </w:r>
      <w:r>
        <w:rPr>
          <w:spacing w:val="-6"/>
        </w:rPr>
        <w:t>育师资力量才能为学生提供系统、全面的生涯规划教育，取得事半功倍的效果。</w:t>
      </w:r>
      <w:r>
        <w:rPr>
          <w:spacing w:val="-8"/>
        </w:rPr>
        <w:t>但就调查数据来看，我国多数普通高中并没有专门的生涯规划教育教师，生涯规</w:t>
      </w:r>
      <w:r>
        <w:rPr>
          <w:spacing w:val="-13"/>
        </w:rPr>
        <w:t>划教育教学大多由学校的心理教师、德育老师以及学科教师共同承担。目前普通</w:t>
      </w:r>
      <w:r>
        <w:rPr>
          <w:spacing w:val="-16"/>
        </w:rPr>
        <w:t>高中生涯规划教育师资紧缺，主要表现在以下三个方面：第一，专业的生涯规划教育教师数量稀缺；第二，生涯规划教育教师个人能力欠佳；第三，学科教师普</w:t>
      </w:r>
    </w:p>
    <w:p>
      <w:pPr>
        <w:pStyle w:val="BodyText"/>
        <w:rPr>
          <w:sz w:val="25"/>
        </w:rPr>
      </w:pPr>
      <w:r>
        <w:rPr/>
        <w:pict>
          <v:shape style="position:absolute;margin-left:90pt;margin-top:17.982695pt;width:144pt;height:.1pt;mso-position-horizontal-relative:page;mso-position-vertical-relative:paragraph;z-index:-251548672;mso-wrap-distance-left:0;mso-wrap-distance-right:0" coordorigin="1800,360" coordsize="2880,0" path="m1800,360l4680,360e" filled="false" stroked="true" strokeweight="0pt" strokecolor="#000000">
            <v:path arrowok="t"/>
            <v:stroke dashstyle="solid"/>
            <w10:wrap type="topAndBottom"/>
          </v:shape>
        </w:pict>
      </w:r>
    </w:p>
    <w:p>
      <w:pPr>
        <w:spacing w:before="98"/>
        <w:ind w:left="1320" w:right="0" w:firstLine="0"/>
        <w:jc w:val="left"/>
        <w:rPr>
          <w:rFonts w:ascii="Times New Roman" w:eastAsia="Times New Roman"/>
          <w:sz w:val="18"/>
        </w:rPr>
      </w:pPr>
      <w:bookmarkStart w:name="_bookmark232" w:id="278"/>
      <w:bookmarkEnd w:id="278"/>
      <w:r>
        <w:rPr/>
      </w:r>
      <w:r>
        <w:rPr>
          <w:rFonts w:ascii="Times New Roman" w:eastAsia="Times New Roman"/>
          <w:position w:val="7"/>
          <w:sz w:val="13"/>
        </w:rPr>
        <w:t>[1] </w:t>
      </w:r>
      <w:r>
        <w:rPr>
          <w:sz w:val="18"/>
        </w:rPr>
        <w:t>田潇</w:t>
      </w:r>
      <w:r>
        <w:rPr>
          <w:rFonts w:ascii="Times New Roman" w:eastAsia="Times New Roman"/>
          <w:sz w:val="18"/>
        </w:rPr>
        <w:t>.</w:t>
      </w:r>
      <w:r>
        <w:rPr>
          <w:sz w:val="18"/>
        </w:rPr>
        <w:t>日本职业生涯教育研究</w:t>
      </w:r>
      <w:r>
        <w:rPr>
          <w:rFonts w:ascii="Times New Roman" w:eastAsia="Times New Roman"/>
          <w:sz w:val="18"/>
        </w:rPr>
        <w:t>[D].</w:t>
      </w:r>
      <w:r>
        <w:rPr>
          <w:sz w:val="18"/>
        </w:rPr>
        <w:t>天津：天津大学硕士论文，</w:t>
      </w:r>
      <w:r>
        <w:rPr>
          <w:rFonts w:ascii="Times New Roman" w:eastAsia="Times New Roman"/>
          <w:sz w:val="18"/>
        </w:rPr>
        <w:t>2012</w:t>
      </w:r>
      <w:r>
        <w:rPr>
          <w:sz w:val="18"/>
        </w:rPr>
        <w:t>：</w:t>
      </w:r>
      <w:r>
        <w:rPr>
          <w:rFonts w:ascii="Times New Roman" w:eastAsia="Times New Roman"/>
          <w:sz w:val="18"/>
        </w:rPr>
        <w:t>27.</w:t>
      </w:r>
    </w:p>
    <w:p>
      <w:pPr>
        <w:spacing w:before="127"/>
        <w:ind w:left="1319" w:right="0" w:firstLine="0"/>
        <w:jc w:val="left"/>
        <w:rPr>
          <w:rFonts w:ascii="Times New Roman" w:hAnsi="Times New Roman" w:eastAsia="Times New Roman"/>
          <w:sz w:val="18"/>
        </w:rPr>
      </w:pPr>
      <w:bookmarkStart w:name="_bookmark233" w:id="279"/>
      <w:bookmarkEnd w:id="279"/>
      <w:r>
        <w:rPr/>
      </w:r>
      <w:r>
        <w:rPr>
          <w:rFonts w:ascii="Times New Roman" w:hAnsi="Times New Roman" w:eastAsia="Times New Roman"/>
          <w:position w:val="7"/>
          <w:sz w:val="13"/>
        </w:rPr>
        <w:t>[2] </w:t>
      </w:r>
      <w:r>
        <w:rPr>
          <w:sz w:val="18"/>
        </w:rPr>
        <w:t>罗汉书</w:t>
      </w:r>
      <w:r>
        <w:rPr>
          <w:rFonts w:ascii="Times New Roman" w:hAnsi="Times New Roman" w:eastAsia="Times New Roman"/>
          <w:sz w:val="18"/>
        </w:rPr>
        <w:t>.</w:t>
      </w:r>
      <w:r>
        <w:rPr>
          <w:sz w:val="18"/>
        </w:rPr>
        <w:t>职业生涯教育的国际经验剖析</w:t>
      </w:r>
      <w:r>
        <w:rPr>
          <w:rFonts w:ascii="Times New Roman" w:hAnsi="Times New Roman" w:eastAsia="Times New Roman"/>
          <w:sz w:val="18"/>
        </w:rPr>
        <w:t>[J].</w:t>
      </w:r>
      <w:r>
        <w:rPr>
          <w:sz w:val="18"/>
        </w:rPr>
        <w:t>教育发展研究，</w:t>
      </w:r>
      <w:r>
        <w:rPr>
          <w:rFonts w:ascii="Times New Roman" w:hAnsi="Times New Roman" w:eastAsia="Times New Roman"/>
          <w:sz w:val="18"/>
        </w:rPr>
        <w:t>2005</w:t>
      </w:r>
      <w:r>
        <w:rPr>
          <w:sz w:val="18"/>
        </w:rPr>
        <w:t>（</w:t>
      </w:r>
      <w:r>
        <w:rPr>
          <w:rFonts w:ascii="Times New Roman" w:hAnsi="Times New Roman" w:eastAsia="Times New Roman"/>
          <w:sz w:val="18"/>
        </w:rPr>
        <w:t>7</w:t>
      </w:r>
      <w:r>
        <w:rPr>
          <w:sz w:val="18"/>
        </w:rPr>
        <w:t>）：</w:t>
      </w:r>
      <w:r>
        <w:rPr>
          <w:rFonts w:ascii="Times New Roman" w:hAnsi="Times New Roman" w:eastAsia="Times New Roman"/>
          <w:sz w:val="18"/>
        </w:rPr>
        <w:t>42—44.</w:t>
      </w:r>
    </w:p>
    <w:p>
      <w:pPr>
        <w:spacing w:before="128"/>
        <w:ind w:left="1319" w:right="0" w:firstLine="0"/>
        <w:jc w:val="left"/>
        <w:rPr>
          <w:rFonts w:ascii="Times New Roman" w:eastAsia="Times New Roman"/>
          <w:sz w:val="18"/>
        </w:rPr>
      </w:pPr>
      <w:bookmarkStart w:name="_bookmark234" w:id="280"/>
      <w:bookmarkEnd w:id="280"/>
      <w:r>
        <w:rPr/>
      </w:r>
      <w:r>
        <w:rPr>
          <w:rFonts w:ascii="Times New Roman" w:eastAsia="Times New Roman"/>
          <w:position w:val="7"/>
          <w:sz w:val="13"/>
        </w:rPr>
        <w:t>[3] </w:t>
      </w:r>
      <w:r>
        <w:rPr>
          <w:sz w:val="18"/>
        </w:rPr>
        <w:t>郑瑞新</w:t>
      </w:r>
      <w:r>
        <w:rPr>
          <w:rFonts w:ascii="Times New Roman" w:eastAsia="Times New Roman"/>
          <w:sz w:val="18"/>
        </w:rPr>
        <w:t>.</w:t>
      </w:r>
      <w:r>
        <w:rPr>
          <w:sz w:val="18"/>
        </w:rPr>
        <w:t>普通高中职业生涯规划教育研究</w:t>
      </w:r>
      <w:r>
        <w:rPr>
          <w:rFonts w:ascii="Times New Roman" w:eastAsia="Times New Roman"/>
          <w:sz w:val="18"/>
        </w:rPr>
        <w:t>.[D].</w:t>
      </w:r>
      <w:r>
        <w:rPr>
          <w:sz w:val="18"/>
        </w:rPr>
        <w:t>石家庄：河北师范大学硕士论文，</w:t>
      </w:r>
      <w:r>
        <w:rPr>
          <w:rFonts w:ascii="Times New Roman" w:eastAsia="Times New Roman"/>
          <w:sz w:val="18"/>
        </w:rPr>
        <w:t>2009</w:t>
      </w:r>
      <w:r>
        <w:rPr>
          <w:sz w:val="18"/>
        </w:rPr>
        <w:t>：</w:t>
      </w:r>
      <w:r>
        <w:rPr>
          <w:rFonts w:ascii="Times New Roman" w:eastAsia="Times New Roman"/>
          <w:sz w:val="18"/>
        </w:rPr>
        <w:t>21.</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577"/>
      </w:pPr>
      <w:r>
        <w:rPr>
          <w:spacing w:val="-6"/>
        </w:rPr>
        <w:t>遍缺乏时间与精力进行生涯规划教育学科渗透，致使学校可调动的其他师资力量</w:t>
      </w:r>
      <w:r>
        <w:rPr/>
        <w:t>不足。</w:t>
      </w:r>
    </w:p>
    <w:p>
      <w:pPr>
        <w:pStyle w:val="BodyText"/>
        <w:spacing w:line="364" w:lineRule="auto" w:before="1"/>
        <w:ind w:left="1320" w:right="1575" w:firstLine="480"/>
        <w:jc w:val="both"/>
      </w:pPr>
      <w:r>
        <w:rPr>
          <w:spacing w:val="-10"/>
        </w:rPr>
        <w:t>第一，专业的生涯规划教育教师数量稀缺。本研究调查的 </w:t>
      </w:r>
      <w:r>
        <w:rPr>
          <w:rFonts w:ascii="Times New Roman" w:eastAsia="Times New Roman"/>
        </w:rPr>
        <w:t>5 </w:t>
      </w:r>
      <w:r>
        <w:rPr>
          <w:spacing w:val="-7"/>
        </w:rPr>
        <w:t>所高中里，每个</w:t>
      </w:r>
      <w:r>
        <w:rPr>
          <w:spacing w:val="-8"/>
        </w:rPr>
        <w:t>学校至少有几百名学生，规模大的学校学生人数甚至上千，但平均每所高中只有</w:t>
      </w:r>
      <w:r>
        <w:rPr>
          <w:rFonts w:ascii="Times New Roman" w:eastAsia="Times New Roman"/>
        </w:rPr>
        <w:t>1-2 </w:t>
      </w:r>
      <w:r>
        <w:rPr>
          <w:spacing w:val="-1"/>
        </w:rPr>
        <w:t>位心理教师在负责学生的生涯规划教育。生涯规划教育本应面向全体学生， </w:t>
      </w:r>
      <w:r>
        <w:rPr>
          <w:spacing w:val="-8"/>
        </w:rPr>
        <w:t>要为学生提供个别指导。即使每个年级有一位生涯规划教育教师，也难以满足学</w:t>
      </w:r>
      <w:r>
        <w:rPr>
          <w:spacing w:val="-10"/>
        </w:rPr>
        <w:t>生的需求，何况仅 </w:t>
      </w:r>
      <w:r>
        <w:rPr>
          <w:rFonts w:ascii="Times New Roman" w:eastAsia="Times New Roman"/>
        </w:rPr>
        <w:t>1-2 </w:t>
      </w:r>
      <w:r>
        <w:rPr>
          <w:spacing w:val="-6"/>
        </w:rPr>
        <w:t>名教师的现状，更是远远达不到理想的师生比。可见，生</w:t>
      </w:r>
      <w:r>
        <w:rPr/>
        <w:t>涯规划教育师资十分匮乏。</w:t>
      </w:r>
    </w:p>
    <w:p>
      <w:pPr>
        <w:pStyle w:val="BodyText"/>
        <w:spacing w:before="4"/>
        <w:ind w:left="1800"/>
      </w:pPr>
      <w:r>
        <w:rPr/>
        <w:t>在访谈中，一位教师表示自己实在是分身乏术，他这样谈道：</w:t>
      </w:r>
    </w:p>
    <w:p>
      <w:pPr>
        <w:pStyle w:val="BodyText"/>
      </w:pPr>
    </w:p>
    <w:p>
      <w:pPr>
        <w:pStyle w:val="BodyText"/>
        <w:rPr>
          <w:sz w:val="25"/>
        </w:rPr>
      </w:pPr>
    </w:p>
    <w:p>
      <w:pPr>
        <w:pStyle w:val="BodyText"/>
        <w:spacing w:line="364" w:lineRule="auto"/>
        <w:ind w:left="1320" w:right="1577" w:firstLine="420"/>
        <w:jc w:val="both"/>
      </w:pPr>
      <w:r>
        <w:rPr>
          <w:spacing w:val="-4"/>
        </w:rPr>
        <w:t>“学校的生涯规划教师太少，现在就我一个人，课时安排不过来，只能错开</w:t>
      </w:r>
      <w:r>
        <w:rPr>
          <w:spacing w:val="-10"/>
        </w:rPr>
        <w:t>上课时间，比如第一周至第七周给高一前 </w:t>
      </w:r>
      <w:r>
        <w:rPr>
          <w:rFonts w:ascii="Times New Roman" w:hAnsi="Times New Roman" w:eastAsia="Times New Roman"/>
        </w:rPr>
        <w:t>7 </w:t>
      </w:r>
      <w:r>
        <w:rPr>
          <w:spacing w:val="-13"/>
        </w:rPr>
        <w:t>个班级上课，剩下 </w:t>
      </w:r>
      <w:r>
        <w:rPr>
          <w:rFonts w:ascii="Times New Roman" w:hAnsi="Times New Roman" w:eastAsia="Times New Roman"/>
        </w:rPr>
        <w:t>7 </w:t>
      </w:r>
      <w:r>
        <w:rPr>
          <w:spacing w:val="-3"/>
        </w:rPr>
        <w:t>个班级的课放到</w:t>
      </w:r>
      <w:r>
        <w:rPr>
          <w:spacing w:val="-9"/>
        </w:rPr>
        <w:t>第八周至第十六周。但这样上课有一个缺点，这学期先上课的班级到下学期再接</w:t>
      </w:r>
      <w:r>
        <w:rPr>
          <w:spacing w:val="-6"/>
        </w:rPr>
        <w:t>触生涯规划教育的学习容易产生记忆断层，有些内容还需要重新教授。本就紧张</w:t>
      </w:r>
      <w:r>
        <w:rPr/>
        <w:t>的教学时间一再被压缩，教师重复劳动后教学效率低下。”</w:t>
      </w:r>
    </w:p>
    <w:p>
      <w:pPr>
        <w:pStyle w:val="BodyText"/>
        <w:spacing w:before="3"/>
        <w:ind w:left="6540"/>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Z </w:t>
      </w:r>
      <w:r>
        <w:rPr/>
        <w:t>老师，</w:t>
      </w:r>
      <w:r>
        <w:rPr>
          <w:rFonts w:ascii="Times New Roman" w:hAnsi="Times New Roman" w:eastAsia="Times New Roman"/>
        </w:rPr>
        <w:t>20161024</w:t>
      </w:r>
    </w:p>
    <w:p>
      <w:pPr>
        <w:pStyle w:val="BodyText"/>
        <w:rPr>
          <w:rFonts w:ascii="Times New Roman"/>
          <w:sz w:val="26"/>
        </w:rPr>
      </w:pPr>
    </w:p>
    <w:p>
      <w:pPr>
        <w:pStyle w:val="BodyText"/>
        <w:spacing w:before="8"/>
        <w:rPr>
          <w:rFonts w:ascii="Times New Roman"/>
          <w:sz w:val="28"/>
        </w:rPr>
      </w:pPr>
    </w:p>
    <w:p>
      <w:pPr>
        <w:pStyle w:val="BodyText"/>
        <w:ind w:left="1800"/>
      </w:pPr>
      <w:r>
        <w:rPr/>
        <w:t>学校领导在接受访谈时，直接指出生涯规划教育教师缺乏的问题：</w:t>
      </w:r>
    </w:p>
    <w:p>
      <w:pPr>
        <w:pStyle w:val="BodyText"/>
      </w:pPr>
    </w:p>
    <w:p>
      <w:pPr>
        <w:pStyle w:val="BodyText"/>
        <w:rPr>
          <w:sz w:val="25"/>
        </w:rPr>
      </w:pPr>
    </w:p>
    <w:p>
      <w:pPr>
        <w:pStyle w:val="BodyText"/>
        <w:spacing w:line="364" w:lineRule="auto" w:before="1"/>
        <w:ind w:left="1320" w:right="1297" w:firstLine="420"/>
      </w:pPr>
      <w:r>
        <w:rPr/>
        <w:t>“专业老师很缺。所以我们自己也在摸着石头过河，大多数老师都是凭自己的经验，还有凭自学，网上查资料。总的来说，经过专业培训的老师非常紧缺。”</w:t>
      </w:r>
    </w:p>
    <w:p>
      <w:pPr>
        <w:pStyle w:val="BodyText"/>
        <w:spacing w:before="1"/>
        <w:ind w:left="6513"/>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H </w:t>
      </w:r>
      <w:r>
        <w:rPr/>
        <w:t>老师，</w:t>
      </w:r>
      <w:r>
        <w:rPr>
          <w:rFonts w:ascii="Times New Roman" w:hAnsi="Times New Roman" w:eastAsia="Times New Roman"/>
        </w:rPr>
        <w:t>20161024</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457" w:firstLine="420"/>
      </w:pPr>
      <w:r>
        <w:rPr>
          <w:spacing w:val="-3"/>
        </w:rPr>
        <w:t>“现在最主要的就是缺少师资。我觉得学生好坏，哪个层次无所谓，但学校</w:t>
      </w:r>
      <w:r>
        <w:rPr>
          <w:spacing w:val="-14"/>
        </w:rPr>
        <w:t>的工作从根源上来说不是几个行政在推动，而是全体老师的参与。生涯规划教育， </w:t>
      </w:r>
      <w:r>
        <w:rPr>
          <w:spacing w:val="-5"/>
        </w:rPr>
        <w:t>如果教师指导学生的知识体系不够科学合理的时候，其实对学生是有误导的，所以专业的师资非常重要。”</w:t>
      </w:r>
    </w:p>
    <w:p>
      <w:pPr>
        <w:pStyle w:val="BodyText"/>
        <w:spacing w:before="3"/>
        <w:ind w:left="6460"/>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W </w:t>
      </w:r>
      <w:r>
        <w:rPr/>
        <w:t>教师，</w:t>
      </w:r>
      <w:r>
        <w:rPr>
          <w:rFonts w:ascii="Times New Roman" w:hAnsi="Times New Roman" w:eastAsia="Times New Roman"/>
        </w:rPr>
        <w:t>20161025</w:t>
      </w:r>
    </w:p>
    <w:p>
      <w:pPr>
        <w:spacing w:after="0"/>
        <w:rPr>
          <w:rFonts w:ascii="Times New Roman" w:hAnsi="Times New Roman" w:eastAsia="Times New Roman"/>
        </w:rPr>
        <w:sectPr>
          <w:pgSz w:w="11910" w:h="16840"/>
          <w:pgMar w:header="878" w:footer="1191" w:top="1300" w:bottom="1380" w:left="480" w:right="220"/>
        </w:sectPr>
      </w:pPr>
    </w:p>
    <w:p>
      <w:pPr>
        <w:pStyle w:val="BodyText"/>
        <w:spacing w:before="9"/>
        <w:rPr>
          <w:rFonts w:ascii="Times New Roman"/>
          <w:sz w:val="11"/>
        </w:rPr>
      </w:pPr>
    </w:p>
    <w:p>
      <w:pPr>
        <w:pStyle w:val="BodyText"/>
        <w:spacing w:before="74"/>
        <w:ind w:left="1800"/>
        <w:jc w:val="both"/>
      </w:pPr>
      <w:r>
        <w:rPr/>
        <w:t>第二，现阶段学校生涯规划教育教师的个人能力欠佳。如图 </w:t>
      </w:r>
      <w:r>
        <w:rPr>
          <w:rFonts w:ascii="Times New Roman" w:eastAsia="Times New Roman"/>
        </w:rPr>
        <w:t>4.1 </w:t>
      </w:r>
      <w:r>
        <w:rPr/>
        <w:t>所示，反映</w:t>
      </w:r>
    </w:p>
    <w:p>
      <w:pPr>
        <w:pStyle w:val="BodyText"/>
        <w:spacing w:line="364" w:lineRule="auto" w:before="161"/>
        <w:ind w:left="1320" w:right="1577"/>
        <w:jc w:val="both"/>
      </w:pPr>
      <w:r>
        <w:rPr>
          <w:spacing w:val="-5"/>
        </w:rPr>
        <w:t>了学校生涯规划教育教师第 </w:t>
      </w:r>
      <w:r>
        <w:rPr>
          <w:rFonts w:ascii="Times New Roman" w:eastAsia="Times New Roman"/>
        </w:rPr>
        <w:t>8 </w:t>
      </w:r>
      <w:r>
        <w:rPr>
          <w:spacing w:val="-11"/>
        </w:rPr>
        <w:t>题的答题情况，几乎所有的教师都表示自己仍然需</w:t>
      </w:r>
      <w:r>
        <w:rPr>
          <w:spacing w:val="-8"/>
        </w:rPr>
        <w:t>要进行学习，只有极少数的教师认为自己完全没有问题，而且仍然有 </w:t>
      </w:r>
      <w:r>
        <w:rPr>
          <w:rFonts w:ascii="Times New Roman" w:eastAsia="Times New Roman"/>
        </w:rPr>
        <w:t>14.3%</w:t>
      </w:r>
      <w:r>
        <w:rPr>
          <w:spacing w:val="-8"/>
        </w:rPr>
        <w:t>的教</w:t>
      </w:r>
      <w:r>
        <w:rPr/>
        <w:t>师认为自己完全没有能力指导学生进行生涯规划。</w:t>
      </w:r>
    </w:p>
    <w:p>
      <w:pPr>
        <w:pStyle w:val="BodyText"/>
        <w:rPr>
          <w:sz w:val="20"/>
        </w:rPr>
      </w:pPr>
    </w:p>
    <w:p>
      <w:pPr>
        <w:pStyle w:val="BodyText"/>
        <w:spacing w:before="2"/>
        <w:rPr>
          <w:sz w:val="21"/>
        </w:rPr>
      </w:pPr>
      <w:r>
        <w:rPr/>
        <w:drawing>
          <wp:anchor distT="0" distB="0" distL="0" distR="0" allowOverlap="1" layoutInCell="1" locked="0" behindDoc="0" simplePos="0" relativeHeight="108">
            <wp:simplePos x="0" y="0"/>
            <wp:positionH relativeFrom="page">
              <wp:posOffset>1248975</wp:posOffset>
            </wp:positionH>
            <wp:positionV relativeFrom="paragraph">
              <wp:posOffset>197287</wp:posOffset>
            </wp:positionV>
            <wp:extent cx="4728110" cy="1789176"/>
            <wp:effectExtent l="0" t="0" r="0" b="0"/>
            <wp:wrapTopAndBottom/>
            <wp:docPr id="69" name="image18.jpeg"/>
            <wp:cNvGraphicFramePr>
              <a:graphicFrameLocks noChangeAspect="1"/>
            </wp:cNvGraphicFramePr>
            <a:graphic>
              <a:graphicData uri="http://schemas.openxmlformats.org/drawingml/2006/picture">
                <pic:pic>
                  <pic:nvPicPr>
                    <pic:cNvPr id="70" name="image18.jpeg"/>
                    <pic:cNvPicPr/>
                  </pic:nvPicPr>
                  <pic:blipFill>
                    <a:blip r:embed="rId87" cstate="print"/>
                    <a:stretch>
                      <a:fillRect/>
                    </a:stretch>
                  </pic:blipFill>
                  <pic:spPr>
                    <a:xfrm>
                      <a:off x="0" y="0"/>
                      <a:ext cx="4728110" cy="1789176"/>
                    </a:xfrm>
                    <a:prstGeom prst="rect">
                      <a:avLst/>
                    </a:prstGeom>
                  </pic:spPr>
                </pic:pic>
              </a:graphicData>
            </a:graphic>
          </wp:anchor>
        </w:drawing>
      </w:r>
    </w:p>
    <w:p>
      <w:pPr>
        <w:pStyle w:val="BodyText"/>
        <w:spacing w:before="4"/>
        <w:rPr>
          <w:sz w:val="6"/>
        </w:rPr>
      </w:pPr>
    </w:p>
    <w:p>
      <w:pPr>
        <w:pStyle w:val="Heading3"/>
        <w:spacing w:line="429" w:lineRule="exact"/>
        <w:ind w:left="899" w:right="525"/>
        <w:jc w:val="center"/>
      </w:pPr>
      <w:r>
        <w:rPr/>
        <w:t>您认为您是否有能力对学生进行生涯规划教育</w:t>
      </w:r>
    </w:p>
    <w:p>
      <w:pPr>
        <w:pStyle w:val="BodyText"/>
        <w:spacing w:before="134"/>
        <w:ind w:right="257"/>
        <w:jc w:val="center"/>
      </w:pPr>
      <w:r>
        <w:rPr/>
        <w:t>图 4.1 教师问卷第 9 题</w:t>
      </w:r>
    </w:p>
    <w:p>
      <w:pPr>
        <w:pStyle w:val="BodyText"/>
      </w:pPr>
    </w:p>
    <w:p>
      <w:pPr>
        <w:pStyle w:val="BodyText"/>
        <w:spacing w:before="1"/>
        <w:rPr>
          <w:sz w:val="25"/>
        </w:rPr>
      </w:pPr>
    </w:p>
    <w:p>
      <w:pPr>
        <w:pStyle w:val="BodyText"/>
        <w:spacing w:line="364" w:lineRule="auto"/>
        <w:ind w:left="1320" w:right="1577" w:firstLine="480"/>
      </w:pPr>
      <w:r>
        <w:rPr>
          <w:spacing w:val="-8"/>
        </w:rPr>
        <w:t>同样的结果在访谈中也有所体现，当笔者问及老师们在开展生涯规划教育遇</w:t>
      </w:r>
      <w:r>
        <w:rPr/>
        <w:t>到的困难时，教师们普遍对自己的个人能力感到忧心忡忡：</w:t>
      </w:r>
    </w:p>
    <w:p>
      <w:pPr>
        <w:pStyle w:val="BodyText"/>
      </w:pPr>
    </w:p>
    <w:p>
      <w:pPr>
        <w:pStyle w:val="BodyText"/>
        <w:spacing w:line="364" w:lineRule="auto" w:before="162"/>
        <w:ind w:left="1320" w:right="1577" w:firstLine="420"/>
        <w:jc w:val="both"/>
      </w:pPr>
      <w:r>
        <w:rPr>
          <w:spacing w:val="-4"/>
        </w:rPr>
        <w:t>“个人的能力是我遇到的最大问题。可能自己的学习能力不够强，很多技巧</w:t>
      </w:r>
      <w:r>
        <w:rPr>
          <w:spacing w:val="-8"/>
        </w:rPr>
        <w:t>方面学习的不够好，还需要更多的培训。关键在于老师的自我提升。如果我们都</w:t>
      </w:r>
      <w:r>
        <w:rPr/>
        <w:t>做不好，学生怎么操作呢。”</w:t>
      </w:r>
    </w:p>
    <w:p>
      <w:pPr>
        <w:pStyle w:val="BodyText"/>
        <w:spacing w:before="2"/>
        <w:ind w:left="6513"/>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X </w:t>
      </w:r>
      <w:r>
        <w:rPr/>
        <w:t>教师，</w:t>
      </w:r>
      <w:r>
        <w:rPr>
          <w:rFonts w:ascii="Times New Roman" w:hAnsi="Times New Roman" w:eastAsia="Times New Roman"/>
        </w:rPr>
        <w:t>20161025</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457" w:firstLine="420"/>
      </w:pPr>
      <w:r>
        <w:rPr>
          <w:spacing w:val="-3"/>
        </w:rPr>
        <w:t>“我觉得主要是个人能力问题。就像我刚刚说的，没有专门的培养。我本身</w:t>
      </w:r>
      <w:r>
        <w:rPr>
          <w:spacing w:val="-10"/>
        </w:rPr>
        <w:t>是做心理教育的，从心理教育转到生涯规划，虽然也有相通的地方，但还是需要学习很多东西。我之前在编学校的生涯规划教育教材时，自身的知识储备不够， </w:t>
      </w:r>
      <w:r>
        <w:rPr>
          <w:spacing w:val="-17"/>
        </w:rPr>
        <w:t>需要同时参考很多书。</w:t>
      </w:r>
      <w:r>
        <w:rPr>
          <w:rFonts w:ascii="Times New Roman" w:hAnsi="Times New Roman" w:eastAsia="Times New Roman"/>
        </w:rPr>
        <w:t>8 </w:t>
      </w:r>
      <w:r>
        <w:rPr>
          <w:spacing w:val="-10"/>
        </w:rPr>
        <w:t>本书看下来，用了二三十天编一本书也是很痛苦的事情。</w:t>
      </w:r>
      <w:r>
        <w:rPr>
          <w:spacing w:val="-13"/>
        </w:rPr>
        <w:t>而且编出来之后也只是一个初步的东西，还需要调整。所以对我来说最难的就是， </w:t>
      </w:r>
      <w:r>
        <w:rPr/>
        <w:t>时间、精力、能力，整个人处于比较痛苦的状态。”</w:t>
      </w:r>
    </w:p>
    <w:p>
      <w:pPr>
        <w:pStyle w:val="BodyText"/>
        <w:spacing w:before="4"/>
        <w:ind w:left="6540"/>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Z </w:t>
      </w:r>
      <w:r>
        <w:rPr/>
        <w:t>教师，</w:t>
      </w:r>
      <w:r>
        <w:rPr>
          <w:rFonts w:ascii="Times New Roman" w:hAnsi="Times New Roman" w:eastAsia="Times New Roman"/>
        </w:rPr>
        <w:t>20161025</w:t>
      </w:r>
    </w:p>
    <w:p>
      <w:pPr>
        <w:spacing w:after="0"/>
        <w:rPr>
          <w:rFonts w:ascii="Times New Roman" w:hAnsi="Times New Roman" w:eastAsia="Times New Roman"/>
        </w:rPr>
        <w:sectPr>
          <w:pgSz w:w="11910" w:h="16840"/>
          <w:pgMar w:header="878" w:footer="1191" w:top="1300" w:bottom="1380" w:left="480" w:right="220"/>
        </w:sectPr>
      </w:pPr>
    </w:p>
    <w:p>
      <w:pPr>
        <w:pStyle w:val="BodyText"/>
        <w:rPr>
          <w:rFonts w:ascii="Times New Roman"/>
          <w:sz w:val="20"/>
        </w:rPr>
      </w:pPr>
    </w:p>
    <w:p>
      <w:pPr>
        <w:pStyle w:val="BodyText"/>
        <w:rPr>
          <w:rFonts w:ascii="Times New Roman"/>
          <w:sz w:val="20"/>
        </w:rPr>
      </w:pPr>
    </w:p>
    <w:p>
      <w:pPr>
        <w:pStyle w:val="BodyText"/>
        <w:spacing w:before="11"/>
        <w:rPr>
          <w:rFonts w:ascii="Times New Roman"/>
          <w:sz w:val="18"/>
        </w:rPr>
      </w:pPr>
    </w:p>
    <w:p>
      <w:pPr>
        <w:pStyle w:val="BodyText"/>
        <w:spacing w:line="364" w:lineRule="auto"/>
        <w:ind w:left="1320" w:right="1455" w:firstLine="480"/>
      </w:pPr>
      <w:r>
        <w:rPr>
          <w:spacing w:val="-11"/>
        </w:rPr>
        <w:t>不仅如此，从调查来看，当前普通高中的生涯规划教育教师大多从心理专业</w:t>
      </w:r>
      <w:r>
        <w:rPr>
          <w:spacing w:val="-25"/>
        </w:rPr>
        <w:t>跨界而来。对他们而言，学校生涯规划教育的开展，只是多教了一门“学科课程”，</w:t>
      </w:r>
      <w:r>
        <w:rPr>
          <w:spacing w:val="-10"/>
        </w:rPr>
        <w:t>或“选修课程”，他们依旧在心理教育的领域对学生进行指导，致使学校生涯规</w:t>
      </w:r>
      <w:r>
        <w:rPr>
          <w:spacing w:val="-14"/>
        </w:rPr>
        <w:t>划教育难以突破心理学的范畴，生涯规划教育的独立性也并未得到充分重视。即</w:t>
      </w:r>
      <w:r>
        <w:rPr>
          <w:spacing w:val="-18"/>
        </w:rPr>
        <w:t>使部分教师认识到了生涯规划教育的独特价值，但是在实际操作层面受到自身经验的限制，仍将生涯规划教育视为帮助学生选择报考专业和未来职业。</w:t>
      </w:r>
    </w:p>
    <w:p>
      <w:pPr>
        <w:pStyle w:val="BodyText"/>
        <w:spacing w:line="364" w:lineRule="auto" w:before="4"/>
        <w:ind w:left="1320" w:right="1457" w:firstLine="480"/>
      </w:pPr>
      <w:r>
        <w:rPr>
          <w:spacing w:val="-17"/>
        </w:rPr>
        <w:t>第三，除了生涯规划教育教师外，学科教师的教学任务繁重，忙于应付高考， </w:t>
      </w:r>
      <w:r>
        <w:rPr>
          <w:spacing w:val="-5"/>
        </w:rPr>
        <w:t>难以分散时间和精力对学生进行生涯规划教育，往往心有余而力不足。在这些教</w:t>
      </w:r>
      <w:r>
        <w:rPr>
          <w:spacing w:val="-8"/>
        </w:rPr>
        <w:t>师中，他们对生涯规划教育的理解存在明显的缺陷，如图 </w:t>
      </w:r>
      <w:r>
        <w:rPr>
          <w:rFonts w:ascii="Times New Roman" w:eastAsia="Times New Roman"/>
        </w:rPr>
        <w:t>4.2 </w:t>
      </w:r>
      <w:r>
        <w:rPr>
          <w:spacing w:val="-10"/>
        </w:rPr>
        <w:t>所示，仅有 </w:t>
      </w:r>
      <w:r>
        <w:rPr>
          <w:rFonts w:ascii="Times New Roman" w:eastAsia="Times New Roman"/>
        </w:rPr>
        <w:t>28.5% </w:t>
      </w:r>
      <w:r>
        <w:rPr>
          <w:spacing w:val="-6"/>
        </w:rPr>
        <w:t>的老师表明自己非常了解生涯规划教育，而大部分学科教师则表示大概知道生涯</w:t>
      </w:r>
      <w:r>
        <w:rPr>
          <w:spacing w:val="-13"/>
        </w:rPr>
        <w:t>规划教育的目标、内容等，另外，仍有 </w:t>
      </w:r>
      <w:r>
        <w:rPr>
          <w:rFonts w:ascii="Times New Roman" w:eastAsia="Times New Roman"/>
        </w:rPr>
        <w:t>28.6%</w:t>
      </w:r>
      <w:r>
        <w:rPr/>
        <w:t>的教师表示自己不太了解生涯规划</w:t>
      </w:r>
      <w:r>
        <w:rPr>
          <w:spacing w:val="-10"/>
        </w:rPr>
        <w:t>教育，只是听说过。这样的情况非常不利于生涯规划教育在学校教育教学中的渗透。</w:t>
      </w:r>
    </w:p>
    <w:p>
      <w:pPr>
        <w:pStyle w:val="BodyText"/>
        <w:rPr>
          <w:sz w:val="20"/>
        </w:rPr>
      </w:pPr>
    </w:p>
    <w:p>
      <w:pPr>
        <w:pStyle w:val="BodyText"/>
        <w:rPr>
          <w:sz w:val="20"/>
        </w:rPr>
      </w:pPr>
      <w:r>
        <w:rPr/>
        <w:drawing>
          <wp:anchor distT="0" distB="0" distL="0" distR="0" allowOverlap="1" layoutInCell="1" locked="0" behindDoc="0" simplePos="0" relativeHeight="109">
            <wp:simplePos x="0" y="0"/>
            <wp:positionH relativeFrom="page">
              <wp:posOffset>1493415</wp:posOffset>
            </wp:positionH>
            <wp:positionV relativeFrom="paragraph">
              <wp:posOffset>187977</wp:posOffset>
            </wp:positionV>
            <wp:extent cx="4584768" cy="1804415"/>
            <wp:effectExtent l="0" t="0" r="0" b="0"/>
            <wp:wrapTopAndBottom/>
            <wp:docPr id="71" name="image19.jpeg"/>
            <wp:cNvGraphicFramePr>
              <a:graphicFrameLocks noChangeAspect="1"/>
            </wp:cNvGraphicFramePr>
            <a:graphic>
              <a:graphicData uri="http://schemas.openxmlformats.org/drawingml/2006/picture">
                <pic:pic>
                  <pic:nvPicPr>
                    <pic:cNvPr id="72" name="image19.jpeg"/>
                    <pic:cNvPicPr/>
                  </pic:nvPicPr>
                  <pic:blipFill>
                    <a:blip r:embed="rId88" cstate="print"/>
                    <a:stretch>
                      <a:fillRect/>
                    </a:stretch>
                  </pic:blipFill>
                  <pic:spPr>
                    <a:xfrm>
                      <a:off x="0" y="0"/>
                      <a:ext cx="4584768" cy="1804415"/>
                    </a:xfrm>
                    <a:prstGeom prst="rect">
                      <a:avLst/>
                    </a:prstGeom>
                  </pic:spPr>
                </pic:pic>
              </a:graphicData>
            </a:graphic>
          </wp:anchor>
        </w:drawing>
      </w:r>
    </w:p>
    <w:p>
      <w:pPr>
        <w:pStyle w:val="BodyText"/>
        <w:rPr>
          <w:sz w:val="8"/>
        </w:rPr>
      </w:pPr>
    </w:p>
    <w:p>
      <w:pPr>
        <w:pStyle w:val="BodyText"/>
        <w:spacing w:before="66"/>
        <w:ind w:left="683" w:right="525"/>
        <w:jc w:val="center"/>
      </w:pPr>
      <w:r>
        <w:rPr/>
        <w:t>图 4.2 学科教师对生涯规划教育的了解情况自评</w:t>
      </w:r>
    </w:p>
    <w:p>
      <w:pPr>
        <w:pStyle w:val="BodyText"/>
      </w:pPr>
    </w:p>
    <w:p>
      <w:pPr>
        <w:pStyle w:val="BodyText"/>
        <w:spacing w:before="1"/>
        <w:rPr>
          <w:sz w:val="25"/>
        </w:rPr>
      </w:pPr>
    </w:p>
    <w:p>
      <w:pPr>
        <w:pStyle w:val="BodyText"/>
        <w:spacing w:line="364" w:lineRule="auto"/>
        <w:ind w:left="1319" w:right="1577" w:firstLine="480"/>
        <w:jc w:val="both"/>
      </w:pPr>
      <w:r>
        <w:rPr>
          <w:spacing w:val="-20"/>
        </w:rPr>
        <w:t>如图 </w:t>
      </w:r>
      <w:r>
        <w:rPr>
          <w:rFonts w:ascii="Times New Roman" w:eastAsia="Times New Roman"/>
        </w:rPr>
        <w:t>4.2 </w:t>
      </w:r>
      <w:r>
        <w:rPr>
          <w:spacing w:val="-9"/>
        </w:rPr>
        <w:t>所示，虽然有 </w:t>
      </w:r>
      <w:r>
        <w:rPr>
          <w:rFonts w:ascii="Times New Roman" w:eastAsia="Times New Roman"/>
        </w:rPr>
        <w:t>28.5%</w:t>
      </w:r>
      <w:r>
        <w:rPr>
          <w:spacing w:val="-1"/>
        </w:rPr>
        <w:t>左右的教师认为自己对于生涯规划教育非常了</w:t>
      </w:r>
      <w:r>
        <w:rPr>
          <w:spacing w:val="-10"/>
        </w:rPr>
        <w:t>解，但事实上，情况并不如调查所示那么乐观。通过笔者的访谈发现，大部分认</w:t>
      </w:r>
      <w:r>
        <w:rPr>
          <w:spacing w:val="-4"/>
        </w:rPr>
        <w:t>为自己非常了解生涯规划教育的教师实际上混淆了生涯规划教育与职业教育、职</w:t>
      </w:r>
      <w:r>
        <w:rPr>
          <w:spacing w:val="-10"/>
        </w:rPr>
        <w:t>业规划等概念，窄化了生涯规划教育的内涵，片面的将生涯规划教育的概念等同于职业规划、自我认知等概念，将其视为对学生当下的方向性指导，弱化了对学</w:t>
      </w:r>
      <w:r>
        <w:rPr/>
        <w:t>生整个生涯发展的指导与规划。</w:t>
      </w:r>
    </w:p>
    <w:p>
      <w:pPr>
        <w:spacing w:after="0" w:line="364" w:lineRule="auto"/>
        <w:jc w:val="both"/>
        <w:sectPr>
          <w:pgSz w:w="11910" w:h="16840"/>
          <w:pgMar w:header="878" w:footer="1191" w:top="1300" w:bottom="1380" w:left="480" w:right="220"/>
        </w:sectPr>
      </w:pPr>
    </w:p>
    <w:p>
      <w:pPr>
        <w:pStyle w:val="BodyText"/>
        <w:rPr>
          <w:sz w:val="20"/>
        </w:rPr>
      </w:pPr>
    </w:p>
    <w:p>
      <w:pPr>
        <w:pStyle w:val="BodyText"/>
        <w:spacing w:before="9"/>
        <w:rPr>
          <w:sz w:val="27"/>
        </w:rPr>
      </w:pPr>
    </w:p>
    <w:p>
      <w:pPr>
        <w:pStyle w:val="BodyText"/>
        <w:spacing w:line="364" w:lineRule="auto" w:before="67"/>
        <w:ind w:left="1320" w:right="1577" w:firstLine="480"/>
        <w:jc w:val="both"/>
      </w:pPr>
      <w:bookmarkStart w:name="_bookmark235" w:id="281"/>
      <w:bookmarkEnd w:id="281"/>
      <w:r>
        <w:rPr/>
      </w:r>
      <w:r>
        <w:rPr>
          <w:spacing w:val="-8"/>
        </w:rPr>
        <w:t>“生涯规划教育，其实就是指导学生做好职业规划。现在高考改革了，学生要自己选高考科目了，我们教师就要指导他，让选课跟未来的职业联系起来，做</w:t>
      </w:r>
      <w:r>
        <w:rPr/>
        <w:t>好职业指导。”</w:t>
      </w:r>
    </w:p>
    <w:p>
      <w:pPr>
        <w:pStyle w:val="BodyText"/>
        <w:spacing w:before="2"/>
        <w:ind w:left="6513"/>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H </w:t>
      </w:r>
      <w:r>
        <w:rPr/>
        <w:t>教师，</w:t>
      </w:r>
      <w:r>
        <w:rPr>
          <w:rFonts w:ascii="Times New Roman" w:hAnsi="Times New Roman" w:eastAsia="Times New Roman"/>
        </w:rPr>
        <w:t>20161025</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575" w:firstLine="480"/>
        <w:jc w:val="both"/>
      </w:pPr>
      <w:r>
        <w:rPr>
          <w:spacing w:val="-7"/>
        </w:rPr>
        <w:t>“以前我们学校也有开展的，叫做职业规划，现在改成了生涯规划教育，我</w:t>
      </w:r>
      <w:r>
        <w:rPr/>
        <w:t>认为这两个其实都差不多的，最主要的还是关于学生认识自我的一个方向性指导，让学生在高考选科时有一个大概的方向，不至于那么迷茫。”</w:t>
      </w:r>
    </w:p>
    <w:p>
      <w:pPr>
        <w:pStyle w:val="BodyText"/>
        <w:spacing w:before="2"/>
        <w:ind w:left="6513"/>
        <w:rPr>
          <w:rFonts w:ascii="Times New Roman" w:hAnsi="Times New Roman" w:eastAsia="Times New Roman"/>
        </w:rPr>
      </w:pPr>
      <w:r>
        <w:rPr>
          <w:rFonts w:ascii="Times New Roman" w:hAnsi="Times New Roman" w:eastAsia="Times New Roman"/>
        </w:rPr>
        <w:t>——K </w:t>
      </w:r>
      <w:r>
        <w:rPr/>
        <w:t>访谈，教师，</w:t>
      </w:r>
      <w:r>
        <w:rPr>
          <w:rFonts w:ascii="Times New Roman" w:hAnsi="Times New Roman" w:eastAsia="Times New Roman"/>
        </w:rPr>
        <w:t>20161025</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455" w:firstLine="480"/>
      </w:pPr>
      <w:r>
        <w:rPr>
          <w:spacing w:val="-4"/>
        </w:rPr>
        <w:t>“我觉得生涯规划教育应该要给孩子们进行树立一种意识，让学生明确一个目标。如果一个人没有目标，它就没有方向的，所以像我们在高中开展的话呢， </w:t>
      </w:r>
      <w:r>
        <w:rPr>
          <w:spacing w:val="-17"/>
        </w:rPr>
        <w:t>一个使学生的高考更具有针对性，第二，让学生未来的学习、生活明确更加清晰。</w:t>
      </w:r>
      <w:r>
        <w:rPr>
          <w:spacing w:val="-4"/>
        </w:rPr>
        <w:t>所以我觉得生涯规划教育的重点是学生进行职业规划。特别是选课，现在的学生选课是一个非常重要的转折点，如果学生有了职业规划，就像做事情有个方向， 有一个目标，可以少走很多弯路。”</w:t>
      </w:r>
    </w:p>
    <w:p>
      <w:pPr>
        <w:pStyle w:val="BodyText"/>
        <w:spacing w:before="4"/>
        <w:ind w:left="6540"/>
        <w:rPr>
          <w:rFonts w:ascii="Times New Roman" w:hAnsi="Times New Roman" w:eastAsia="Times New Roman"/>
        </w:rPr>
      </w:pPr>
      <w:r>
        <w:rPr/>
        <w:t>——访谈，</w:t>
      </w:r>
      <w:r>
        <w:rPr>
          <w:rFonts w:ascii="Times New Roman" w:hAnsi="Times New Roman" w:eastAsia="Times New Roman"/>
        </w:rPr>
        <w:t>L </w:t>
      </w:r>
      <w:r>
        <w:rPr/>
        <w:t>教师，</w:t>
      </w:r>
      <w:r>
        <w:rPr>
          <w:rFonts w:ascii="Times New Roman" w:hAnsi="Times New Roman" w:eastAsia="Times New Roman"/>
        </w:rPr>
        <w:t>20161025</w:t>
      </w:r>
    </w:p>
    <w:p>
      <w:pPr>
        <w:pStyle w:val="BodyText"/>
        <w:rPr>
          <w:rFonts w:ascii="Times New Roman"/>
          <w:sz w:val="26"/>
        </w:rPr>
      </w:pPr>
    </w:p>
    <w:p>
      <w:pPr>
        <w:pStyle w:val="BodyText"/>
        <w:spacing w:before="7"/>
        <w:rPr>
          <w:rFonts w:ascii="Times New Roman"/>
          <w:sz w:val="28"/>
        </w:rPr>
      </w:pPr>
    </w:p>
    <w:p>
      <w:pPr>
        <w:pStyle w:val="BodyText"/>
        <w:spacing w:line="364" w:lineRule="auto" w:before="1"/>
        <w:ind w:left="1320" w:right="1577" w:firstLine="480"/>
        <w:jc w:val="both"/>
      </w:pPr>
      <w:r>
        <w:rPr>
          <w:spacing w:val="-10"/>
        </w:rPr>
        <w:t>由此可见，我国普通高中开展生涯规划教育在师资方面面临重重困难，大部</w:t>
      </w:r>
      <w:r>
        <w:rPr>
          <w:spacing w:val="-6"/>
        </w:rPr>
        <w:t>分学校内缺乏专业的生涯规划教育师资力量，学科教师又对生涯规划教育缺乏认</w:t>
      </w:r>
      <w:r>
        <w:rPr>
          <w:spacing w:val="-10"/>
        </w:rPr>
        <w:t>识，应试教育的压力也使得教师们对于开展生涯规划教育有心无力。鉴于我国普</w:t>
      </w:r>
      <w:r>
        <w:rPr>
          <w:spacing w:val="-8"/>
        </w:rPr>
        <w:t>通高中生涯规划教育的师资状况，培养高质量的生涯规划教育指导教师已经刻不</w:t>
      </w:r>
      <w:r>
        <w:rPr/>
        <w:t>容缓。</w:t>
      </w:r>
    </w:p>
    <w:p>
      <w:pPr>
        <w:pStyle w:val="BodyText"/>
        <w:spacing w:before="5"/>
        <w:rPr>
          <w:sz w:val="23"/>
        </w:rPr>
      </w:pPr>
    </w:p>
    <w:p>
      <w:pPr>
        <w:pStyle w:val="ListParagraph"/>
        <w:numPr>
          <w:ilvl w:val="2"/>
          <w:numId w:val="42"/>
        </w:numPr>
        <w:tabs>
          <w:tab w:pos="1920" w:val="left" w:leader="none"/>
        </w:tabs>
        <w:spacing w:line="240" w:lineRule="auto" w:before="1" w:after="0"/>
        <w:ind w:left="1920" w:right="0" w:hanging="600"/>
        <w:jc w:val="left"/>
        <w:rPr>
          <w:sz w:val="24"/>
        </w:rPr>
      </w:pPr>
      <w:r>
        <w:rPr>
          <w:sz w:val="24"/>
        </w:rPr>
        <w:t>生涯规划教育管理欠缺</w:t>
      </w:r>
    </w:p>
    <w:p>
      <w:pPr>
        <w:pStyle w:val="BodyText"/>
        <w:spacing w:before="7"/>
        <w:rPr>
          <w:sz w:val="35"/>
        </w:rPr>
      </w:pPr>
    </w:p>
    <w:p>
      <w:pPr>
        <w:pStyle w:val="ListParagraph"/>
        <w:numPr>
          <w:ilvl w:val="3"/>
          <w:numId w:val="42"/>
        </w:numPr>
        <w:tabs>
          <w:tab w:pos="2100" w:val="left" w:leader="none"/>
        </w:tabs>
        <w:spacing w:line="240" w:lineRule="auto" w:before="0" w:after="0"/>
        <w:ind w:left="2100" w:right="0" w:hanging="780"/>
        <w:jc w:val="left"/>
        <w:rPr>
          <w:sz w:val="24"/>
        </w:rPr>
      </w:pPr>
      <w:r>
        <w:rPr>
          <w:sz w:val="24"/>
        </w:rPr>
        <w:t>国家缺乏统一的管理</w:t>
      </w:r>
    </w:p>
    <w:p>
      <w:pPr>
        <w:pStyle w:val="BodyText"/>
        <w:spacing w:before="160"/>
        <w:ind w:left="685" w:right="525"/>
        <w:jc w:val="center"/>
      </w:pPr>
      <w:r>
        <w:rPr/>
        <w:t>从国家层面看来，国家教育主管部门和各级各类职能部门缺乏对学校生涯规</w:t>
      </w:r>
    </w:p>
    <w:p>
      <w:pPr>
        <w:spacing w:after="0"/>
        <w:jc w:val="center"/>
        <w:sectPr>
          <w:pgSz w:w="11910" w:h="16840"/>
          <w:pgMar w:header="878" w:footer="1191" w:top="1300" w:bottom="1380" w:left="480" w:right="220"/>
        </w:sectPr>
      </w:pPr>
    </w:p>
    <w:p>
      <w:pPr>
        <w:pStyle w:val="BodyText"/>
        <w:spacing w:before="1"/>
        <w:rPr>
          <w:sz w:val="10"/>
        </w:rPr>
      </w:pPr>
    </w:p>
    <w:p>
      <w:pPr>
        <w:pStyle w:val="BodyText"/>
        <w:spacing w:line="364" w:lineRule="auto" w:before="81"/>
        <w:ind w:left="1799" w:right="1485" w:hanging="480"/>
      </w:pPr>
      <w:r>
        <w:rPr/>
        <w:t>划教育的管理，并未充分发挥其对普通高中生涯规划教育的领导与评价作用。</w:t>
      </w:r>
      <w:hyperlink w:history="true" w:anchor="_bookmark236">
        <w:r>
          <w:rPr>
            <w:rFonts w:ascii="Times New Roman" w:eastAsia="Times New Roman"/>
            <w:position w:val="8"/>
            <w:sz w:val="15"/>
          </w:rPr>
          <w:t>[1</w:t>
        </w:r>
      </w:hyperlink>
      <w:r>
        <w:rPr>
          <w:rFonts w:ascii="Times New Roman" w:eastAsia="Times New Roman"/>
          <w:position w:val="8"/>
          <w:sz w:val="15"/>
        </w:rPr>
        <w:t>] </w:t>
      </w:r>
      <w:r>
        <w:rPr/>
        <w:t>一方面，现阶段我国并未组建专家团队研制生涯规划教育的整体实施框架，</w:t>
      </w:r>
    </w:p>
    <w:p>
      <w:pPr>
        <w:pStyle w:val="BodyText"/>
        <w:spacing w:line="364" w:lineRule="auto" w:before="1"/>
        <w:ind w:left="1319" w:right="1365"/>
      </w:pPr>
      <w:r>
        <w:rPr>
          <w:spacing w:val="-5"/>
        </w:rPr>
        <w:t>缺乏对我国各阶段学校生涯规划教育的目标、内容、实施方式等进行系统、规范</w:t>
      </w:r>
      <w:r>
        <w:rPr>
          <w:spacing w:val="-11"/>
        </w:rPr>
        <w:t>的设计。没有缺乏生涯规划教育实施标准的引领，学校不得不“摸着石头过河”， </w:t>
      </w:r>
      <w:r>
        <w:rPr>
          <w:spacing w:val="-7"/>
        </w:rPr>
        <w:t>进行自主探索和实践。学校领导在谈到开展中遇到的困难时，明确提出了目前学校生涯规划教育的开展缺乏较为规范和系统的实施标准：</w:t>
      </w:r>
    </w:p>
    <w:p>
      <w:pPr>
        <w:pStyle w:val="BodyText"/>
      </w:pPr>
    </w:p>
    <w:p>
      <w:pPr>
        <w:pStyle w:val="BodyText"/>
        <w:spacing w:line="364" w:lineRule="auto" w:before="163"/>
        <w:ind w:left="1319" w:right="1455" w:firstLine="480"/>
      </w:pPr>
      <w:r>
        <w:rPr>
          <w:spacing w:val="-6"/>
        </w:rPr>
        <w:t>“现在实施这个生涯规划教育，它没有一个统一标准。你想，一般的课程实</w:t>
      </w:r>
      <w:r>
        <w:rPr>
          <w:spacing w:val="-10"/>
        </w:rPr>
        <w:t>施，都有统一的课程标准，但生涯规划教育，现在还没有这个标准，所以实施起</w:t>
      </w:r>
      <w:r>
        <w:rPr>
          <w:spacing w:val="-18"/>
        </w:rPr>
        <w:t>来就很困难，就靠着学校的几位老师去研究，真的很吃力。现在情况稍微好点了， </w:t>
      </w:r>
      <w:r>
        <w:rPr/>
        <w:t>新高考刚出来那会，真是一言难尽。”</w:t>
      </w:r>
    </w:p>
    <w:p>
      <w:pPr>
        <w:pStyle w:val="BodyText"/>
        <w:spacing w:before="2"/>
        <w:ind w:left="6525"/>
        <w:rPr>
          <w:rFonts w:ascii="Times New Roman" w:hAnsi="Times New Roman" w:eastAsia="Times New Roman"/>
        </w:rPr>
      </w:pPr>
      <w:r>
        <w:rPr/>
        <w:t>——访谈，</w:t>
      </w:r>
      <w:r>
        <w:rPr>
          <w:rFonts w:ascii="Times New Roman" w:hAnsi="Times New Roman" w:eastAsia="Times New Roman"/>
        </w:rPr>
        <w:t>C </w:t>
      </w:r>
      <w:r>
        <w:rPr/>
        <w:t>领导，</w:t>
      </w:r>
      <w:r>
        <w:rPr>
          <w:rFonts w:ascii="Times New Roman" w:hAnsi="Times New Roman" w:eastAsia="Times New Roman"/>
        </w:rPr>
        <w:t>20161025</w:t>
      </w:r>
    </w:p>
    <w:p>
      <w:pPr>
        <w:pStyle w:val="BodyText"/>
        <w:rPr>
          <w:rFonts w:ascii="Times New Roman"/>
          <w:sz w:val="26"/>
        </w:rPr>
      </w:pPr>
    </w:p>
    <w:p>
      <w:pPr>
        <w:pStyle w:val="BodyText"/>
        <w:spacing w:before="8"/>
        <w:rPr>
          <w:rFonts w:ascii="Times New Roman"/>
          <w:sz w:val="28"/>
        </w:rPr>
      </w:pPr>
    </w:p>
    <w:p>
      <w:pPr>
        <w:pStyle w:val="BodyText"/>
        <w:spacing w:line="364" w:lineRule="auto"/>
        <w:ind w:left="1320" w:right="1485" w:firstLine="480"/>
      </w:pPr>
      <w:r>
        <w:rPr>
          <w:spacing w:val="-9"/>
        </w:rPr>
        <w:t>另一方面，评价机制的欠缺，导致了学校在实施过程中，难以对于生涯规划</w:t>
      </w:r>
      <w:r>
        <w:rPr>
          <w:spacing w:val="-10"/>
        </w:rPr>
        <w:t>教育的适切性做出正确的评估，不利于学校生涯规划教育的进一步推进和发展， </w:t>
      </w:r>
      <w:r>
        <w:rPr>
          <w:spacing w:val="-4"/>
        </w:rPr>
        <w:t>也在一定程度上降低了学校开展生涯规划教育的积极性。访谈中，一位学校领导人在谈到生涯规划教育的困难时这样表示：</w:t>
      </w:r>
    </w:p>
    <w:p>
      <w:pPr>
        <w:pStyle w:val="BodyText"/>
      </w:pPr>
    </w:p>
    <w:p>
      <w:pPr>
        <w:pStyle w:val="BodyText"/>
        <w:spacing w:line="364" w:lineRule="auto" w:before="163"/>
        <w:ind w:left="1320" w:right="1457" w:firstLine="480"/>
      </w:pPr>
      <w:r>
        <w:rPr>
          <w:spacing w:val="-4"/>
        </w:rPr>
        <w:t>“我们现在遇到的最大困难是不知道怎么开展生涯规划教育。不开展是不可</w:t>
      </w:r>
      <w:r>
        <w:rPr>
          <w:spacing w:val="-10"/>
        </w:rPr>
        <w:t>能的，学生需要生涯规划教育。那么，现在只能凭我们的老师自己摸索，自己去</w:t>
      </w:r>
      <w:r>
        <w:rPr>
          <w:spacing w:val="-11"/>
        </w:rPr>
        <w:t>尝试，多试几次，看看这样做对不对，对学生有没有帮助。我们只能根据学生的</w:t>
      </w:r>
      <w:r>
        <w:rPr>
          <w:spacing w:val="-21"/>
        </w:rPr>
        <w:t>反馈来检查生涯规划教育的效果，再进行改进。如果有相应的评价体系进行引导， </w:t>
      </w:r>
      <w:r>
        <w:rPr/>
        <w:t>或者说实施标准，那么实施起来应该也会更得心应手。”</w:t>
      </w:r>
    </w:p>
    <w:p>
      <w:pPr>
        <w:pStyle w:val="BodyText"/>
        <w:spacing w:before="3"/>
        <w:ind w:left="6525"/>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B </w:t>
      </w:r>
      <w:r>
        <w:rPr/>
        <w:t>领导，</w:t>
      </w:r>
      <w:r>
        <w:rPr>
          <w:rFonts w:ascii="Times New Roman" w:hAnsi="Times New Roman" w:eastAsia="Times New Roman"/>
        </w:rPr>
        <w:t>20161025</w:t>
      </w:r>
    </w:p>
    <w:p>
      <w:pPr>
        <w:pStyle w:val="BodyText"/>
        <w:rPr>
          <w:rFonts w:ascii="Times New Roman"/>
          <w:sz w:val="26"/>
        </w:rPr>
      </w:pPr>
    </w:p>
    <w:p>
      <w:pPr>
        <w:pStyle w:val="BodyText"/>
        <w:spacing w:before="7"/>
        <w:rPr>
          <w:rFonts w:ascii="Times New Roman"/>
          <w:sz w:val="28"/>
        </w:rPr>
      </w:pPr>
    </w:p>
    <w:p>
      <w:pPr>
        <w:pStyle w:val="ListParagraph"/>
        <w:numPr>
          <w:ilvl w:val="3"/>
          <w:numId w:val="42"/>
        </w:numPr>
        <w:tabs>
          <w:tab w:pos="2100" w:val="left" w:leader="none"/>
        </w:tabs>
        <w:spacing w:line="240" w:lineRule="auto" w:before="0" w:after="0"/>
        <w:ind w:left="2100" w:right="0" w:hanging="780"/>
        <w:jc w:val="left"/>
        <w:rPr>
          <w:sz w:val="24"/>
        </w:rPr>
      </w:pPr>
      <w:r>
        <w:rPr>
          <w:sz w:val="24"/>
        </w:rPr>
        <w:t>学校仍在探索生涯规划教育管理体系</w:t>
      </w:r>
    </w:p>
    <w:p>
      <w:pPr>
        <w:pStyle w:val="BodyText"/>
        <w:spacing w:line="364" w:lineRule="auto" w:before="161"/>
        <w:ind w:left="1320" w:right="1577" w:firstLine="480"/>
      </w:pPr>
      <w:r>
        <w:rPr>
          <w:spacing w:val="-11"/>
        </w:rPr>
        <w:t>从学校层面来看，当前大部分学校尚处于探索生涯规划教育管理体系的过程之中。调查显示，学校已经由领导牵头或者在生涯规划教育教师的带领下，组建</w:t>
      </w:r>
    </w:p>
    <w:p>
      <w:pPr>
        <w:pStyle w:val="BodyText"/>
        <w:spacing w:before="1"/>
        <w:rPr>
          <w:sz w:val="19"/>
        </w:rPr>
      </w:pPr>
      <w:r>
        <w:rPr/>
        <w:pict>
          <v:shape style="position:absolute;margin-left:90pt;margin-top:14.207383pt;width:144pt;height:.1pt;mso-position-horizontal-relative:page;mso-position-vertical-relative:paragraph;z-index:-251545600;mso-wrap-distance-left:0;mso-wrap-distance-right:0" coordorigin="1800,284" coordsize="2880,0" path="m1800,284l4680,284e" filled="false" stroked="true" strokeweight="0pt" strokecolor="#000000">
            <v:path arrowok="t"/>
            <v:stroke dashstyle="solid"/>
            <w10:wrap type="topAndBottom"/>
          </v:shape>
        </w:pict>
      </w:r>
    </w:p>
    <w:p>
      <w:pPr>
        <w:spacing w:before="99"/>
        <w:ind w:left="1320" w:right="0" w:firstLine="0"/>
        <w:jc w:val="left"/>
        <w:rPr>
          <w:rFonts w:ascii="Times New Roman" w:eastAsia="Times New Roman"/>
          <w:sz w:val="18"/>
        </w:rPr>
      </w:pPr>
      <w:bookmarkStart w:name="_bookmark236" w:id="282"/>
      <w:bookmarkEnd w:id="282"/>
      <w:r>
        <w:rPr/>
      </w:r>
      <w:r>
        <w:rPr>
          <w:rFonts w:ascii="Times New Roman" w:eastAsia="Times New Roman"/>
          <w:position w:val="7"/>
          <w:sz w:val="13"/>
        </w:rPr>
        <w:t>[1] </w:t>
      </w:r>
      <w:r>
        <w:rPr>
          <w:sz w:val="18"/>
        </w:rPr>
        <w:t>史玉霞</w:t>
      </w:r>
      <w:r>
        <w:rPr>
          <w:rFonts w:ascii="Times New Roman" w:eastAsia="Times New Roman"/>
          <w:sz w:val="18"/>
        </w:rPr>
        <w:t>.</w:t>
      </w:r>
      <w:r>
        <w:rPr>
          <w:sz w:val="18"/>
        </w:rPr>
        <w:t>普通高中生涯教育存在问题及对策研究</w:t>
      </w:r>
      <w:r>
        <w:rPr>
          <w:rFonts w:ascii="Times New Roman" w:eastAsia="Times New Roman"/>
          <w:sz w:val="18"/>
        </w:rPr>
        <w:t>.[D].</w:t>
      </w:r>
      <w:r>
        <w:rPr>
          <w:sz w:val="18"/>
        </w:rPr>
        <w:t>烟台市：鲁东大学硕士论文</w:t>
      </w:r>
      <w:r>
        <w:rPr>
          <w:rFonts w:ascii="Times New Roman" w:eastAsia="Times New Roman"/>
          <w:sz w:val="18"/>
        </w:rPr>
        <w:t>.2013</w:t>
      </w:r>
      <w:r>
        <w:rPr>
          <w:sz w:val="18"/>
        </w:rPr>
        <w:t>：</w:t>
      </w:r>
      <w:r>
        <w:rPr>
          <w:rFonts w:ascii="Times New Roman" w:eastAsia="Times New Roman"/>
          <w:sz w:val="18"/>
        </w:rPr>
        <w:t>18.</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457"/>
      </w:pPr>
      <w:r>
        <w:rPr>
          <w:spacing w:val="-5"/>
        </w:rPr>
        <w:t>了生涯规划教育生涯规划教育的专项工作小组，成立了学校的生涯规划教育指导</w:t>
      </w:r>
      <w:r>
        <w:rPr>
          <w:spacing w:val="-21"/>
        </w:rPr>
        <w:t>中心</w:t>
      </w:r>
      <w:r>
        <w:rPr/>
        <w:t>（</w:t>
      </w:r>
      <w:r>
        <w:rPr>
          <w:spacing w:val="-6"/>
        </w:rPr>
        <w:t>或“生涯指导中心</w:t>
      </w:r>
      <w:r>
        <w:rPr>
          <w:spacing w:val="-36"/>
        </w:rPr>
        <w:t>”）</w:t>
      </w:r>
      <w:r>
        <w:rPr>
          <w:spacing w:val="-10"/>
        </w:rPr>
        <w:t>。不容忽视的是，这一组织机构本身存在诸多问题， </w:t>
      </w:r>
      <w:r>
        <w:rPr/>
        <w:t>例如，指导中心内部的职能分工不够明确，评价与考核机制尚未形成等。</w:t>
      </w:r>
    </w:p>
    <w:p>
      <w:pPr>
        <w:pStyle w:val="BodyText"/>
        <w:spacing w:line="364" w:lineRule="auto" w:before="2"/>
        <w:ind w:left="1320" w:right="1577" w:firstLine="480"/>
        <w:jc w:val="both"/>
      </w:pPr>
      <w:r>
        <w:rPr>
          <w:spacing w:val="-11"/>
        </w:rPr>
        <w:t>访谈中，一位学校领导指出，学校已经组建了团队，把学校相关的老师都纳</w:t>
      </w:r>
      <w:r>
        <w:rPr>
          <w:spacing w:val="-10"/>
        </w:rPr>
        <w:t>入了团队中。学校领导寄希调动教师团队的力量力行生涯规划教育，但最终因教</w:t>
      </w:r>
      <w:r>
        <w:rPr/>
        <w:t>师的职责、指导内容和指导标准不明确等问题，指导效果并不理想。</w:t>
      </w:r>
    </w:p>
    <w:p>
      <w:pPr>
        <w:pStyle w:val="BodyText"/>
      </w:pPr>
    </w:p>
    <w:p>
      <w:pPr>
        <w:pStyle w:val="BodyText"/>
        <w:spacing w:line="364" w:lineRule="auto" w:before="162"/>
        <w:ind w:left="1320" w:right="1457" w:firstLine="480"/>
      </w:pPr>
      <w:r>
        <w:rPr/>
        <w:t>“关于学校生涯规划指导管理，我们有一个团队，成员主要包括心理老师、</w:t>
      </w:r>
      <w:r>
        <w:rPr>
          <w:spacing w:val="-8"/>
        </w:rPr>
        <w:t>德育线和教学岗的老师。然而，效果并不显著。我们在制定制度的时候把他们考</w:t>
      </w:r>
      <w:r>
        <w:rPr>
          <w:spacing w:val="-17"/>
        </w:rPr>
        <w:t>虑进来了，不过在实施过程中并没有给他们提出明确的要求，具体的任务和责任。</w:t>
      </w:r>
      <w:r>
        <w:rPr/>
        <w:t>我们也有德育导师做学生的生涯导师，老师们或多或少会渗透生涯规划的内容， 不过对老师的工作内容并没有硬性任务和硬性指标。”</w:t>
      </w:r>
    </w:p>
    <w:p>
      <w:pPr>
        <w:pStyle w:val="BodyText"/>
        <w:spacing w:before="3"/>
        <w:ind w:left="6045"/>
        <w:rPr>
          <w:rFonts w:ascii="Times New Roman" w:hAnsi="Times New Roman" w:eastAsia="Times New Roman"/>
        </w:rPr>
      </w:pPr>
      <w:r>
        <w:rPr/>
        <w:t>——访谈，</w:t>
      </w:r>
      <w:r>
        <w:rPr>
          <w:rFonts w:ascii="Times New Roman" w:hAnsi="Times New Roman" w:eastAsia="Times New Roman"/>
        </w:rPr>
        <w:t>B </w:t>
      </w:r>
      <w:r>
        <w:rPr/>
        <w:t>中学领导，</w:t>
      </w:r>
      <w:r>
        <w:rPr>
          <w:rFonts w:ascii="Times New Roman" w:hAnsi="Times New Roman" w:eastAsia="Times New Roman"/>
        </w:rPr>
        <w:t>20161025</w:t>
      </w:r>
    </w:p>
    <w:p>
      <w:pPr>
        <w:pStyle w:val="BodyText"/>
        <w:rPr>
          <w:rFonts w:ascii="Times New Roman"/>
          <w:sz w:val="26"/>
        </w:rPr>
      </w:pPr>
    </w:p>
    <w:p>
      <w:pPr>
        <w:pStyle w:val="BodyText"/>
        <w:spacing w:before="7"/>
        <w:rPr>
          <w:rFonts w:ascii="Times New Roman"/>
          <w:sz w:val="28"/>
        </w:rPr>
      </w:pPr>
    </w:p>
    <w:p>
      <w:pPr>
        <w:pStyle w:val="BodyText"/>
        <w:spacing w:line="364" w:lineRule="auto" w:before="1"/>
        <w:ind w:left="1320" w:right="1485" w:firstLine="480"/>
      </w:pPr>
      <w:r>
        <w:rPr>
          <w:spacing w:val="-9"/>
        </w:rPr>
        <w:t>另外，学校生涯规划教育指导中心的老师也表示，在生涯规划教育活动实施</w:t>
      </w:r>
      <w:r>
        <w:rPr>
          <w:spacing w:val="-10"/>
        </w:rPr>
        <w:t>过程中，不知道该如何调动学校其他教师的积极性，用以协调各项工作的开展。</w:t>
      </w:r>
      <w:r>
        <w:rPr>
          <w:spacing w:val="-4"/>
        </w:rPr>
        <w:t>他们认为学校层面有关生涯规划教育指导中心教师的考核机制、奖励机制有待完善。</w:t>
      </w:r>
    </w:p>
    <w:p>
      <w:pPr>
        <w:pStyle w:val="BodyText"/>
      </w:pPr>
    </w:p>
    <w:p>
      <w:pPr>
        <w:pStyle w:val="BodyText"/>
        <w:spacing w:line="364" w:lineRule="auto" w:before="163"/>
        <w:ind w:left="1320" w:right="1457" w:firstLine="480"/>
      </w:pPr>
      <w:r>
        <w:rPr>
          <w:spacing w:val="-16"/>
        </w:rPr>
        <w:t>“生涯规划指导中心，是我们心理老师牵头的，当初规划的时候由德育老师、</w:t>
      </w:r>
      <w:r>
        <w:rPr>
          <w:spacing w:val="-6"/>
        </w:rPr>
        <w:t>班主任以及任课教师组成。但现在，真正在推的只有个别老师，完全靠的是老师</w:t>
      </w:r>
      <w:r>
        <w:rPr>
          <w:spacing w:val="-11"/>
        </w:rPr>
        <w:t>的自觉。就拿导师制来说，老师们平常上课都已经很忙了，课余时间还要给学生</w:t>
      </w:r>
      <w:r>
        <w:rPr>
          <w:spacing w:val="-12"/>
        </w:rPr>
        <w:t>做指导，纯粹是义务劳动，对老师的工作没有考评，更没有相应的奖励，哪个老师愿意去做啊！”</w:t>
      </w:r>
    </w:p>
    <w:p>
      <w:pPr>
        <w:pStyle w:val="BodyText"/>
        <w:spacing w:before="3"/>
        <w:ind w:left="6540"/>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Z</w:t>
      </w:r>
      <w:r>
        <w:rPr>
          <w:rFonts w:ascii="Times New Roman" w:hAnsi="Times New Roman" w:eastAsia="Times New Roman"/>
          <w:spacing w:val="-1"/>
        </w:rPr>
        <w:t> </w:t>
      </w:r>
      <w:r>
        <w:rPr/>
        <w:t>教师，</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577" w:firstLine="480"/>
        <w:jc w:val="both"/>
      </w:pPr>
      <w:r>
        <w:rPr>
          <w:spacing w:val="-7"/>
        </w:rPr>
        <w:t>“我们的生涯指导中心才成立，各项工作都还在摸索。磕磕绊绊的，但好歹</w:t>
      </w:r>
      <w:r>
        <w:rPr>
          <w:spacing w:val="-10"/>
        </w:rPr>
        <w:t>也在前进。不过，有时想推一个活动，也会遇到阻力。比如说，我们之前策划了</w:t>
      </w:r>
      <w:r>
        <w:rPr>
          <w:spacing w:val="-8"/>
        </w:rPr>
        <w:t>一个高二的义卖活动，这个活动需要团委、行政组、德育组老师的配合，我们设</w:t>
      </w:r>
    </w:p>
    <w:p>
      <w:pPr>
        <w:spacing w:after="0" w:line="364" w:lineRule="auto"/>
        <w:jc w:val="both"/>
        <w:sectPr>
          <w:pgSz w:w="11910" w:h="16840"/>
          <w:pgMar w:header="878" w:footer="1191" w:top="1300" w:bottom="1380" w:left="480" w:right="220"/>
        </w:sectPr>
      </w:pPr>
    </w:p>
    <w:p>
      <w:pPr>
        <w:pStyle w:val="BodyText"/>
        <w:spacing w:before="3"/>
        <w:rPr>
          <w:sz w:val="11"/>
        </w:rPr>
      </w:pPr>
    </w:p>
    <w:p>
      <w:pPr>
        <w:pStyle w:val="BodyText"/>
        <w:spacing w:line="364" w:lineRule="auto" w:before="66"/>
        <w:ind w:left="1320" w:right="1577"/>
        <w:jc w:val="both"/>
      </w:pPr>
      <w:r>
        <w:rPr>
          <w:spacing w:val="-7"/>
        </w:rPr>
        <w:t>想把义卖活动与生涯规划挂钩，希望老师对学生的义卖进行指导，整个活动从准</w:t>
      </w:r>
      <w:r>
        <w:rPr>
          <w:spacing w:val="-8"/>
        </w:rPr>
        <w:t>备到结束后的指导，持续半个月吧！但是，大部分老师都表示太占用时间，后来</w:t>
      </w:r>
      <w:r>
        <w:rPr/>
        <w:t>不了了之。”</w:t>
      </w:r>
    </w:p>
    <w:p>
      <w:pPr>
        <w:pStyle w:val="BodyText"/>
        <w:spacing w:before="2"/>
        <w:ind w:left="6552"/>
        <w:rPr>
          <w:rFonts w:ascii="Times New Roman" w:hAnsi="Times New Roman" w:eastAsia="Times New Roman"/>
        </w:rPr>
      </w:pPr>
      <w:r>
        <w:rPr>
          <w:rFonts w:ascii="Times New Roman" w:hAnsi="Times New Roman" w:eastAsia="Times New Roman"/>
        </w:rPr>
        <w:t>——</w:t>
      </w:r>
      <w:r>
        <w:rPr/>
        <w:t>访谈，</w:t>
      </w:r>
      <w:r>
        <w:rPr>
          <w:rFonts w:ascii="Times New Roman" w:hAnsi="Times New Roman" w:eastAsia="Times New Roman"/>
        </w:rPr>
        <w:t>F </w:t>
      </w:r>
      <w:r>
        <w:rPr/>
        <w:t>教师，</w:t>
      </w:r>
      <w:r>
        <w:rPr>
          <w:rFonts w:ascii="Times New Roman" w:hAnsi="Times New Roman" w:eastAsia="Times New Roman"/>
        </w:rPr>
        <w:t>20161026</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577" w:firstLine="480"/>
        <w:jc w:val="both"/>
      </w:pPr>
      <w:r>
        <w:rPr>
          <w:spacing w:val="-10"/>
        </w:rPr>
        <w:t>另外，学校层面对生涯规划教育的整体布局也有待优化。生涯规划教育基本</w:t>
      </w:r>
      <w:r>
        <w:rPr>
          <w:spacing w:val="-6"/>
        </w:rPr>
        <w:t>上零散地分布在学校的教学与管理中，有时利用心理课或者德育课进行渗透，远</w:t>
      </w:r>
      <w:r>
        <w:rPr>
          <w:spacing w:val="-7"/>
        </w:rPr>
        <w:t>不能满足学生的实际需求。学校开展的生涯规划教育活动也不成体系，导致一些</w:t>
      </w:r>
      <w:r>
        <w:rPr>
          <w:spacing w:val="-10"/>
        </w:rPr>
        <w:t>活动流于形式，并真正发挥其应有的指导作用，还有一些本该纳入生涯规划教育</w:t>
      </w:r>
      <w:r>
        <w:rPr/>
        <w:t>的活动也未得到重视，造成了学校生涯规划教育效果不佳。</w:t>
      </w:r>
    </w:p>
    <w:p>
      <w:pPr>
        <w:spacing w:after="0" w:line="364" w:lineRule="auto"/>
        <w:jc w:val="both"/>
        <w:sectPr>
          <w:pgSz w:w="11910" w:h="16840"/>
          <w:pgMar w:header="878" w:footer="1191" w:top="1300" w:bottom="1380" w:left="480" w:right="220"/>
        </w:sectPr>
      </w:pPr>
    </w:p>
    <w:p>
      <w:pPr>
        <w:pStyle w:val="BodyText"/>
        <w:spacing w:before="2"/>
        <w:rPr>
          <w:sz w:val="19"/>
        </w:rPr>
      </w:pPr>
    </w:p>
    <w:p>
      <w:pPr>
        <w:pStyle w:val="Heading1"/>
        <w:numPr>
          <w:ilvl w:val="0"/>
          <w:numId w:val="42"/>
        </w:numPr>
        <w:tabs>
          <w:tab w:pos="1620" w:val="left" w:leader="none"/>
        </w:tabs>
        <w:spacing w:line="521" w:lineRule="exact" w:before="0" w:after="0"/>
        <w:ind w:left="1620" w:right="0" w:hanging="300"/>
        <w:jc w:val="left"/>
      </w:pPr>
      <w:bookmarkStart w:name="_bookmark237" w:id="283"/>
      <w:bookmarkEnd w:id="283"/>
      <w:r>
        <w:rPr>
          <w:b w:val="0"/>
        </w:rPr>
      </w:r>
      <w:bookmarkStart w:name="_bookmark237" w:id="284"/>
      <w:bookmarkEnd w:id="284"/>
      <w:r>
        <w:rPr/>
        <w:t>基于核心素养观的普通高中生涯规划教育实施建议</w:t>
      </w:r>
    </w:p>
    <w:p>
      <w:pPr>
        <w:pStyle w:val="BodyText"/>
        <w:spacing w:before="11"/>
        <w:rPr>
          <w:rFonts w:ascii="Microsoft JhengHei"/>
          <w:b/>
          <w:sz w:val="28"/>
        </w:rPr>
      </w:pPr>
    </w:p>
    <w:p>
      <w:pPr>
        <w:pStyle w:val="BodyText"/>
        <w:spacing w:line="364" w:lineRule="auto"/>
        <w:ind w:left="1320" w:right="1485" w:firstLine="480"/>
      </w:pPr>
      <w:r>
        <w:rPr>
          <w:spacing w:val="-1"/>
        </w:rPr>
        <w:t>综上所述，当前普通高中生涯规划教育问题丛生，大致上处于一种无序的、</w:t>
      </w:r>
      <w:r>
        <w:rPr>
          <w:spacing w:val="-10"/>
        </w:rPr>
        <w:t>自发的、不均衡的状态。教师、学生、学校和社会等诸多方面都存在着不利于生</w:t>
      </w:r>
      <w:r>
        <w:rPr>
          <w:spacing w:val="-11"/>
        </w:rPr>
        <w:t>涯规划教育实施的因素。因此，为了更有成效地在普通高中实施生涯规划教育， </w:t>
      </w:r>
      <w:r>
        <w:rPr>
          <w:spacing w:val="-6"/>
        </w:rPr>
        <w:t>本研究基于核心素养的基本理念，充分借鉴发达国家和地区的成功经验，综合国情和区域特征，就我国普通高中实施生涯规划教育提出建议。</w:t>
      </w:r>
    </w:p>
    <w:p>
      <w:pPr>
        <w:pStyle w:val="BodyText"/>
        <w:spacing w:before="3"/>
        <w:rPr>
          <w:sz w:val="17"/>
        </w:rPr>
      </w:pPr>
    </w:p>
    <w:p>
      <w:pPr>
        <w:pStyle w:val="Heading2"/>
        <w:numPr>
          <w:ilvl w:val="1"/>
          <w:numId w:val="42"/>
        </w:numPr>
        <w:tabs>
          <w:tab w:pos="1810" w:val="left" w:leader="none"/>
        </w:tabs>
        <w:spacing w:line="240" w:lineRule="auto" w:before="1" w:after="0"/>
        <w:ind w:left="1809" w:right="0" w:hanging="490"/>
        <w:jc w:val="left"/>
      </w:pPr>
      <w:r>
        <w:rPr/>
        <w:t>转变普通高中性质与价值的定位</w:t>
      </w:r>
    </w:p>
    <w:p>
      <w:pPr>
        <w:pStyle w:val="BodyText"/>
        <w:spacing w:before="4"/>
        <w:rPr>
          <w:rFonts w:ascii="Microsoft JhengHei"/>
          <w:b/>
        </w:rPr>
      </w:pPr>
    </w:p>
    <w:p>
      <w:pPr>
        <w:pStyle w:val="ListParagraph"/>
        <w:numPr>
          <w:ilvl w:val="2"/>
          <w:numId w:val="42"/>
        </w:numPr>
        <w:tabs>
          <w:tab w:pos="1920" w:val="left" w:leader="none"/>
        </w:tabs>
        <w:spacing w:line="240" w:lineRule="auto" w:before="0" w:after="0"/>
        <w:ind w:left="1920" w:right="0" w:hanging="600"/>
        <w:jc w:val="left"/>
        <w:rPr>
          <w:sz w:val="24"/>
        </w:rPr>
      </w:pPr>
      <w:r>
        <w:rPr>
          <w:sz w:val="24"/>
        </w:rPr>
        <w:t>健全普通高中教育的工具价值</w:t>
      </w:r>
    </w:p>
    <w:p>
      <w:pPr>
        <w:pStyle w:val="BodyText"/>
        <w:spacing w:before="9"/>
        <w:rPr>
          <w:sz w:val="35"/>
        </w:rPr>
      </w:pPr>
    </w:p>
    <w:p>
      <w:pPr>
        <w:pStyle w:val="BodyText"/>
        <w:spacing w:line="364" w:lineRule="auto"/>
        <w:ind w:left="1319" w:right="1457" w:firstLine="480"/>
        <w:rPr>
          <w:rFonts w:ascii="Times New Roman" w:hAnsi="Times New Roman" w:eastAsia="Times New Roman"/>
          <w:sz w:val="15"/>
        </w:rPr>
      </w:pPr>
      <w:r>
        <w:rPr>
          <w:spacing w:val="-6"/>
        </w:rPr>
        <w:t>健全普通高中教育的工具价值，有助于转变普通高中性质与价值的定位。我</w:t>
      </w:r>
      <w:r>
        <w:rPr>
          <w:spacing w:val="-11"/>
        </w:rPr>
        <w:t>国普通高中的性质定位仍深陷于“升学”的泥沼。因此，基于现实需求和未来趋</w:t>
      </w:r>
      <w:r>
        <w:rPr>
          <w:spacing w:val="-10"/>
        </w:rPr>
        <w:t>势，建立普通高中教育与高等教育、职业世界和社会生活的内在联系，促进普通</w:t>
      </w:r>
      <w:r>
        <w:rPr>
          <w:spacing w:val="-15"/>
        </w:rPr>
        <w:t>高中教育健全工具价值的实现，是现阶段我国普通高中教育改革与发展的基本方</w:t>
      </w:r>
      <w:r>
        <w:rPr>
          <w:spacing w:val="-16"/>
        </w:rPr>
        <w:t>向和重大课题。</w:t>
      </w:r>
      <w:hyperlink w:history="true" w:anchor="_bookmark238">
        <w:r>
          <w:rPr>
            <w:rFonts w:ascii="Times New Roman" w:hAnsi="Times New Roman" w:eastAsia="Times New Roman"/>
            <w:position w:val="8"/>
            <w:sz w:val="15"/>
          </w:rPr>
          <w:t>[1</w:t>
        </w:r>
      </w:hyperlink>
      <w:r>
        <w:rPr>
          <w:rFonts w:ascii="Times New Roman" w:hAnsi="Times New Roman" w:eastAsia="Times New Roman"/>
          <w:position w:val="8"/>
          <w:sz w:val="15"/>
        </w:rPr>
        <w:t>]</w:t>
      </w:r>
      <w:r>
        <w:rPr>
          <w:spacing w:val="-2"/>
        </w:rPr>
        <w:t>从已有的论述来看，我们已经在生涯规划教育与普通高中教育</w:t>
      </w:r>
      <w:r>
        <w:rPr>
          <w:spacing w:val="-10"/>
        </w:rPr>
        <w:t>两者之间找到了一个连接点，即生涯规划教育与普通高中教育都关注职业世界和</w:t>
      </w:r>
      <w:r>
        <w:rPr>
          <w:spacing w:val="-17"/>
        </w:rPr>
        <w:t>社会生活。从这个层面来看，生涯规划教育应作为普通高中教育的有机组成部分， </w:t>
      </w:r>
      <w:r>
        <w:rPr>
          <w:spacing w:val="-4"/>
        </w:rPr>
        <w:t>从而促进普通高中实现工具价值的转变，最终健全其三类工具价值，分别为：为</w:t>
      </w:r>
      <w:r>
        <w:rPr/>
        <w:t>每个学生成功的大学生活和终身学习做准备；为每个学生成功的职业发展做准备；为每个学生实现成功的社会公民生活做准备。</w:t>
      </w:r>
      <w:r>
        <w:rPr>
          <w:rFonts w:ascii="Times New Roman" w:hAnsi="Times New Roman" w:eastAsia="Times New Roman"/>
          <w:position w:val="8"/>
          <w:sz w:val="15"/>
        </w:rPr>
        <w:t>[</w:t>
      </w:r>
      <w:hyperlink w:history="true" w:anchor="_bookmark239">
        <w:r>
          <w:rPr>
            <w:rFonts w:ascii="Times New Roman" w:hAnsi="Times New Roman" w:eastAsia="Times New Roman"/>
            <w:position w:val="8"/>
            <w:sz w:val="15"/>
          </w:rPr>
          <w:t>2</w:t>
        </w:r>
      </w:hyperlink>
      <w:r>
        <w:rPr>
          <w:rFonts w:ascii="Times New Roman" w:hAnsi="Times New Roman" w:eastAsia="Times New Roman"/>
          <w:position w:val="8"/>
          <w:sz w:val="15"/>
        </w:rPr>
        <w:t>]</w:t>
      </w:r>
    </w:p>
    <w:p>
      <w:pPr>
        <w:pStyle w:val="BodyText"/>
        <w:spacing w:before="2"/>
        <w:rPr>
          <w:rFonts w:ascii="Times New Roman"/>
          <w:sz w:val="26"/>
        </w:rPr>
      </w:pPr>
    </w:p>
    <w:p>
      <w:pPr>
        <w:pStyle w:val="ListParagraph"/>
        <w:numPr>
          <w:ilvl w:val="2"/>
          <w:numId w:val="42"/>
        </w:numPr>
        <w:tabs>
          <w:tab w:pos="1920" w:val="left" w:leader="none"/>
        </w:tabs>
        <w:spacing w:line="240" w:lineRule="auto" w:before="1" w:after="0"/>
        <w:ind w:left="1920" w:right="0" w:hanging="600"/>
        <w:jc w:val="left"/>
        <w:rPr>
          <w:sz w:val="24"/>
        </w:rPr>
      </w:pPr>
      <w:r>
        <w:rPr>
          <w:sz w:val="24"/>
        </w:rPr>
        <w:t>重视普通高中教育内在的育人价值</w:t>
      </w:r>
    </w:p>
    <w:p>
      <w:pPr>
        <w:pStyle w:val="BodyText"/>
        <w:spacing w:before="9"/>
        <w:rPr>
          <w:sz w:val="35"/>
        </w:rPr>
      </w:pPr>
    </w:p>
    <w:p>
      <w:pPr>
        <w:pStyle w:val="BodyText"/>
        <w:spacing w:line="364" w:lineRule="auto"/>
        <w:ind w:left="1320" w:right="1575" w:firstLine="480"/>
        <w:jc w:val="both"/>
      </w:pPr>
      <w:r>
        <w:rPr/>
        <w:pict>
          <v:shape style="position:absolute;margin-left:90pt;margin-top:77.080002pt;width:144pt;height:.1pt;mso-position-horizontal-relative:page;mso-position-vertical-relative:paragraph;z-index:-251544576;mso-wrap-distance-left:0;mso-wrap-distance-right:0" coordorigin="1800,1542" coordsize="2880,0" path="m1800,1542l4680,1542e" filled="false" stroked="true" strokeweight=".402pt" strokecolor="#000000">
            <v:path arrowok="t"/>
            <v:stroke dashstyle="solid"/>
            <w10:wrap type="topAndBottom"/>
          </v:shape>
        </w:pict>
      </w:r>
      <w:r>
        <w:rPr>
          <w:spacing w:val="-5"/>
        </w:rPr>
        <w:t>普通高中性质与价值的定位应重视普通高中教育内在的育人职能。普通高中</w:t>
      </w:r>
      <w:r>
        <w:rPr>
          <w:spacing w:val="-7"/>
        </w:rPr>
        <w:t>的工具价值表明了其外生性与延展性，“育人职能”体现了其内在价值，在众多</w:t>
      </w:r>
      <w:r>
        <w:rPr>
          <w:spacing w:val="-8"/>
        </w:rPr>
        <w:t>的任务中，“居于核心的位置”。</w:t>
      </w:r>
      <w:hyperlink w:history="true" w:anchor="_bookmark240">
        <w:r>
          <w:rPr>
            <w:rFonts w:ascii="Times New Roman" w:hAnsi="Times New Roman" w:eastAsia="Times New Roman"/>
            <w:position w:val="8"/>
            <w:sz w:val="15"/>
          </w:rPr>
          <w:t>[3</w:t>
        </w:r>
      </w:hyperlink>
      <w:r>
        <w:rPr>
          <w:rFonts w:ascii="Times New Roman" w:hAnsi="Times New Roman" w:eastAsia="Times New Roman"/>
          <w:position w:val="8"/>
          <w:sz w:val="15"/>
        </w:rPr>
        <w:t>]</w:t>
      </w:r>
      <w:r>
        <w:rPr>
          <w:rFonts w:ascii="Times New Roman" w:hAnsi="Times New Roman" w:eastAsia="Times New Roman"/>
        </w:rPr>
        <w:t>2003 </w:t>
      </w:r>
      <w:r>
        <w:rPr>
          <w:spacing w:val="-7"/>
        </w:rPr>
        <w:t>年，教育部颁布的《普通高中课程改革</w:t>
      </w:r>
    </w:p>
    <w:p>
      <w:pPr>
        <w:spacing w:before="93"/>
        <w:ind w:left="1320" w:right="0" w:firstLine="0"/>
        <w:jc w:val="left"/>
        <w:rPr>
          <w:rFonts w:ascii="Times New Roman" w:eastAsia="Times New Roman"/>
          <w:sz w:val="18"/>
        </w:rPr>
      </w:pPr>
      <w:bookmarkStart w:name="_bookmark238" w:id="285"/>
      <w:bookmarkEnd w:id="285"/>
      <w:r>
        <w:rPr/>
      </w:r>
      <w:r>
        <w:rPr>
          <w:rFonts w:ascii="Times New Roman" w:eastAsia="Times New Roman"/>
          <w:position w:val="7"/>
          <w:sz w:val="13"/>
        </w:rPr>
        <w:t>[1</w:t>
      </w:r>
      <w:r>
        <w:rPr>
          <w:rFonts w:ascii="Times New Roman" w:eastAsia="Times New Roman"/>
          <w:spacing w:val="7"/>
          <w:position w:val="7"/>
          <w:sz w:val="13"/>
        </w:rPr>
        <w:t>]  </w:t>
      </w:r>
      <w:r>
        <w:rPr>
          <w:sz w:val="18"/>
        </w:rPr>
        <w:t>张华</w:t>
      </w:r>
      <w:r>
        <w:rPr>
          <w:rFonts w:ascii="Times New Roman" w:eastAsia="Times New Roman"/>
          <w:sz w:val="18"/>
        </w:rPr>
        <w:t>.</w:t>
      </w:r>
      <w:r>
        <w:rPr>
          <w:sz w:val="18"/>
        </w:rPr>
        <w:t>论我国普通高中教育的性质与价值定位</w:t>
      </w:r>
      <w:r>
        <w:rPr>
          <w:rFonts w:ascii="Times New Roman" w:eastAsia="Times New Roman"/>
          <w:sz w:val="18"/>
        </w:rPr>
        <w:t>.[J].</w:t>
      </w:r>
      <w:r>
        <w:rPr>
          <w:sz w:val="18"/>
        </w:rPr>
        <w:t>教育研究，</w:t>
      </w:r>
      <w:r>
        <w:rPr>
          <w:rFonts w:ascii="Times New Roman" w:eastAsia="Times New Roman"/>
          <w:sz w:val="18"/>
        </w:rPr>
        <w:t>2013</w:t>
      </w:r>
      <w:r>
        <w:rPr>
          <w:sz w:val="18"/>
        </w:rPr>
        <w:t>（</w:t>
      </w:r>
      <w:r>
        <w:rPr>
          <w:rFonts w:ascii="Times New Roman" w:eastAsia="Times New Roman"/>
          <w:sz w:val="18"/>
        </w:rPr>
        <w:t>09</w:t>
      </w:r>
      <w:r>
        <w:rPr>
          <w:sz w:val="18"/>
        </w:rPr>
        <w:t>）：</w:t>
      </w:r>
      <w:r>
        <w:rPr>
          <w:rFonts w:ascii="Times New Roman" w:eastAsia="Times New Roman"/>
          <w:sz w:val="18"/>
        </w:rPr>
        <w:t>67.</w:t>
      </w:r>
    </w:p>
    <w:p>
      <w:pPr>
        <w:spacing w:before="127"/>
        <w:ind w:left="1320" w:right="0" w:firstLine="0"/>
        <w:jc w:val="left"/>
        <w:rPr>
          <w:rFonts w:ascii="Times New Roman" w:eastAsia="Times New Roman"/>
          <w:sz w:val="18"/>
        </w:rPr>
      </w:pPr>
      <w:bookmarkStart w:name="_bookmark239" w:id="286"/>
      <w:bookmarkEnd w:id="286"/>
      <w:r>
        <w:rPr/>
      </w:r>
      <w:r>
        <w:rPr>
          <w:rFonts w:ascii="Times New Roman" w:eastAsia="Times New Roman"/>
          <w:position w:val="7"/>
          <w:sz w:val="13"/>
        </w:rPr>
        <w:t>[2</w:t>
      </w:r>
      <w:r>
        <w:rPr>
          <w:rFonts w:ascii="Times New Roman" w:eastAsia="Times New Roman"/>
          <w:spacing w:val="7"/>
          <w:position w:val="7"/>
          <w:sz w:val="13"/>
        </w:rPr>
        <w:t>]  </w:t>
      </w:r>
      <w:r>
        <w:rPr>
          <w:sz w:val="18"/>
        </w:rPr>
        <w:t>张华</w:t>
      </w:r>
      <w:r>
        <w:rPr>
          <w:rFonts w:ascii="Times New Roman" w:eastAsia="Times New Roman"/>
          <w:sz w:val="18"/>
        </w:rPr>
        <w:t>.</w:t>
      </w:r>
      <w:r>
        <w:rPr>
          <w:sz w:val="18"/>
        </w:rPr>
        <w:t>论我国普通高中教育的性质与价值定位</w:t>
      </w:r>
      <w:r>
        <w:rPr>
          <w:rFonts w:ascii="Times New Roman" w:eastAsia="Times New Roman"/>
          <w:sz w:val="18"/>
        </w:rPr>
        <w:t>.[J].</w:t>
      </w:r>
      <w:r>
        <w:rPr>
          <w:sz w:val="18"/>
        </w:rPr>
        <w:t>教育研究，</w:t>
      </w:r>
      <w:r>
        <w:rPr>
          <w:rFonts w:ascii="Times New Roman" w:eastAsia="Times New Roman"/>
          <w:sz w:val="18"/>
        </w:rPr>
        <w:t>2013</w:t>
      </w:r>
      <w:r>
        <w:rPr>
          <w:sz w:val="18"/>
        </w:rPr>
        <w:t>（</w:t>
      </w:r>
      <w:r>
        <w:rPr>
          <w:rFonts w:ascii="Times New Roman" w:eastAsia="Times New Roman"/>
          <w:sz w:val="18"/>
        </w:rPr>
        <w:t>09</w:t>
      </w:r>
      <w:r>
        <w:rPr>
          <w:sz w:val="18"/>
        </w:rPr>
        <w:t>）：</w:t>
      </w:r>
      <w:r>
        <w:rPr>
          <w:rFonts w:ascii="Times New Roman" w:eastAsia="Times New Roman"/>
          <w:sz w:val="18"/>
        </w:rPr>
        <w:t>68.</w:t>
      </w:r>
    </w:p>
    <w:p>
      <w:pPr>
        <w:spacing w:before="128"/>
        <w:ind w:left="1320" w:right="0" w:firstLine="0"/>
        <w:jc w:val="left"/>
        <w:rPr>
          <w:rFonts w:ascii="Times New Roman" w:eastAsia="Times New Roman"/>
          <w:sz w:val="18"/>
        </w:rPr>
      </w:pPr>
      <w:bookmarkStart w:name="_bookmark240" w:id="287"/>
      <w:bookmarkEnd w:id="287"/>
      <w:r>
        <w:rPr/>
      </w:r>
      <w:r>
        <w:rPr>
          <w:rFonts w:ascii="Times New Roman" w:eastAsia="Times New Roman"/>
          <w:position w:val="7"/>
          <w:sz w:val="13"/>
        </w:rPr>
        <w:t>[3] </w:t>
      </w:r>
      <w:r>
        <w:rPr>
          <w:sz w:val="18"/>
        </w:rPr>
        <w:t>钟启泉</w:t>
      </w:r>
      <w:r>
        <w:rPr>
          <w:rFonts w:ascii="Times New Roman" w:eastAsia="Times New Roman"/>
          <w:sz w:val="18"/>
        </w:rPr>
        <w:t>.</w:t>
      </w:r>
      <w:r>
        <w:rPr>
          <w:sz w:val="18"/>
        </w:rPr>
        <w:t>普通高中新课程方案导读</w:t>
      </w:r>
      <w:r>
        <w:rPr>
          <w:rFonts w:ascii="Times New Roman" w:eastAsia="Times New Roman"/>
          <w:sz w:val="18"/>
        </w:rPr>
        <w:t>.[M].</w:t>
      </w:r>
      <w:r>
        <w:rPr>
          <w:sz w:val="18"/>
        </w:rPr>
        <w:t>上海：华东师范大学出版社，</w:t>
      </w:r>
      <w:r>
        <w:rPr>
          <w:rFonts w:ascii="Times New Roman" w:eastAsia="Times New Roman"/>
          <w:sz w:val="18"/>
        </w:rPr>
        <w:t>2003</w:t>
      </w:r>
      <w:r>
        <w:rPr>
          <w:sz w:val="18"/>
        </w:rPr>
        <w:t>：</w:t>
      </w:r>
      <w:r>
        <w:rPr>
          <w:rFonts w:ascii="Times New Roman" w:eastAsia="Times New Roman"/>
          <w:sz w:val="18"/>
        </w:rPr>
        <w:t>81.</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577"/>
        <w:jc w:val="both"/>
        <w:rPr>
          <w:rFonts w:ascii="Times New Roman" w:hAnsi="Times New Roman" w:eastAsia="Times New Roman"/>
          <w:sz w:val="15"/>
        </w:rPr>
      </w:pPr>
      <w:bookmarkStart w:name="_bookmark241" w:id="288"/>
      <w:bookmarkEnd w:id="288"/>
      <w:r>
        <w:rPr/>
      </w:r>
      <w:r>
        <w:rPr/>
        <w:t>（方案</w:t>
      </w:r>
      <w:r>
        <w:rPr>
          <w:spacing w:val="-20"/>
        </w:rPr>
        <w:t>）</w:t>
      </w:r>
      <w:r>
        <w:rPr>
          <w:spacing w:val="-11"/>
        </w:rPr>
        <w:t>》中对高中生的“素质”要求作出了明确的表述：具有自觉的社会责任</w:t>
      </w:r>
      <w:r>
        <w:rPr>
          <w:spacing w:val="-8"/>
        </w:rPr>
        <w:t>感和爱国主义精神、正确的价值判断能力、初步的全球意识与国际视野、终身发</w:t>
      </w:r>
      <w:r>
        <w:rPr>
          <w:spacing w:val="-7"/>
        </w:rPr>
        <w:t>展所必备的文化科学知识与技能、批判思维与创新精神、人生规划能力、创业意</w:t>
      </w:r>
      <w:r>
        <w:rPr/>
        <w:t>识与敬业精神以及健全的身体心理素质。</w:t>
      </w:r>
      <w:r>
        <w:rPr>
          <w:rFonts w:ascii="Times New Roman" w:hAnsi="Times New Roman" w:eastAsia="Times New Roman"/>
          <w:position w:val="8"/>
          <w:sz w:val="15"/>
        </w:rPr>
        <w:t>[</w:t>
      </w:r>
      <w:hyperlink w:history="true" w:anchor="_bookmark242">
        <w:r>
          <w:rPr>
            <w:rFonts w:ascii="Times New Roman" w:hAnsi="Times New Roman" w:eastAsia="Times New Roman"/>
            <w:position w:val="8"/>
            <w:sz w:val="15"/>
          </w:rPr>
          <w:t>1</w:t>
        </w:r>
      </w:hyperlink>
      <w:r>
        <w:rPr>
          <w:rFonts w:ascii="Times New Roman" w:hAnsi="Times New Roman" w:eastAsia="Times New Roman"/>
          <w:position w:val="8"/>
          <w:sz w:val="15"/>
        </w:rPr>
        <w:t>]</w:t>
      </w:r>
    </w:p>
    <w:p>
      <w:pPr>
        <w:pStyle w:val="BodyText"/>
        <w:spacing w:line="364" w:lineRule="auto" w:before="2"/>
        <w:ind w:left="1319" w:right="1575" w:firstLine="480"/>
        <w:jc w:val="both"/>
      </w:pPr>
      <w:r>
        <w:rPr>
          <w:spacing w:val="-10"/>
        </w:rPr>
        <w:t>因此，普通高中教育既要面向未来，为学生的终身学习和发展奠定基础，引</w:t>
      </w:r>
      <w:r>
        <w:rPr>
          <w:spacing w:val="-6"/>
        </w:rPr>
        <w:t>导学生自觉地思考并规划未来人生，又要立足于高中生的当下生活需要，为不同</w:t>
      </w:r>
      <w:r>
        <w:rPr>
          <w:spacing w:val="-7"/>
        </w:rPr>
        <w:t>潜能学生的发展创造条件，让每个高中生获得自由而充分的发展，最终实现人的</w:t>
      </w:r>
      <w:r>
        <w:rPr/>
        <w:t>完满发展，这样才能真正实现普通高中教育内在的育人价值。</w:t>
      </w:r>
    </w:p>
    <w:p>
      <w:pPr>
        <w:pStyle w:val="BodyText"/>
        <w:spacing w:before="5"/>
        <w:rPr>
          <w:sz w:val="17"/>
        </w:rPr>
      </w:pPr>
    </w:p>
    <w:p>
      <w:pPr>
        <w:pStyle w:val="Heading2"/>
        <w:numPr>
          <w:ilvl w:val="1"/>
          <w:numId w:val="42"/>
        </w:numPr>
        <w:tabs>
          <w:tab w:pos="1810" w:val="left" w:leader="none"/>
        </w:tabs>
        <w:spacing w:line="240" w:lineRule="auto" w:before="0" w:after="0"/>
        <w:ind w:left="1809" w:right="0" w:hanging="491"/>
        <w:jc w:val="left"/>
      </w:pPr>
      <w:r>
        <w:rPr/>
        <w:t>明晰普通高中生涯规划教育的实施目标</w:t>
      </w:r>
    </w:p>
    <w:p>
      <w:pPr>
        <w:pStyle w:val="BodyText"/>
        <w:spacing w:before="5"/>
        <w:rPr>
          <w:rFonts w:ascii="Microsoft JhengHei"/>
          <w:b/>
          <w:sz w:val="22"/>
        </w:rPr>
      </w:pPr>
    </w:p>
    <w:p>
      <w:pPr>
        <w:pStyle w:val="BodyText"/>
        <w:spacing w:line="364" w:lineRule="auto"/>
        <w:ind w:left="1319" w:right="1577" w:firstLine="480"/>
        <w:jc w:val="both"/>
      </w:pPr>
      <w:r>
        <w:rPr>
          <w:spacing w:val="-11"/>
        </w:rPr>
        <w:t>从已有论述来看，普通高中生涯规划教育的主要目标在于培养学生的生涯规</w:t>
      </w:r>
      <w:r>
        <w:rPr>
          <w:spacing w:val="-6"/>
        </w:rPr>
        <w:t>划素养——生涯规划教育的核心素养。基于国际经验，本研究认为，以下路径能</w:t>
      </w:r>
      <w:r>
        <w:rPr/>
        <w:t>够明晰普通高中生涯规划教育的实施目标。</w:t>
      </w:r>
    </w:p>
    <w:p>
      <w:pPr>
        <w:pStyle w:val="BodyText"/>
        <w:spacing w:before="2"/>
        <w:rPr>
          <w:sz w:val="23"/>
        </w:rPr>
      </w:pPr>
    </w:p>
    <w:p>
      <w:pPr>
        <w:pStyle w:val="ListParagraph"/>
        <w:numPr>
          <w:ilvl w:val="2"/>
          <w:numId w:val="42"/>
        </w:numPr>
        <w:tabs>
          <w:tab w:pos="1920" w:val="left" w:leader="none"/>
        </w:tabs>
        <w:spacing w:line="240" w:lineRule="auto" w:before="1" w:after="0"/>
        <w:ind w:left="1920" w:right="0" w:hanging="601"/>
        <w:jc w:val="left"/>
        <w:rPr>
          <w:sz w:val="24"/>
        </w:rPr>
      </w:pPr>
      <w:r>
        <w:rPr>
          <w:sz w:val="24"/>
        </w:rPr>
        <w:t>定位生涯规划教育的实施维度</w:t>
      </w:r>
    </w:p>
    <w:p>
      <w:pPr>
        <w:pStyle w:val="BodyText"/>
        <w:spacing w:before="9"/>
        <w:rPr>
          <w:sz w:val="35"/>
        </w:rPr>
      </w:pPr>
    </w:p>
    <w:p>
      <w:pPr>
        <w:pStyle w:val="BodyText"/>
        <w:spacing w:line="364" w:lineRule="auto"/>
        <w:ind w:left="1319" w:right="1577" w:firstLine="480"/>
      </w:pPr>
      <w:r>
        <w:rPr>
          <w:spacing w:val="-11"/>
        </w:rPr>
        <w:t>基于前文所述，本研究认为我国普通高中生涯规划教育的实施目标应包含以</w:t>
      </w:r>
      <w:r>
        <w:rPr/>
        <w:t>下三个维度：</w:t>
      </w:r>
    </w:p>
    <w:p>
      <w:pPr>
        <w:pStyle w:val="ListParagraph"/>
        <w:numPr>
          <w:ilvl w:val="0"/>
          <w:numId w:val="43"/>
        </w:numPr>
        <w:tabs>
          <w:tab w:pos="1921" w:val="left" w:leader="none"/>
        </w:tabs>
        <w:spacing w:line="240" w:lineRule="auto" w:before="2" w:after="0"/>
        <w:ind w:left="1921" w:right="0" w:hanging="182"/>
        <w:jc w:val="left"/>
        <w:rPr>
          <w:sz w:val="24"/>
        </w:rPr>
      </w:pPr>
      <w:r>
        <w:rPr>
          <w:sz w:val="24"/>
        </w:rPr>
        <w:t>自主发展</w:t>
      </w:r>
    </w:p>
    <w:p>
      <w:pPr>
        <w:pStyle w:val="BodyText"/>
        <w:spacing w:line="364" w:lineRule="auto" w:before="160"/>
        <w:ind w:left="1319" w:right="1577" w:firstLine="480"/>
        <w:jc w:val="both"/>
      </w:pPr>
      <w:r>
        <w:rPr>
          <w:spacing w:val="-10"/>
        </w:rPr>
        <w:t>首先，学生能充分认知自己，对自己的兴趣、性格、能力和其他特质有所了解，并了解影响自身发展的因素，能够做出正确的自我评价，学会根据不同的评</w:t>
      </w:r>
      <w:r>
        <w:rPr>
          <w:spacing w:val="-8"/>
        </w:rPr>
        <w:t>价识别个人发展的方向，树立自信心，并形成一个积极的自我形象。其次，学会</w:t>
      </w:r>
      <w:r>
        <w:rPr>
          <w:spacing w:val="-10"/>
        </w:rPr>
        <w:t>与他人互动、交流，建立和维持积极的人际关系，并在团队工作中发挥作用。尊</w:t>
      </w:r>
      <w:r>
        <w:rPr>
          <w:spacing w:val="-6"/>
        </w:rPr>
        <w:t>重多样性和理解差异也是自我发展的一部分。最后，意识到个人的生涯是不断变</w:t>
      </w:r>
      <w:r>
        <w:rPr/>
        <w:t>化的，需要具备适应性和灵活性，从容的应对生活中各种改变。</w:t>
      </w:r>
    </w:p>
    <w:p>
      <w:pPr>
        <w:pStyle w:val="ListParagraph"/>
        <w:numPr>
          <w:ilvl w:val="0"/>
          <w:numId w:val="43"/>
        </w:numPr>
        <w:tabs>
          <w:tab w:pos="1981" w:val="left" w:leader="none"/>
        </w:tabs>
        <w:spacing w:line="240" w:lineRule="auto" w:before="4" w:after="0"/>
        <w:ind w:left="1981" w:right="0" w:hanging="182"/>
        <w:jc w:val="left"/>
        <w:rPr>
          <w:sz w:val="24"/>
        </w:rPr>
      </w:pPr>
      <w:r>
        <w:rPr>
          <w:sz w:val="24"/>
        </w:rPr>
        <w:t>生涯探索</w:t>
      </w:r>
    </w:p>
    <w:p>
      <w:pPr>
        <w:pStyle w:val="BodyText"/>
        <w:spacing w:line="364" w:lineRule="auto" w:before="160"/>
        <w:ind w:left="1319" w:right="1485" w:firstLine="480"/>
      </w:pPr>
      <w:r>
        <w:rPr/>
        <w:t>学生应了解生涯发展的概念，理解学习与生活、工作之间的相互关系；了解社会、经济与生涯发展之间的关系；了解当前社会发展趋势，探索相关的工作、</w:t>
      </w:r>
    </w:p>
    <w:p>
      <w:pPr>
        <w:pStyle w:val="BodyText"/>
        <w:spacing w:before="3"/>
        <w:rPr>
          <w:sz w:val="29"/>
        </w:rPr>
      </w:pPr>
      <w:r>
        <w:rPr/>
        <w:pict>
          <v:shape style="position:absolute;margin-left:90pt;margin-top:20.940392pt;width:144pt;height:.1pt;mso-position-horizontal-relative:page;mso-position-vertical-relative:paragraph;z-index:-251543552;mso-wrap-distance-left:0;mso-wrap-distance-right:0" coordorigin="1800,419" coordsize="2880,0" path="m1800,419l4680,419e" filled="false" stroked="true" strokeweight=".402pt" strokecolor="#000000">
            <v:path arrowok="t"/>
            <v:stroke dashstyle="solid"/>
            <w10:wrap type="topAndBottom"/>
          </v:shape>
        </w:pict>
      </w:r>
    </w:p>
    <w:p>
      <w:pPr>
        <w:spacing w:before="94"/>
        <w:ind w:left="1320" w:right="0" w:firstLine="0"/>
        <w:jc w:val="left"/>
        <w:rPr>
          <w:rFonts w:ascii="Times New Roman" w:eastAsia="Times New Roman"/>
          <w:sz w:val="18"/>
        </w:rPr>
      </w:pPr>
      <w:bookmarkStart w:name="_bookmark242" w:id="289"/>
      <w:bookmarkEnd w:id="289"/>
      <w:r>
        <w:rPr/>
      </w:r>
      <w:r>
        <w:rPr>
          <w:rFonts w:ascii="Times New Roman" w:eastAsia="Times New Roman"/>
          <w:position w:val="7"/>
          <w:sz w:val="13"/>
        </w:rPr>
        <w:t>[1] </w:t>
      </w:r>
      <w:r>
        <w:rPr>
          <w:sz w:val="18"/>
        </w:rPr>
        <w:t>中华人民共和国教育部</w:t>
      </w:r>
      <w:r>
        <w:rPr>
          <w:rFonts w:ascii="Times New Roman" w:eastAsia="Times New Roman"/>
          <w:sz w:val="18"/>
        </w:rPr>
        <w:t>.</w:t>
      </w:r>
      <w:r>
        <w:rPr>
          <w:sz w:val="18"/>
        </w:rPr>
        <w:t>普通高中课程方案（实验）</w:t>
      </w:r>
      <w:r>
        <w:rPr>
          <w:rFonts w:ascii="Times New Roman" w:eastAsia="Times New Roman"/>
          <w:sz w:val="18"/>
        </w:rPr>
        <w:t>.[M].</w:t>
      </w:r>
      <w:r>
        <w:rPr>
          <w:sz w:val="18"/>
        </w:rPr>
        <w:t>北京：人民教育出版社，</w:t>
      </w:r>
      <w:r>
        <w:rPr>
          <w:rFonts w:ascii="Times New Roman" w:eastAsia="Times New Roman"/>
          <w:sz w:val="18"/>
        </w:rPr>
        <w:t>2003:1.</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6"/>
        <w:rPr>
          <w:rFonts w:ascii="Times New Roman"/>
          <w:sz w:val="12"/>
        </w:rPr>
      </w:pPr>
    </w:p>
    <w:p>
      <w:pPr>
        <w:pStyle w:val="BodyText"/>
        <w:spacing w:line="364" w:lineRule="auto" w:before="66"/>
        <w:ind w:left="1320" w:right="1577"/>
      </w:pPr>
      <w:bookmarkStart w:name="_bookmark243" w:id="290"/>
      <w:bookmarkEnd w:id="290"/>
      <w:r>
        <w:rPr/>
      </w:r>
      <w:r>
        <w:rPr>
          <w:spacing w:val="-10"/>
        </w:rPr>
        <w:t>学习机会；了解终身学习的必要性，具备终身学习的观念。另外，学生还需要通</w:t>
      </w:r>
      <w:r>
        <w:rPr/>
        <w:t>过各种方式和途径搜集相关生涯信息。</w:t>
      </w:r>
    </w:p>
    <w:p>
      <w:pPr>
        <w:pStyle w:val="ListParagraph"/>
        <w:numPr>
          <w:ilvl w:val="0"/>
          <w:numId w:val="43"/>
        </w:numPr>
        <w:tabs>
          <w:tab w:pos="1981" w:val="left" w:leader="none"/>
        </w:tabs>
        <w:spacing w:line="240" w:lineRule="auto" w:before="1" w:after="0"/>
        <w:ind w:left="1981" w:right="0" w:hanging="181"/>
        <w:jc w:val="left"/>
        <w:rPr>
          <w:sz w:val="24"/>
        </w:rPr>
      </w:pPr>
      <w:r>
        <w:rPr>
          <w:sz w:val="24"/>
        </w:rPr>
        <w:t>生涯规划与管理</w:t>
      </w:r>
    </w:p>
    <w:p>
      <w:pPr>
        <w:pStyle w:val="BodyText"/>
        <w:spacing w:line="364" w:lineRule="auto" w:before="161"/>
        <w:ind w:left="1320" w:right="1457" w:firstLine="480"/>
        <w:jc w:val="both"/>
      </w:pPr>
      <w:r>
        <w:rPr>
          <w:spacing w:val="-6"/>
        </w:rPr>
        <w:t>学生应具备一定的判断能力，并进行批判性思考；能依据实际情况，做出有</w:t>
      </w:r>
      <w:r>
        <w:rPr>
          <w:spacing w:val="-11"/>
        </w:rPr>
        <w:t>利的选择，制定生涯或学习上的目标并去执行，并按照执行情况对计划进行调整</w:t>
      </w:r>
      <w:r>
        <w:rPr>
          <w:spacing w:val="-12"/>
        </w:rPr>
        <w:t>和完善，使其更符合现实需求；掌握一定的职业技能，学会展示自己的成就；学</w:t>
      </w:r>
      <w:r>
        <w:rPr>
          <w:spacing w:val="-16"/>
        </w:rPr>
        <w:t>会平衡个人在家庭、学校、社会中扮演的角色，合理规划生活、学习、工作、闲</w:t>
      </w:r>
      <w:r>
        <w:rPr>
          <w:spacing w:val="-19"/>
        </w:rPr>
        <w:t>暇时间等；认识到生涯规划与管理是不断变化的，树立正确的生涯态度及价值观。</w:t>
      </w:r>
    </w:p>
    <w:p>
      <w:pPr>
        <w:pStyle w:val="BodyText"/>
        <w:spacing w:before="5"/>
        <w:rPr>
          <w:sz w:val="23"/>
        </w:rPr>
      </w:pPr>
    </w:p>
    <w:p>
      <w:pPr>
        <w:pStyle w:val="ListParagraph"/>
        <w:numPr>
          <w:ilvl w:val="2"/>
          <w:numId w:val="42"/>
        </w:numPr>
        <w:tabs>
          <w:tab w:pos="1920" w:val="left" w:leader="none"/>
        </w:tabs>
        <w:spacing w:line="240" w:lineRule="auto" w:before="1" w:after="0"/>
        <w:ind w:left="1920" w:right="0" w:hanging="600"/>
        <w:jc w:val="left"/>
        <w:rPr>
          <w:sz w:val="24"/>
        </w:rPr>
      </w:pPr>
      <w:r>
        <w:rPr>
          <w:sz w:val="24"/>
        </w:rPr>
        <w:t>确立生涯规划素养</w:t>
      </w:r>
    </w:p>
    <w:p>
      <w:pPr>
        <w:pStyle w:val="BodyText"/>
        <w:spacing w:before="7"/>
        <w:rPr>
          <w:sz w:val="35"/>
        </w:rPr>
      </w:pPr>
    </w:p>
    <w:p>
      <w:pPr>
        <w:pStyle w:val="BodyText"/>
        <w:spacing w:line="364" w:lineRule="auto"/>
        <w:ind w:left="1320" w:right="1577" w:firstLine="480"/>
        <w:jc w:val="both"/>
      </w:pPr>
      <w:r>
        <w:rPr>
          <w:spacing w:val="-5"/>
        </w:rPr>
        <w:t>前述发达国家生涯规划教育实施目标中所反映出的“生涯规划素养”，在实际经验上为我国生涯规划教育核心素养框架的厘定提供了借鉴，我们有必要对世</w:t>
      </w:r>
      <w:r>
        <w:rPr>
          <w:spacing w:val="-6"/>
        </w:rPr>
        <w:t>界范围内的生涯规划教育实施目标进行分析，对其经验加以本土化利用，从而确</w:t>
      </w:r>
      <w:r>
        <w:rPr>
          <w:spacing w:val="-8"/>
        </w:rPr>
        <w:t>立我国普通高中的生涯规划素养。因此，本研究以生涯规划教育实施目标维度中</w:t>
      </w:r>
      <w:r>
        <w:rPr/>
        <w:t>的具体内容为基础，从中提炼出相应的“生涯规划素养”。</w:t>
      </w:r>
    </w:p>
    <w:p>
      <w:pPr>
        <w:pStyle w:val="BodyText"/>
        <w:spacing w:before="3"/>
        <w:ind w:left="1740"/>
      </w:pPr>
      <w:r>
        <w:rPr/>
        <w:t>本研究初步将我国普通高中的“生涯规划素养”归纳为以下几类：</w:t>
      </w:r>
    </w:p>
    <w:p>
      <w:pPr>
        <w:pStyle w:val="ListParagraph"/>
        <w:numPr>
          <w:ilvl w:val="0"/>
          <w:numId w:val="44"/>
        </w:numPr>
        <w:tabs>
          <w:tab w:pos="2041" w:val="left" w:leader="none"/>
        </w:tabs>
        <w:spacing w:line="240" w:lineRule="auto" w:before="160" w:after="0"/>
        <w:ind w:left="2041" w:right="0" w:hanging="181"/>
        <w:jc w:val="left"/>
        <w:rPr>
          <w:sz w:val="24"/>
        </w:rPr>
      </w:pPr>
      <w:r>
        <w:rPr>
          <w:sz w:val="24"/>
        </w:rPr>
        <w:t>终身发展能力</w:t>
      </w:r>
    </w:p>
    <w:p>
      <w:pPr>
        <w:pStyle w:val="BodyText"/>
        <w:spacing w:line="364" w:lineRule="auto" w:before="161"/>
        <w:ind w:left="1320" w:right="1577" w:firstLine="480"/>
        <w:jc w:val="both"/>
      </w:pPr>
      <w:r>
        <w:rPr>
          <w:spacing w:val="-6"/>
        </w:rPr>
        <w:t>学生能够认识到终身发展的意义和价值。在复杂多元的社会中，培养个体终</w:t>
      </w:r>
      <w:r>
        <w:rPr>
          <w:spacing w:val="-10"/>
        </w:rPr>
        <w:t>身发展、生涯发展的意识，使个体具备终身发展能力。个体随着社会的发展，将</w:t>
      </w:r>
      <w:r>
        <w:rPr/>
        <w:t>不断地进行自我发展与自我完善，从而实现持续性发展。</w:t>
      </w:r>
    </w:p>
    <w:p>
      <w:pPr>
        <w:pStyle w:val="ListParagraph"/>
        <w:numPr>
          <w:ilvl w:val="0"/>
          <w:numId w:val="44"/>
        </w:numPr>
        <w:tabs>
          <w:tab w:pos="2040" w:val="left" w:leader="none"/>
        </w:tabs>
        <w:spacing w:line="240" w:lineRule="auto" w:before="2" w:after="0"/>
        <w:ind w:left="2040" w:right="0" w:hanging="300"/>
        <w:jc w:val="both"/>
        <w:rPr>
          <w:sz w:val="24"/>
        </w:rPr>
      </w:pPr>
      <w:r>
        <w:rPr>
          <w:sz w:val="24"/>
        </w:rPr>
        <w:t>沟通能力</w:t>
      </w:r>
    </w:p>
    <w:p>
      <w:pPr>
        <w:pStyle w:val="BodyText"/>
        <w:spacing w:line="364" w:lineRule="auto" w:before="160"/>
        <w:ind w:left="1320" w:right="1577" w:firstLine="480"/>
        <w:jc w:val="both"/>
      </w:pPr>
      <w:r>
        <w:rPr>
          <w:spacing w:val="-5"/>
        </w:rPr>
        <w:t>学生能够运用口头或者书面的交流技能准确地表达自己的所感所想，掌握人</w:t>
      </w:r>
      <w:r>
        <w:rPr>
          <w:spacing w:val="-10"/>
        </w:rPr>
        <w:t>际交往的技巧，运用适当的语言与不同的人群进行有效沟通与互动，建立并维持</w:t>
      </w:r>
      <w:r>
        <w:rPr>
          <w:spacing w:val="-9"/>
        </w:rPr>
        <w:t>良好的人际关系。此外，在不同的团体中也需要个体有效地进行交流和工作，知</w:t>
      </w:r>
      <w:r>
        <w:rPr/>
        <w:t>道如何寻求帮助解决人际关系等问题。</w:t>
      </w:r>
    </w:p>
    <w:p>
      <w:pPr>
        <w:pStyle w:val="ListParagraph"/>
        <w:numPr>
          <w:ilvl w:val="0"/>
          <w:numId w:val="44"/>
        </w:numPr>
        <w:tabs>
          <w:tab w:pos="2040" w:val="left" w:leader="none"/>
        </w:tabs>
        <w:spacing w:line="240" w:lineRule="auto" w:before="3" w:after="0"/>
        <w:ind w:left="2040" w:right="0" w:hanging="300"/>
        <w:jc w:val="both"/>
        <w:rPr>
          <w:sz w:val="24"/>
        </w:rPr>
      </w:pPr>
      <w:r>
        <w:rPr>
          <w:sz w:val="24"/>
        </w:rPr>
        <w:t>信息与技术能力</w:t>
      </w:r>
    </w:p>
    <w:p>
      <w:pPr>
        <w:pStyle w:val="BodyText"/>
        <w:spacing w:line="364" w:lineRule="auto" w:before="160"/>
        <w:ind w:left="1320" w:right="1485" w:firstLine="420"/>
        <w:jc w:val="both"/>
      </w:pPr>
      <w:r>
        <w:rPr/>
        <w:t>信息时代的各种信息呈指数式增长，需要学生掌握获取信息的途径和方法， 合理、高效运用各种各样的信息检索工具，根据自己的需要搜集、筛选、分析、使用生涯信息。</w:t>
      </w:r>
    </w:p>
    <w:p>
      <w:pPr>
        <w:spacing w:after="0" w:line="364" w:lineRule="auto"/>
        <w:jc w:val="both"/>
        <w:sectPr>
          <w:pgSz w:w="11910" w:h="16840"/>
          <w:pgMar w:header="878" w:footer="1191" w:top="1300" w:bottom="1380" w:left="480" w:right="220"/>
        </w:sectPr>
      </w:pPr>
    </w:p>
    <w:p>
      <w:pPr>
        <w:pStyle w:val="BodyText"/>
        <w:spacing w:before="8"/>
        <w:rPr>
          <w:sz w:val="10"/>
        </w:rPr>
      </w:pPr>
    </w:p>
    <w:p>
      <w:pPr>
        <w:pStyle w:val="ListParagraph"/>
        <w:numPr>
          <w:ilvl w:val="0"/>
          <w:numId w:val="44"/>
        </w:numPr>
        <w:tabs>
          <w:tab w:pos="2040" w:val="left" w:leader="none"/>
        </w:tabs>
        <w:spacing w:line="240" w:lineRule="auto" w:before="74" w:after="0"/>
        <w:ind w:left="2040" w:right="0" w:hanging="300"/>
        <w:jc w:val="both"/>
        <w:rPr>
          <w:sz w:val="24"/>
        </w:rPr>
      </w:pPr>
      <w:bookmarkStart w:name="_bookmark244" w:id="291"/>
      <w:bookmarkEnd w:id="291"/>
      <w:r>
        <w:rPr/>
      </w:r>
      <w:bookmarkStart w:name="_bookmark244" w:id="292"/>
      <w:bookmarkEnd w:id="292"/>
      <w:r>
        <w:rPr>
          <w:sz w:val="24"/>
        </w:rPr>
        <w:t>自主规划能力</w:t>
      </w:r>
    </w:p>
    <w:p>
      <w:pPr>
        <w:pStyle w:val="BodyText"/>
        <w:spacing w:line="364" w:lineRule="auto" w:before="160"/>
        <w:ind w:left="1320" w:right="1575" w:firstLine="480"/>
        <w:jc w:val="both"/>
      </w:pPr>
      <w:r>
        <w:rPr>
          <w:spacing w:val="-7"/>
        </w:rPr>
        <w:t>学生能够凭借对自我的认知，使自己专注于教育、职业和生活上的目标，制</w:t>
      </w:r>
      <w:r>
        <w:rPr>
          <w:spacing w:val="-9"/>
        </w:rPr>
        <w:t>定符合实际的计划。学生还应该了解影响决策的有利因素，并将其应用到生涯计</w:t>
      </w:r>
      <w:r>
        <w:rPr>
          <w:spacing w:val="-10"/>
        </w:rPr>
        <w:t>划的制定、应用和评价中，并且根据计划的执行情况进行修改。在此基础上，培</w:t>
      </w:r>
      <w:r>
        <w:rPr/>
        <w:t>养有助于学生实现工作、学习和生活成功的自我规划和管理能力。</w:t>
      </w:r>
    </w:p>
    <w:p>
      <w:pPr>
        <w:pStyle w:val="ListParagraph"/>
        <w:numPr>
          <w:ilvl w:val="0"/>
          <w:numId w:val="44"/>
        </w:numPr>
        <w:tabs>
          <w:tab w:pos="2040" w:val="left" w:leader="none"/>
        </w:tabs>
        <w:spacing w:line="240" w:lineRule="auto" w:before="3" w:after="0"/>
        <w:ind w:left="2040" w:right="0" w:hanging="300"/>
        <w:jc w:val="both"/>
        <w:rPr>
          <w:sz w:val="24"/>
        </w:rPr>
      </w:pPr>
      <w:r>
        <w:rPr>
          <w:sz w:val="24"/>
        </w:rPr>
        <w:t>适应能力</w:t>
      </w:r>
    </w:p>
    <w:p>
      <w:pPr>
        <w:pStyle w:val="BodyText"/>
        <w:spacing w:line="364" w:lineRule="auto" w:before="160"/>
        <w:ind w:left="1320" w:right="1577" w:firstLine="480"/>
        <w:jc w:val="both"/>
      </w:pPr>
      <w:r>
        <w:rPr>
          <w:spacing w:val="-9"/>
        </w:rPr>
        <w:t>学生需要理解学习、生活和工作会随着经济、社会以及个人决策等的变化而</w:t>
      </w:r>
      <w:r>
        <w:rPr>
          <w:spacing w:val="-10"/>
        </w:rPr>
        <w:t>发生改变，在复杂的社会环境中适应不断变化的各种角色，平衡各角色之间的关系，及时适应不同的工作职责、环境等。培养学生的问题解决策略，让学生能够</w:t>
      </w:r>
      <w:r>
        <w:rPr/>
        <w:t>正确面对和处理生涯发展中的挫折与失败等问题。</w:t>
      </w:r>
    </w:p>
    <w:p>
      <w:pPr>
        <w:pStyle w:val="BodyText"/>
        <w:spacing w:before="5"/>
        <w:rPr>
          <w:sz w:val="23"/>
        </w:rPr>
      </w:pPr>
    </w:p>
    <w:p>
      <w:pPr>
        <w:pStyle w:val="ListParagraph"/>
        <w:numPr>
          <w:ilvl w:val="2"/>
          <w:numId w:val="42"/>
        </w:numPr>
        <w:tabs>
          <w:tab w:pos="1920" w:val="left" w:leader="none"/>
        </w:tabs>
        <w:spacing w:line="240" w:lineRule="auto" w:before="1" w:after="0"/>
        <w:ind w:left="1920" w:right="0" w:hanging="600"/>
        <w:jc w:val="left"/>
        <w:rPr>
          <w:sz w:val="24"/>
        </w:rPr>
      </w:pPr>
      <w:r>
        <w:rPr>
          <w:sz w:val="24"/>
        </w:rPr>
        <w:t>分解生涯规划素养</w:t>
      </w:r>
    </w:p>
    <w:p>
      <w:pPr>
        <w:pStyle w:val="BodyText"/>
        <w:spacing w:before="7"/>
        <w:rPr>
          <w:sz w:val="35"/>
        </w:rPr>
      </w:pPr>
    </w:p>
    <w:p>
      <w:pPr>
        <w:pStyle w:val="BodyText"/>
        <w:spacing w:line="364" w:lineRule="auto"/>
        <w:ind w:left="1320" w:right="1577" w:firstLine="480"/>
        <w:jc w:val="both"/>
      </w:pPr>
      <w:r>
        <w:rPr>
          <w:spacing w:val="-12"/>
        </w:rPr>
        <w:t>通过对美国、新西兰、澳大利亚、加拿大四个国家的生涯规划教育目标进行</w:t>
      </w:r>
      <w:r>
        <w:rPr>
          <w:spacing w:val="-11"/>
        </w:rPr>
        <w:t>归纳与总结，提炼出上述 </w:t>
      </w:r>
      <w:r>
        <w:rPr>
          <w:rFonts w:ascii="Times New Roman" w:eastAsia="Times New Roman"/>
        </w:rPr>
        <w:t>5 </w:t>
      </w:r>
      <w:r>
        <w:rPr>
          <w:spacing w:val="-6"/>
        </w:rPr>
        <w:t>类生涯规划教育的核心素养：终身发展能力、沟通能</w:t>
      </w:r>
      <w:r>
        <w:rPr>
          <w:spacing w:val="-11"/>
        </w:rPr>
        <w:t>力、信息与技术能力、适应能力，涉及了自主发展、生涯探索、生涯规划与管理</w:t>
      </w:r>
      <w:r>
        <w:rPr>
          <w:spacing w:val="-10"/>
        </w:rPr>
        <w:t>三个维度。本研究认为有必要对生涯规划素养进行解构，把理论层面的生涯规划素养具象化，逐级分解成具体的、操作性较强的性能指标，才能将其充分融入生</w:t>
      </w:r>
      <w:r>
        <w:rPr/>
        <w:t>涯规划教育实施目标的三个维度中。</w:t>
      </w:r>
    </w:p>
    <w:p>
      <w:pPr>
        <w:pStyle w:val="BodyText"/>
        <w:spacing w:line="364" w:lineRule="auto" w:before="3"/>
        <w:ind w:left="1320" w:right="1485" w:firstLine="480"/>
      </w:pPr>
      <w:r>
        <w:rPr>
          <w:spacing w:val="-1"/>
        </w:rPr>
        <w:t>首先，生涯规划教育的开展应是一个递进的过程，从小学持续到大学阶段， </w:t>
      </w:r>
      <w:r>
        <w:rPr>
          <w:spacing w:val="-7"/>
        </w:rPr>
        <w:t>具有连贯性与系统性。但基于我国的实际情况，当前生涯规划教育开展的主阵地</w:t>
      </w:r>
      <w:r>
        <w:rPr/>
        <w:t>是普通高中，需要在普通高中内围绕这三个维度有序而系统地实施生涯规划教</w:t>
      </w:r>
      <w:r>
        <w:rPr>
          <w:spacing w:val="-9"/>
        </w:rPr>
        <w:t>育。例如，尝试在高中阶段按照学生的自主发展、生涯探索、生涯规划与管理的顺序规划生涯规划教育的实施。</w:t>
      </w:r>
    </w:p>
    <w:p>
      <w:pPr>
        <w:pStyle w:val="BodyText"/>
        <w:spacing w:line="364" w:lineRule="auto" w:before="3"/>
        <w:ind w:left="1320" w:right="1485" w:firstLine="480"/>
      </w:pPr>
      <w:r>
        <w:rPr>
          <w:spacing w:val="-1"/>
        </w:rPr>
        <w:t>其次，生涯规划素养的内涵界定丰富化，明确生涯规划素养的内涵与外延。</w:t>
      </w:r>
      <w:r>
        <w:rPr>
          <w:spacing w:val="-6"/>
        </w:rPr>
        <w:t>在明确生涯规划教育内涵的基础上，再把生涯规划素养分解至生涯规划教育实施</w:t>
      </w:r>
      <w:r>
        <w:rPr>
          <w:spacing w:val="-13"/>
        </w:rPr>
        <w:t>目标中的每一个维度中，结合不同年级学生的特征为每个维度所要达到的目标设立一定的性能指标，对其标准再加以具体的阐释与说明。</w:t>
      </w:r>
    </w:p>
    <w:p>
      <w:pPr>
        <w:pStyle w:val="BodyText"/>
        <w:spacing w:line="364" w:lineRule="auto" w:before="3"/>
        <w:ind w:left="1320" w:right="1485" w:firstLine="480"/>
      </w:pPr>
      <w:r>
        <w:rPr/>
        <w:t>再次，通过生涯规划素养性能指标的确立，不断地对生涯规划素养的知识、技能与情感态度方面加以细化，对宏观上位的生涯规划素养理念进行分解与调</w:t>
      </w:r>
    </w:p>
    <w:p>
      <w:pPr>
        <w:spacing w:after="0" w:line="364" w:lineRule="auto"/>
        <w:sectPr>
          <w:pgSz w:w="11910" w:h="16840"/>
          <w:pgMar w:header="878" w:footer="1191" w:top="1300" w:bottom="1380" w:left="480" w:right="220"/>
        </w:sectPr>
      </w:pPr>
    </w:p>
    <w:p>
      <w:pPr>
        <w:pStyle w:val="BodyText"/>
        <w:spacing w:before="3"/>
        <w:rPr>
          <w:sz w:val="11"/>
        </w:rPr>
      </w:pPr>
    </w:p>
    <w:p>
      <w:pPr>
        <w:pStyle w:val="BodyText"/>
        <w:spacing w:line="364" w:lineRule="auto" w:before="66"/>
        <w:ind w:left="1320" w:right="1577"/>
        <w:jc w:val="both"/>
      </w:pPr>
      <w:bookmarkStart w:name="_bookmark245" w:id="293"/>
      <w:bookmarkEnd w:id="293"/>
      <w:r>
        <w:rPr/>
      </w:r>
      <w:r>
        <w:rPr>
          <w:spacing w:val="-10"/>
        </w:rPr>
        <w:t>整。由此将理论层面的生涯规划素养具象化，使其转化成教师切实可行的教学内容，将生涯规划素养完全融入具体的课程之中，只有这样，对学生生涯规划素养</w:t>
      </w:r>
      <w:r>
        <w:rPr/>
        <w:t>的培养才能得到贯彻与落实。</w:t>
      </w:r>
    </w:p>
    <w:p>
      <w:pPr>
        <w:pStyle w:val="BodyText"/>
        <w:spacing w:before="4"/>
        <w:rPr>
          <w:sz w:val="17"/>
        </w:rPr>
      </w:pPr>
    </w:p>
    <w:p>
      <w:pPr>
        <w:pStyle w:val="Heading2"/>
        <w:numPr>
          <w:ilvl w:val="1"/>
          <w:numId w:val="42"/>
        </w:numPr>
        <w:tabs>
          <w:tab w:pos="1810" w:val="left" w:leader="none"/>
        </w:tabs>
        <w:spacing w:line="240" w:lineRule="auto" w:before="0" w:after="0"/>
        <w:ind w:left="1809" w:right="0" w:hanging="490"/>
        <w:jc w:val="left"/>
      </w:pPr>
      <w:r>
        <w:rPr/>
        <w:t>丰富普通高中生涯规划教育的实施内容</w:t>
      </w:r>
    </w:p>
    <w:p>
      <w:pPr>
        <w:pStyle w:val="BodyText"/>
        <w:spacing w:before="5"/>
        <w:rPr>
          <w:rFonts w:ascii="Microsoft JhengHei"/>
          <w:b/>
          <w:sz w:val="22"/>
        </w:rPr>
      </w:pPr>
    </w:p>
    <w:p>
      <w:pPr>
        <w:pStyle w:val="BodyText"/>
        <w:spacing w:line="364" w:lineRule="auto"/>
        <w:ind w:left="1320" w:right="1577" w:firstLine="480"/>
        <w:rPr>
          <w:rFonts w:ascii="Times New Roman" w:eastAsia="Times New Roman"/>
          <w:sz w:val="15"/>
        </w:rPr>
      </w:pPr>
      <w:r>
        <w:rPr>
          <w:spacing w:val="-11"/>
        </w:rPr>
        <w:t>基于前述分析，本研究认为当前我国普通高中生涯规划教育的实施内容可从</w:t>
      </w:r>
      <w:r>
        <w:rPr/>
        <w:t>以下四方面来考虑：自我认知领域、生活领域、职业领域、学习领域。</w:t>
      </w:r>
      <w:r>
        <w:rPr>
          <w:rFonts w:ascii="Times New Roman" w:eastAsia="Times New Roman"/>
          <w:position w:val="8"/>
          <w:sz w:val="15"/>
        </w:rPr>
        <w:t>[</w:t>
      </w:r>
      <w:hyperlink w:history="true" w:anchor="_bookmark246">
        <w:r>
          <w:rPr>
            <w:rFonts w:ascii="Times New Roman" w:eastAsia="Times New Roman"/>
            <w:position w:val="8"/>
            <w:sz w:val="15"/>
          </w:rPr>
          <w:t>1</w:t>
        </w:r>
      </w:hyperlink>
      <w:r>
        <w:rPr>
          <w:rFonts w:ascii="Times New Roman" w:eastAsia="Times New Roman"/>
          <w:position w:val="8"/>
          <w:sz w:val="15"/>
        </w:rPr>
        <w:t>]</w:t>
      </w:r>
    </w:p>
    <w:p>
      <w:pPr>
        <w:pStyle w:val="BodyText"/>
        <w:spacing w:before="9"/>
        <w:rPr>
          <w:rFonts w:ascii="Times New Roman"/>
          <w:sz w:val="25"/>
        </w:rPr>
      </w:pPr>
    </w:p>
    <w:p>
      <w:pPr>
        <w:pStyle w:val="ListParagraph"/>
        <w:numPr>
          <w:ilvl w:val="2"/>
          <w:numId w:val="42"/>
        </w:numPr>
        <w:tabs>
          <w:tab w:pos="1920" w:val="left" w:leader="none"/>
        </w:tabs>
        <w:spacing w:line="240" w:lineRule="auto" w:before="0" w:after="0"/>
        <w:ind w:left="1920" w:right="0" w:hanging="600"/>
        <w:jc w:val="left"/>
        <w:rPr>
          <w:sz w:val="24"/>
        </w:rPr>
      </w:pPr>
      <w:r>
        <w:rPr>
          <w:sz w:val="24"/>
        </w:rPr>
        <w:t>自我认知</w:t>
      </w:r>
    </w:p>
    <w:p>
      <w:pPr>
        <w:pStyle w:val="BodyText"/>
        <w:spacing w:before="10"/>
        <w:rPr>
          <w:sz w:val="35"/>
        </w:rPr>
      </w:pPr>
    </w:p>
    <w:p>
      <w:pPr>
        <w:pStyle w:val="BodyText"/>
        <w:spacing w:line="364" w:lineRule="auto"/>
        <w:ind w:left="1320" w:right="1455" w:firstLine="480"/>
      </w:pPr>
      <w:r>
        <w:rPr/>
        <w:t>兵法有云“知己知彼，百战百胜”，正确认识自己是实现成功的前提条件。</w:t>
      </w:r>
      <w:r>
        <w:rPr>
          <w:spacing w:val="-15"/>
        </w:rPr>
        <w:t>只有认清自己的能力，了解自己的条件与需求，才能把握机会，做出有效的决策， </w:t>
      </w:r>
      <w:r>
        <w:rPr>
          <w:spacing w:val="-8"/>
        </w:rPr>
        <w:t>采取正确的行动。但是，一个人对自我的认识并非一蹴而就的，需要经过不断的探索与反思，才能逐渐使自我形象变得清晰，从而更大可能地成就成功的人生。</w:t>
      </w:r>
    </w:p>
    <w:p>
      <w:pPr>
        <w:pStyle w:val="BodyText"/>
        <w:spacing w:line="364" w:lineRule="auto" w:before="2"/>
        <w:ind w:left="1319" w:right="1485" w:firstLine="480"/>
      </w:pPr>
      <w:r>
        <w:rPr>
          <w:spacing w:val="-7"/>
        </w:rPr>
        <w:t>在自我认识的过程中，美国心理治疗专家费池关于自我概念的五个维度，具</w:t>
      </w:r>
      <w:r>
        <w:rPr>
          <w:spacing w:val="-8"/>
        </w:rPr>
        <w:t>有一定的借鉴意义。这五个维度分别是生理我、道德伦理我、心理我、家庭我、</w:t>
      </w:r>
      <w:r>
        <w:rPr/>
        <w:t>社会我。</w:t>
      </w:r>
      <w:r>
        <w:rPr>
          <w:rFonts w:ascii="Times New Roman" w:hAnsi="Times New Roman" w:eastAsia="Times New Roman"/>
          <w:position w:val="8"/>
          <w:sz w:val="15"/>
        </w:rPr>
        <w:t>[</w:t>
      </w:r>
      <w:hyperlink w:history="true" w:anchor="_bookmark247">
        <w:r>
          <w:rPr>
            <w:rFonts w:ascii="Times New Roman" w:hAnsi="Times New Roman" w:eastAsia="Times New Roman"/>
            <w:position w:val="8"/>
            <w:sz w:val="15"/>
          </w:rPr>
          <w:t>2</w:t>
        </w:r>
      </w:hyperlink>
      <w:r>
        <w:rPr>
          <w:rFonts w:ascii="Times New Roman" w:hAnsi="Times New Roman" w:eastAsia="Times New Roman"/>
          <w:position w:val="8"/>
          <w:sz w:val="15"/>
        </w:rPr>
        <w:t>]</w:t>
      </w:r>
      <w:r>
        <w:rPr/>
        <w:t>其中“生理我”是基本的自我概念，包括个人对自己的身高、体重、</w:t>
      </w:r>
      <w:r>
        <w:rPr>
          <w:spacing w:val="-10"/>
        </w:rPr>
        <w:t>年龄、身体状况、外貌、动作技能等方面的感知；“心理我”主要指对个人对自</w:t>
      </w:r>
      <w:r>
        <w:rPr>
          <w:spacing w:val="-12"/>
        </w:rPr>
        <w:t>身性格、气质、爱好、价值观和人生观等方面的个人价值与能力的评价；“社会</w:t>
      </w:r>
      <w:r>
        <w:rPr>
          <w:spacing w:val="-10"/>
        </w:rPr>
        <w:t>我”包括了个人在与他人交往中对自己能力与价值的看法，即个人在群体中的地</w:t>
      </w:r>
      <w:r>
        <w:rPr>
          <w:spacing w:val="-11"/>
        </w:rPr>
        <w:t>位、角色与他人的关系等；心理我在个人的发展中具有“引导性”作用，因此， </w:t>
      </w:r>
      <w:r>
        <w:rPr/>
        <w:t>学校的生涯规划教育主要帮助学生认识“心理我”。</w:t>
      </w:r>
      <w:r>
        <w:rPr>
          <w:rFonts w:ascii="Times New Roman" w:hAnsi="Times New Roman" w:eastAsia="Times New Roman"/>
          <w:position w:val="8"/>
          <w:sz w:val="15"/>
        </w:rPr>
        <w:t>[</w:t>
      </w:r>
      <w:hyperlink w:history="true" w:anchor="_bookmark248">
        <w:r>
          <w:rPr>
            <w:rFonts w:ascii="Times New Roman" w:hAnsi="Times New Roman" w:eastAsia="Times New Roman"/>
            <w:position w:val="8"/>
            <w:sz w:val="15"/>
          </w:rPr>
          <w:t>3</w:t>
        </w:r>
      </w:hyperlink>
      <w:r>
        <w:rPr>
          <w:rFonts w:ascii="Times New Roman" w:hAnsi="Times New Roman" w:eastAsia="Times New Roman"/>
          <w:position w:val="8"/>
          <w:sz w:val="15"/>
        </w:rPr>
        <w:t>]</w:t>
      </w:r>
      <w:r>
        <w:rPr/>
        <w:t>指导学生认识“心理我” 至少需要让学生了解以下方面：</w:t>
      </w:r>
    </w:p>
    <w:p>
      <w:pPr>
        <w:pStyle w:val="ListParagraph"/>
        <w:numPr>
          <w:ilvl w:val="0"/>
          <w:numId w:val="45"/>
        </w:numPr>
        <w:tabs>
          <w:tab w:pos="2401" w:val="left" w:leader="none"/>
        </w:tabs>
        <w:spacing w:line="364" w:lineRule="auto" w:before="6" w:after="0"/>
        <w:ind w:left="1319" w:right="1581" w:firstLine="480"/>
        <w:jc w:val="left"/>
        <w:rPr>
          <w:sz w:val="24"/>
        </w:rPr>
      </w:pPr>
      <w:r>
        <w:rPr>
          <w:spacing w:val="-1"/>
          <w:sz w:val="24"/>
        </w:rPr>
        <w:t>知道我是谁——对自我的性格特征、兴趣爱好、特长能力、潜能的认</w:t>
      </w:r>
      <w:r>
        <w:rPr>
          <w:sz w:val="24"/>
        </w:rPr>
        <w:t>识；</w:t>
      </w:r>
    </w:p>
    <w:p>
      <w:pPr>
        <w:pStyle w:val="ListParagraph"/>
        <w:numPr>
          <w:ilvl w:val="0"/>
          <w:numId w:val="45"/>
        </w:numPr>
        <w:tabs>
          <w:tab w:pos="2401" w:val="left" w:leader="none"/>
        </w:tabs>
        <w:spacing w:line="240" w:lineRule="auto" w:before="1" w:after="0"/>
        <w:ind w:left="2401" w:right="0" w:hanging="602"/>
        <w:jc w:val="left"/>
        <w:rPr>
          <w:sz w:val="24"/>
        </w:rPr>
      </w:pPr>
      <w:r>
        <w:rPr>
          <w:sz w:val="24"/>
        </w:rPr>
        <w:t>自我概念的意义、价值，及其与生涯发展的关系；</w:t>
      </w:r>
    </w:p>
    <w:p>
      <w:pPr>
        <w:pStyle w:val="ListParagraph"/>
        <w:numPr>
          <w:ilvl w:val="0"/>
          <w:numId w:val="45"/>
        </w:numPr>
        <w:tabs>
          <w:tab w:pos="2401" w:val="left" w:leader="none"/>
        </w:tabs>
        <w:spacing w:line="240" w:lineRule="auto" w:before="160" w:after="0"/>
        <w:ind w:left="2401" w:right="0" w:hanging="602"/>
        <w:jc w:val="left"/>
        <w:rPr>
          <w:sz w:val="24"/>
        </w:rPr>
      </w:pPr>
      <w:r>
        <w:rPr>
          <w:sz w:val="24"/>
        </w:rPr>
        <w:t>家庭、年龄与成熟、社会文化与经济发展形成的影响；</w:t>
      </w:r>
    </w:p>
    <w:p>
      <w:pPr>
        <w:pStyle w:val="BodyText"/>
        <w:spacing w:before="8"/>
        <w:rPr>
          <w:sz w:val="20"/>
        </w:rPr>
      </w:pPr>
      <w:r>
        <w:rPr/>
        <w:pict>
          <v:shape style="position:absolute;margin-left:90pt;margin-top:15.423526pt;width:144pt;height:.1pt;mso-position-horizontal-relative:page;mso-position-vertical-relative:paragraph;z-index:-251542528;mso-wrap-distance-left:0;mso-wrap-distance-right:0" coordorigin="1800,308" coordsize="2880,0" path="m1800,308l4680,308e" filled="false" stroked="true" strokeweight=".402pt" strokecolor="#000000">
            <v:path arrowok="t"/>
            <v:stroke dashstyle="solid"/>
            <w10:wrap type="topAndBottom"/>
          </v:shape>
        </w:pict>
      </w:r>
    </w:p>
    <w:p>
      <w:pPr>
        <w:spacing w:before="93"/>
        <w:ind w:left="1320" w:right="0" w:firstLine="0"/>
        <w:jc w:val="left"/>
        <w:rPr>
          <w:rFonts w:ascii="Times New Roman" w:hAnsi="Times New Roman" w:eastAsia="Times New Roman"/>
          <w:sz w:val="18"/>
        </w:rPr>
      </w:pPr>
      <w:bookmarkStart w:name="_bookmark246" w:id="294"/>
      <w:bookmarkEnd w:id="294"/>
      <w:r>
        <w:rPr/>
      </w:r>
      <w:r>
        <w:rPr>
          <w:rFonts w:ascii="Times New Roman" w:hAnsi="Times New Roman" w:eastAsia="Times New Roman"/>
          <w:position w:val="7"/>
          <w:sz w:val="13"/>
        </w:rPr>
        <w:t>[1] </w:t>
      </w:r>
      <w:r>
        <w:rPr>
          <w:sz w:val="18"/>
        </w:rPr>
        <w:t>黄天中</w:t>
      </w:r>
      <w:r>
        <w:rPr>
          <w:rFonts w:ascii="Times New Roman" w:hAnsi="Times New Roman" w:eastAsia="Times New Roman"/>
          <w:sz w:val="18"/>
        </w:rPr>
        <w:t>.</w:t>
      </w:r>
      <w:r>
        <w:rPr>
          <w:sz w:val="18"/>
        </w:rPr>
        <w:t>生涯规划</w:t>
      </w:r>
      <w:r>
        <w:rPr>
          <w:rFonts w:ascii="Times New Roman" w:hAnsi="Times New Roman" w:eastAsia="Times New Roman"/>
          <w:sz w:val="18"/>
        </w:rPr>
        <w:t>——</w:t>
      </w:r>
      <w:r>
        <w:rPr>
          <w:sz w:val="18"/>
        </w:rPr>
        <w:t>体验式学习</w:t>
      </w:r>
      <w:r>
        <w:rPr>
          <w:rFonts w:ascii="Times New Roman" w:hAnsi="Times New Roman" w:eastAsia="Times New Roman"/>
          <w:sz w:val="18"/>
        </w:rPr>
        <w:t>[M].</w:t>
      </w:r>
      <w:r>
        <w:rPr>
          <w:sz w:val="18"/>
        </w:rPr>
        <w:t>北京</w:t>
      </w:r>
      <w:r>
        <w:rPr>
          <w:rFonts w:ascii="Times New Roman" w:hAnsi="Times New Roman" w:eastAsia="Times New Roman"/>
          <w:sz w:val="18"/>
        </w:rPr>
        <w:t>:</w:t>
      </w:r>
      <w:r>
        <w:rPr>
          <w:sz w:val="18"/>
        </w:rPr>
        <w:t>高等教育出版社，</w:t>
      </w:r>
      <w:r>
        <w:rPr>
          <w:rFonts w:ascii="Times New Roman" w:hAnsi="Times New Roman" w:eastAsia="Times New Roman"/>
          <w:sz w:val="18"/>
        </w:rPr>
        <w:t>2009</w:t>
      </w:r>
      <w:r>
        <w:rPr>
          <w:sz w:val="18"/>
        </w:rPr>
        <w:t>：</w:t>
      </w:r>
      <w:r>
        <w:rPr>
          <w:rFonts w:ascii="Times New Roman" w:hAnsi="Times New Roman" w:eastAsia="Times New Roman"/>
          <w:sz w:val="18"/>
        </w:rPr>
        <w:t>169-359.</w:t>
      </w:r>
    </w:p>
    <w:p>
      <w:pPr>
        <w:spacing w:before="127"/>
        <w:ind w:left="1320" w:right="0" w:firstLine="0"/>
        <w:jc w:val="left"/>
        <w:rPr>
          <w:rFonts w:ascii="Times New Roman" w:eastAsia="Times New Roman"/>
          <w:sz w:val="18"/>
        </w:rPr>
      </w:pPr>
      <w:bookmarkStart w:name="_bookmark247" w:id="295"/>
      <w:bookmarkEnd w:id="295"/>
      <w:r>
        <w:rPr/>
      </w:r>
      <w:r>
        <w:rPr>
          <w:rFonts w:ascii="Times New Roman" w:eastAsia="Times New Roman"/>
          <w:position w:val="7"/>
          <w:sz w:val="13"/>
        </w:rPr>
        <w:t>[2</w:t>
      </w:r>
      <w:r>
        <w:rPr>
          <w:rFonts w:ascii="Times New Roman" w:eastAsia="Times New Roman"/>
          <w:spacing w:val="7"/>
          <w:position w:val="7"/>
          <w:sz w:val="13"/>
        </w:rPr>
        <w:t>]  </w:t>
      </w:r>
      <w:r>
        <w:rPr>
          <w:sz w:val="18"/>
        </w:rPr>
        <w:t>黄天中</w:t>
      </w:r>
      <w:r>
        <w:rPr>
          <w:rFonts w:ascii="Times New Roman" w:eastAsia="Times New Roman"/>
          <w:sz w:val="18"/>
        </w:rPr>
        <w:t>.</w:t>
      </w:r>
      <w:r>
        <w:rPr>
          <w:sz w:val="18"/>
        </w:rPr>
        <w:t>生涯规划</w:t>
      </w:r>
      <w:r>
        <w:rPr>
          <w:rFonts w:ascii="Times New Roman" w:eastAsia="Times New Roman"/>
          <w:sz w:val="18"/>
        </w:rPr>
        <w:t>.[M].</w:t>
      </w:r>
      <w:r>
        <w:rPr>
          <w:sz w:val="18"/>
        </w:rPr>
        <w:t>北京：高等教育出版社</w:t>
      </w:r>
      <w:r>
        <w:rPr>
          <w:rFonts w:ascii="Times New Roman" w:eastAsia="Times New Roman"/>
          <w:sz w:val="18"/>
        </w:rPr>
        <w:t>.2001</w:t>
      </w:r>
      <w:r>
        <w:rPr>
          <w:sz w:val="18"/>
        </w:rPr>
        <w:t>：</w:t>
      </w:r>
      <w:r>
        <w:rPr>
          <w:rFonts w:ascii="Times New Roman" w:eastAsia="Times New Roman"/>
          <w:sz w:val="18"/>
        </w:rPr>
        <w:t>48-52.</w:t>
      </w:r>
    </w:p>
    <w:p>
      <w:pPr>
        <w:spacing w:before="128"/>
        <w:ind w:left="1319" w:right="0" w:firstLine="0"/>
        <w:jc w:val="left"/>
        <w:rPr>
          <w:rFonts w:ascii="Times New Roman" w:eastAsia="Times New Roman"/>
          <w:sz w:val="18"/>
        </w:rPr>
      </w:pPr>
      <w:bookmarkStart w:name="_bookmark248" w:id="296"/>
      <w:bookmarkEnd w:id="296"/>
      <w:r>
        <w:rPr/>
      </w:r>
      <w:r>
        <w:rPr>
          <w:rFonts w:ascii="Times New Roman" w:eastAsia="Times New Roman"/>
          <w:position w:val="7"/>
          <w:sz w:val="13"/>
        </w:rPr>
        <w:t>[3</w:t>
      </w:r>
      <w:r>
        <w:rPr>
          <w:rFonts w:ascii="Times New Roman" w:eastAsia="Times New Roman"/>
          <w:spacing w:val="7"/>
          <w:position w:val="7"/>
          <w:sz w:val="13"/>
        </w:rPr>
        <w:t>]  </w:t>
      </w:r>
      <w:r>
        <w:rPr>
          <w:sz w:val="18"/>
        </w:rPr>
        <w:t>黄天中</w:t>
      </w:r>
      <w:r>
        <w:rPr>
          <w:rFonts w:ascii="Times New Roman" w:eastAsia="Times New Roman"/>
          <w:sz w:val="18"/>
        </w:rPr>
        <w:t>.</w:t>
      </w:r>
      <w:r>
        <w:rPr>
          <w:sz w:val="18"/>
        </w:rPr>
        <w:t>生涯规划</w:t>
      </w:r>
      <w:r>
        <w:rPr>
          <w:rFonts w:ascii="Times New Roman" w:eastAsia="Times New Roman"/>
          <w:sz w:val="18"/>
        </w:rPr>
        <w:t>.[M].</w:t>
      </w:r>
      <w:r>
        <w:rPr>
          <w:sz w:val="18"/>
        </w:rPr>
        <w:t>北京：高等教育出版社</w:t>
      </w:r>
      <w:r>
        <w:rPr>
          <w:rFonts w:ascii="Times New Roman" w:eastAsia="Times New Roman"/>
          <w:sz w:val="18"/>
        </w:rPr>
        <w:t>.2001</w:t>
      </w:r>
      <w:r>
        <w:rPr>
          <w:sz w:val="18"/>
        </w:rPr>
        <w:t>：</w:t>
      </w:r>
      <w:r>
        <w:rPr>
          <w:rFonts w:ascii="Times New Roman" w:eastAsia="Times New Roman"/>
          <w:sz w:val="18"/>
        </w:rPr>
        <w:t>48-52.</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9"/>
        <w:rPr>
          <w:rFonts w:ascii="Times New Roman"/>
          <w:sz w:val="11"/>
        </w:rPr>
      </w:pPr>
    </w:p>
    <w:p>
      <w:pPr>
        <w:pStyle w:val="ListParagraph"/>
        <w:numPr>
          <w:ilvl w:val="0"/>
          <w:numId w:val="45"/>
        </w:numPr>
        <w:tabs>
          <w:tab w:pos="2401" w:val="left" w:leader="none"/>
        </w:tabs>
        <w:spacing w:line="240" w:lineRule="auto" w:before="74" w:after="0"/>
        <w:ind w:left="2401" w:right="0" w:hanging="601"/>
        <w:jc w:val="left"/>
        <w:rPr>
          <w:sz w:val="24"/>
        </w:rPr>
      </w:pPr>
      <w:bookmarkStart w:name="_bookmark249" w:id="297"/>
      <w:bookmarkEnd w:id="297"/>
      <w:r>
        <w:rPr/>
      </w:r>
      <w:bookmarkStart w:name="_bookmark249" w:id="298"/>
      <w:bookmarkEnd w:id="298"/>
      <w:r>
        <w:rPr>
          <w:sz w:val="24"/>
        </w:rPr>
        <w:t>澄清自我的需要；</w:t>
      </w:r>
    </w:p>
    <w:p>
      <w:pPr>
        <w:pStyle w:val="ListParagraph"/>
        <w:numPr>
          <w:ilvl w:val="0"/>
          <w:numId w:val="45"/>
        </w:numPr>
        <w:tabs>
          <w:tab w:pos="2401" w:val="left" w:leader="none"/>
        </w:tabs>
        <w:spacing w:line="364" w:lineRule="auto" w:before="161" w:after="0"/>
        <w:ind w:left="1320" w:right="1455" w:firstLine="480"/>
        <w:jc w:val="left"/>
        <w:rPr>
          <w:sz w:val="24"/>
        </w:rPr>
      </w:pPr>
      <w:r>
        <w:rPr>
          <w:sz w:val="24"/>
        </w:rPr>
        <w:t>提供促进学生自我发展的技能和方法，让学生认同自我，悦纳自我， 肯定自我。可通过能力倾向测验、职业兴趣测验等心理测验帮助学生了解自己， </w:t>
      </w:r>
      <w:r>
        <w:rPr>
          <w:spacing w:val="-14"/>
          <w:sz w:val="24"/>
        </w:rPr>
        <w:t>或者通过他人的反馈，比如来自同学、教师、亲戚对学生的评价，或者学生访谈、</w:t>
      </w:r>
      <w:r>
        <w:rPr>
          <w:sz w:val="24"/>
        </w:rPr>
        <w:t>家庭访问、观察等。</w:t>
      </w:r>
    </w:p>
    <w:p>
      <w:pPr>
        <w:pStyle w:val="ListParagraph"/>
        <w:numPr>
          <w:ilvl w:val="2"/>
          <w:numId w:val="42"/>
        </w:numPr>
        <w:tabs>
          <w:tab w:pos="1920" w:val="left" w:leader="none"/>
        </w:tabs>
        <w:spacing w:line="240" w:lineRule="auto" w:before="38" w:after="0"/>
        <w:ind w:left="1920" w:right="0" w:hanging="600"/>
        <w:jc w:val="left"/>
        <w:rPr>
          <w:sz w:val="24"/>
        </w:rPr>
      </w:pPr>
      <w:r>
        <w:rPr>
          <w:sz w:val="24"/>
        </w:rPr>
        <w:t>生活领域</w:t>
      </w:r>
    </w:p>
    <w:p>
      <w:pPr>
        <w:pStyle w:val="BodyText"/>
        <w:spacing w:line="364" w:lineRule="auto" w:before="197"/>
        <w:ind w:left="1320" w:right="1575" w:firstLine="480"/>
        <w:jc w:val="both"/>
      </w:pPr>
      <w:r>
        <w:rPr>
          <w:spacing w:val="-7"/>
        </w:rPr>
        <w:t>对于高中阶段的青少年而言，认识生命的价值，理解生活的意义，对其终身的发展具有积极作用。个体生命及其价值意义的基础就是生命，因此，必须正确</w:t>
      </w:r>
      <w:r>
        <w:rPr>
          <w:spacing w:val="-8"/>
        </w:rPr>
        <w:t>的引导学生尊重生命、爱惜生命、保护生命。其次，个体的生涯发展涉及生活的</w:t>
      </w:r>
      <w:r>
        <w:rPr>
          <w:spacing w:val="-11"/>
        </w:rPr>
        <w:t>各个方面，广义上地说，学习、工作、休闲、社交、娱乐等都属于生活，生活是</w:t>
      </w:r>
      <w:r>
        <w:rPr>
          <w:spacing w:val="-8"/>
        </w:rPr>
        <w:t>比生存更高级的状态，也是个体对人生的态度。追求幸福而优质的生活，几乎是</w:t>
      </w:r>
      <w:r>
        <w:rPr/>
        <w:t>现代社会人们共同的愿景。</w:t>
      </w:r>
    </w:p>
    <w:p>
      <w:pPr>
        <w:pStyle w:val="BodyText"/>
        <w:spacing w:line="364" w:lineRule="auto" w:before="3"/>
        <w:ind w:left="1320" w:right="1575" w:firstLine="480"/>
        <w:jc w:val="both"/>
      </w:pPr>
      <w:r>
        <w:rPr>
          <w:spacing w:val="-10"/>
        </w:rPr>
        <w:t>因此，本研究认为生涯规划教育中应关注学生在生活中会遇到基本问题，如</w:t>
      </w:r>
      <w:r>
        <w:rPr>
          <w:spacing w:val="-5"/>
        </w:rPr>
        <w:t>人际关系、压力处理、时间分配、闲暇安排、个人理财、心理健康，</w:t>
      </w:r>
      <w:r>
        <w:rPr>
          <w:rFonts w:ascii="Times New Roman" w:eastAsia="Times New Roman"/>
          <w:spacing w:val="-3"/>
          <w:position w:val="8"/>
          <w:sz w:val="15"/>
        </w:rPr>
        <w:t>[</w:t>
      </w:r>
      <w:hyperlink w:history="true" w:anchor="_bookmark250">
        <w:r>
          <w:rPr>
            <w:rFonts w:ascii="Times New Roman" w:eastAsia="Times New Roman"/>
            <w:spacing w:val="-3"/>
            <w:position w:val="8"/>
            <w:sz w:val="15"/>
          </w:rPr>
          <w:t>1</w:t>
        </w:r>
      </w:hyperlink>
      <w:r>
        <w:rPr>
          <w:rFonts w:ascii="Times New Roman" w:eastAsia="Times New Roman"/>
          <w:spacing w:val="-3"/>
          <w:position w:val="8"/>
          <w:sz w:val="15"/>
        </w:rPr>
        <w:t>]</w:t>
      </w:r>
      <w:r>
        <w:rPr>
          <w:spacing w:val="-4"/>
        </w:rPr>
        <w:t>以提高学</w:t>
      </w:r>
      <w:r>
        <w:rPr/>
        <w:t>生的生活品质。</w:t>
      </w:r>
    </w:p>
    <w:p>
      <w:pPr>
        <w:pStyle w:val="BodyText"/>
        <w:spacing w:line="364" w:lineRule="auto" w:before="2"/>
        <w:ind w:left="1320" w:right="1485" w:firstLine="480"/>
      </w:pPr>
      <w:r>
        <w:rPr>
          <w:spacing w:val="-1"/>
        </w:rPr>
        <w:t>再次，如果按照生活范围来分，我们又可将生活分为个人生活、家庭生活、</w:t>
      </w:r>
      <w:r>
        <w:rPr>
          <w:spacing w:val="-10"/>
        </w:rPr>
        <w:t>社会生活。其中，最为重要的当属个人生活与社会生活，及其相互关系，大致包括以下方面：</w:t>
      </w:r>
    </w:p>
    <w:p>
      <w:pPr>
        <w:pStyle w:val="BodyText"/>
        <w:spacing w:line="364" w:lineRule="auto" w:before="2"/>
        <w:ind w:left="1320" w:right="1577" w:firstLine="480"/>
      </w:pPr>
      <w:r>
        <w:rPr>
          <w:spacing w:val="-11"/>
        </w:rPr>
        <w:t>第一，认识生命。包括生命的意义和价值、生命的产生及发展历程、生命健</w:t>
      </w:r>
      <w:r>
        <w:rPr/>
        <w:t>康的重要性、环境对生命的影响以及死亡教育；</w:t>
      </w:r>
    </w:p>
    <w:p>
      <w:pPr>
        <w:pStyle w:val="BodyText"/>
        <w:spacing w:line="364" w:lineRule="auto" w:before="1"/>
        <w:ind w:left="1319" w:right="1485" w:firstLine="480"/>
      </w:pPr>
      <w:r>
        <w:rPr/>
        <w:t>第二，学会生活。</w:t>
      </w:r>
      <w:r>
        <w:rPr>
          <w:rFonts w:ascii="Times New Roman" w:eastAsia="Times New Roman"/>
          <w:position w:val="8"/>
          <w:sz w:val="15"/>
        </w:rPr>
        <w:t>[</w:t>
      </w:r>
      <w:hyperlink w:history="true" w:anchor="_bookmark251">
        <w:r>
          <w:rPr>
            <w:rFonts w:ascii="Times New Roman" w:eastAsia="Times New Roman"/>
            <w:position w:val="8"/>
            <w:sz w:val="15"/>
          </w:rPr>
          <w:t>2</w:t>
        </w:r>
      </w:hyperlink>
      <w:r>
        <w:rPr>
          <w:rFonts w:ascii="Times New Roman" w:eastAsia="Times New Roman"/>
          <w:position w:val="8"/>
          <w:sz w:val="15"/>
        </w:rPr>
        <w:t>]</w:t>
      </w:r>
      <w:r>
        <w:rPr/>
        <w:t>（</w:t>
      </w:r>
      <w:r>
        <w:rPr>
          <w:rFonts w:ascii="Times New Roman" w:eastAsia="Times New Roman"/>
        </w:rPr>
        <w:t>1</w:t>
      </w:r>
      <w:r>
        <w:rPr/>
        <w:t>）人际沟通的技巧与良好人际关系的意义与建立、维持；（</w:t>
      </w:r>
      <w:r>
        <w:rPr>
          <w:rFonts w:ascii="Times New Roman" w:eastAsia="Times New Roman"/>
        </w:rPr>
        <w:t>2</w:t>
      </w:r>
      <w:r>
        <w:rPr/>
        <w:t>）压力的来源、危害及调适；（</w:t>
      </w:r>
      <w:r>
        <w:rPr>
          <w:rFonts w:ascii="Times New Roman" w:eastAsia="Times New Roman"/>
        </w:rPr>
        <w:t>3</w:t>
      </w:r>
      <w:r>
        <w:rPr/>
        <w:t>）时间的分配；（</w:t>
      </w:r>
      <w:r>
        <w:rPr>
          <w:rFonts w:ascii="Times New Roman" w:eastAsia="Times New Roman"/>
        </w:rPr>
        <w:t>4</w:t>
      </w:r>
      <w:r>
        <w:rPr/>
        <w:t>）休闲活动的意义、种类及安排；（</w:t>
      </w:r>
      <w:r>
        <w:rPr>
          <w:rFonts w:ascii="Times New Roman" w:eastAsia="Times New Roman"/>
        </w:rPr>
        <w:t>5</w:t>
      </w:r>
      <w:r>
        <w:rPr/>
        <w:t>）个人理财的重要性、正确的理财观、理财策略等；（</w:t>
      </w:r>
      <w:r>
        <w:rPr>
          <w:rFonts w:ascii="Times New Roman" w:eastAsia="Times New Roman"/>
        </w:rPr>
        <w:t>6</w:t>
      </w:r>
      <w:r>
        <w:rPr/>
        <w:t>） 心理健康的意义及其与生活的关系。</w:t>
      </w:r>
    </w:p>
    <w:p>
      <w:pPr>
        <w:pStyle w:val="BodyText"/>
        <w:spacing w:line="364" w:lineRule="auto" w:before="3"/>
        <w:ind w:left="1319" w:right="1577" w:firstLine="480"/>
      </w:pPr>
      <w:r>
        <w:rPr/>
        <w:t>第三，社会认知。</w:t>
      </w:r>
      <w:r>
        <w:rPr>
          <w:rFonts w:ascii="Times New Roman" w:eastAsia="Times New Roman"/>
          <w:position w:val="8"/>
          <w:sz w:val="15"/>
        </w:rPr>
        <w:t>[</w:t>
      </w:r>
      <w:hyperlink w:history="true" w:anchor="_bookmark252">
        <w:r>
          <w:rPr>
            <w:rFonts w:ascii="Times New Roman" w:eastAsia="Times New Roman"/>
            <w:position w:val="8"/>
            <w:sz w:val="15"/>
          </w:rPr>
          <w:t>3</w:t>
        </w:r>
      </w:hyperlink>
      <w:r>
        <w:rPr>
          <w:rFonts w:ascii="Times New Roman" w:eastAsia="Times New Roman"/>
          <w:position w:val="8"/>
          <w:sz w:val="15"/>
        </w:rPr>
        <w:t>]</w:t>
      </w:r>
      <w:r>
        <w:rPr/>
        <w:t>（</w:t>
      </w:r>
      <w:r>
        <w:rPr>
          <w:rFonts w:ascii="Times New Roman" w:eastAsia="Times New Roman"/>
        </w:rPr>
        <w:t>1</w:t>
      </w:r>
      <w:r>
        <w:rPr/>
        <w:t>）现代社会发展，包括影响社会发展的要素、社会</w:t>
      </w:r>
      <w:r>
        <w:rPr>
          <w:spacing w:val="-6"/>
        </w:rPr>
        <w:t>发展的现状和趋势以及社会发展对个人发展、生活、职业产生的影响，培养学生</w:t>
      </w:r>
    </w:p>
    <w:p>
      <w:pPr>
        <w:pStyle w:val="BodyText"/>
        <w:rPr>
          <w:sz w:val="20"/>
        </w:rPr>
      </w:pPr>
    </w:p>
    <w:p>
      <w:pPr>
        <w:pStyle w:val="BodyText"/>
        <w:spacing w:before="1"/>
        <w:rPr>
          <w:sz w:val="14"/>
        </w:rPr>
      </w:pPr>
    </w:p>
    <w:p>
      <w:pPr>
        <w:spacing w:before="100"/>
        <w:ind w:left="1320" w:right="0" w:firstLine="0"/>
        <w:jc w:val="left"/>
        <w:rPr>
          <w:rFonts w:ascii="Times New Roman" w:hAnsi="Times New Roman" w:eastAsia="Times New Roman"/>
          <w:sz w:val="18"/>
        </w:rPr>
      </w:pPr>
      <w:bookmarkStart w:name="_bookmark250" w:id="299"/>
      <w:bookmarkEnd w:id="299"/>
      <w:r>
        <w:rPr/>
      </w:r>
      <w:r>
        <w:rPr>
          <w:rFonts w:ascii="Times New Roman" w:hAnsi="Times New Roman" w:eastAsia="Times New Roman"/>
          <w:position w:val="7"/>
          <w:sz w:val="13"/>
        </w:rPr>
        <w:t>[1] </w:t>
      </w:r>
      <w:r>
        <w:rPr>
          <w:sz w:val="18"/>
        </w:rPr>
        <w:t>黄天中</w:t>
      </w:r>
      <w:r>
        <w:rPr>
          <w:rFonts w:ascii="Times New Roman" w:hAnsi="Times New Roman" w:eastAsia="Times New Roman"/>
          <w:sz w:val="18"/>
        </w:rPr>
        <w:t>.</w:t>
      </w:r>
      <w:r>
        <w:rPr>
          <w:sz w:val="18"/>
        </w:rPr>
        <w:t>生涯规划——体验式学习</w:t>
      </w:r>
      <w:r>
        <w:rPr>
          <w:rFonts w:ascii="Times New Roman" w:hAnsi="Times New Roman" w:eastAsia="Times New Roman"/>
          <w:sz w:val="18"/>
        </w:rPr>
        <w:t>.[M].</w:t>
      </w:r>
      <w:r>
        <w:rPr>
          <w:sz w:val="18"/>
        </w:rPr>
        <w:t>北京：高等教育出版社，</w:t>
      </w:r>
      <w:r>
        <w:rPr>
          <w:rFonts w:ascii="Times New Roman" w:hAnsi="Times New Roman" w:eastAsia="Times New Roman"/>
          <w:sz w:val="18"/>
        </w:rPr>
        <w:t>2009</w:t>
      </w:r>
      <w:r>
        <w:rPr>
          <w:sz w:val="18"/>
        </w:rPr>
        <w:t>：</w:t>
      </w:r>
      <w:r>
        <w:rPr>
          <w:rFonts w:ascii="Times New Roman" w:hAnsi="Times New Roman" w:eastAsia="Times New Roman"/>
          <w:sz w:val="18"/>
        </w:rPr>
        <w:t>169-359.</w:t>
      </w:r>
    </w:p>
    <w:p>
      <w:pPr>
        <w:spacing w:before="128"/>
        <w:ind w:left="1320" w:right="0" w:firstLine="0"/>
        <w:jc w:val="left"/>
        <w:rPr>
          <w:rFonts w:ascii="Times New Roman" w:hAnsi="Times New Roman" w:eastAsia="Times New Roman"/>
          <w:sz w:val="18"/>
        </w:rPr>
      </w:pPr>
      <w:bookmarkStart w:name="_bookmark251" w:id="300"/>
      <w:bookmarkEnd w:id="300"/>
      <w:r>
        <w:rPr/>
      </w:r>
      <w:r>
        <w:rPr>
          <w:rFonts w:ascii="Times New Roman" w:hAnsi="Times New Roman" w:eastAsia="Times New Roman"/>
          <w:position w:val="7"/>
          <w:sz w:val="13"/>
        </w:rPr>
        <w:t>[2] </w:t>
      </w:r>
      <w:r>
        <w:rPr>
          <w:sz w:val="18"/>
        </w:rPr>
        <w:t>黄天中</w:t>
      </w:r>
      <w:r>
        <w:rPr>
          <w:rFonts w:ascii="Times New Roman" w:hAnsi="Times New Roman" w:eastAsia="Times New Roman"/>
          <w:sz w:val="18"/>
        </w:rPr>
        <w:t>.</w:t>
      </w:r>
      <w:r>
        <w:rPr>
          <w:sz w:val="18"/>
        </w:rPr>
        <w:t>生涯规划</w:t>
      </w:r>
      <w:r>
        <w:rPr>
          <w:rFonts w:ascii="Times New Roman" w:hAnsi="Times New Roman" w:eastAsia="Times New Roman"/>
          <w:sz w:val="18"/>
        </w:rPr>
        <w:t>——</w:t>
      </w:r>
      <w:r>
        <w:rPr>
          <w:sz w:val="18"/>
        </w:rPr>
        <w:t>体验式学习</w:t>
      </w:r>
      <w:r>
        <w:rPr>
          <w:rFonts w:ascii="Times New Roman" w:hAnsi="Times New Roman" w:eastAsia="Times New Roman"/>
          <w:sz w:val="18"/>
        </w:rPr>
        <w:t>.[M].</w:t>
      </w:r>
      <w:r>
        <w:rPr>
          <w:sz w:val="18"/>
        </w:rPr>
        <w:t>北京：高等教育出版社，</w:t>
      </w:r>
      <w:r>
        <w:rPr>
          <w:rFonts w:ascii="Times New Roman" w:hAnsi="Times New Roman" w:eastAsia="Times New Roman"/>
          <w:sz w:val="18"/>
        </w:rPr>
        <w:t>2009</w:t>
      </w:r>
      <w:r>
        <w:rPr>
          <w:sz w:val="18"/>
        </w:rPr>
        <w:t>（</w:t>
      </w:r>
      <w:r>
        <w:rPr>
          <w:rFonts w:ascii="Times New Roman" w:hAnsi="Times New Roman" w:eastAsia="Times New Roman"/>
          <w:sz w:val="18"/>
        </w:rPr>
        <w:t>7</w:t>
      </w:r>
      <w:r>
        <w:rPr>
          <w:sz w:val="18"/>
        </w:rPr>
        <w:t>）：</w:t>
      </w:r>
      <w:r>
        <w:rPr>
          <w:rFonts w:ascii="Times New Roman" w:hAnsi="Times New Roman" w:eastAsia="Times New Roman"/>
          <w:sz w:val="18"/>
        </w:rPr>
        <w:t>169-179.</w:t>
      </w:r>
    </w:p>
    <w:p>
      <w:pPr>
        <w:spacing w:before="127"/>
        <w:ind w:left="1320" w:right="0" w:firstLine="0"/>
        <w:jc w:val="left"/>
        <w:rPr>
          <w:rFonts w:ascii="Times New Roman" w:eastAsia="Times New Roman"/>
          <w:sz w:val="18"/>
        </w:rPr>
      </w:pPr>
      <w:bookmarkStart w:name="_bookmark252" w:id="301"/>
      <w:bookmarkEnd w:id="301"/>
      <w:r>
        <w:rPr/>
      </w:r>
      <w:r>
        <w:rPr>
          <w:rFonts w:ascii="Times New Roman" w:eastAsia="Times New Roman"/>
          <w:position w:val="7"/>
          <w:sz w:val="13"/>
        </w:rPr>
        <w:t>[3] </w:t>
      </w:r>
      <w:r>
        <w:rPr>
          <w:sz w:val="18"/>
        </w:rPr>
        <w:t>朱益明</w:t>
      </w:r>
      <w:r>
        <w:rPr>
          <w:rFonts w:ascii="Times New Roman" w:eastAsia="Times New Roman"/>
          <w:sz w:val="18"/>
        </w:rPr>
        <w:t>.</w:t>
      </w:r>
      <w:r>
        <w:rPr>
          <w:sz w:val="18"/>
        </w:rPr>
        <w:t>普通高中发展指导研究</w:t>
      </w:r>
      <w:r>
        <w:rPr>
          <w:rFonts w:ascii="Times New Roman" w:eastAsia="Times New Roman"/>
          <w:sz w:val="18"/>
        </w:rPr>
        <w:t>.[M].</w:t>
      </w:r>
      <w:r>
        <w:rPr>
          <w:sz w:val="18"/>
        </w:rPr>
        <w:t>上海：华东师范大学出版社，</w:t>
      </w:r>
      <w:r>
        <w:rPr>
          <w:rFonts w:ascii="Times New Roman" w:eastAsia="Times New Roman"/>
          <w:sz w:val="18"/>
        </w:rPr>
        <w:t>2013:</w:t>
      </w:r>
      <w:r>
        <w:rPr>
          <w:sz w:val="18"/>
        </w:rPr>
        <w:t>（</w:t>
      </w:r>
      <w:r>
        <w:rPr>
          <w:rFonts w:ascii="Times New Roman" w:eastAsia="Times New Roman"/>
          <w:sz w:val="18"/>
        </w:rPr>
        <w:t>1</w:t>
      </w:r>
      <w:r>
        <w:rPr>
          <w:sz w:val="18"/>
        </w:rPr>
        <w:t>）：</w:t>
      </w:r>
      <w:r>
        <w:rPr>
          <w:rFonts w:ascii="Times New Roman" w:eastAsia="Times New Roman"/>
          <w:sz w:val="18"/>
        </w:rPr>
        <w:t>68-71.</w:t>
      </w:r>
    </w:p>
    <w:p>
      <w:pPr>
        <w:spacing w:after="0"/>
        <w:jc w:val="left"/>
        <w:rPr>
          <w:rFonts w:ascii="Times New Roman" w:eastAsia="Times New Roman"/>
          <w:sz w:val="18"/>
        </w:rPr>
        <w:sectPr>
          <w:headerReference w:type="default" r:id="rId89"/>
          <w:footerReference w:type="default" r:id="rId90"/>
          <w:pgSz w:w="11910" w:h="16840"/>
          <w:pgMar w:header="878" w:footer="1295" w:top="1300" w:bottom="1480" w:left="480" w:right="220"/>
        </w:sectPr>
      </w:pPr>
    </w:p>
    <w:p>
      <w:pPr>
        <w:pStyle w:val="BodyText"/>
        <w:spacing w:before="9"/>
        <w:rPr>
          <w:rFonts w:ascii="Times New Roman"/>
          <w:sz w:val="11"/>
        </w:rPr>
      </w:pPr>
    </w:p>
    <w:p>
      <w:pPr>
        <w:pStyle w:val="BodyText"/>
        <w:spacing w:line="364" w:lineRule="auto" w:before="74"/>
        <w:ind w:left="1320" w:right="1577"/>
        <w:jc w:val="both"/>
      </w:pPr>
      <w:bookmarkStart w:name="_bookmark253" w:id="302"/>
      <w:bookmarkEnd w:id="302"/>
      <w:r>
        <w:rPr/>
      </w:r>
      <w:r>
        <w:rPr/>
        <w:t>的国际视野。（</w:t>
      </w:r>
      <w:r>
        <w:rPr>
          <w:rFonts w:ascii="Times New Roman" w:eastAsia="Times New Roman"/>
        </w:rPr>
        <w:t>2</w:t>
      </w:r>
      <w:r>
        <w:rPr/>
        <w:t>）当前我国的发展，了解我国发展的历史背景、现状特征及未来趋势。（</w:t>
      </w:r>
      <w:r>
        <w:rPr>
          <w:rFonts w:ascii="Times New Roman" w:eastAsia="Times New Roman"/>
        </w:rPr>
        <w:t>3</w:t>
      </w:r>
      <w:r>
        <w:rPr/>
        <w:t>）人才的要求，学生要立足于现实和未来发展，认识社会所需要的人才是什么，人才须具备基本素养，以及如何才能成为人才等。</w:t>
      </w:r>
    </w:p>
    <w:p>
      <w:pPr>
        <w:pStyle w:val="ListParagraph"/>
        <w:numPr>
          <w:ilvl w:val="2"/>
          <w:numId w:val="42"/>
        </w:numPr>
        <w:tabs>
          <w:tab w:pos="1920" w:val="left" w:leader="none"/>
        </w:tabs>
        <w:spacing w:line="240" w:lineRule="auto" w:before="38" w:after="0"/>
        <w:ind w:left="1920" w:right="0" w:hanging="600"/>
        <w:jc w:val="left"/>
        <w:rPr>
          <w:sz w:val="24"/>
        </w:rPr>
      </w:pPr>
      <w:r>
        <w:rPr>
          <w:sz w:val="24"/>
        </w:rPr>
        <w:t>职业领域</w:t>
      </w:r>
    </w:p>
    <w:p>
      <w:pPr>
        <w:pStyle w:val="BodyText"/>
        <w:spacing w:line="364" w:lineRule="auto" w:before="197"/>
        <w:ind w:left="1320" w:right="1485" w:firstLine="480"/>
      </w:pPr>
      <w:r>
        <w:rPr/>
        <w:t>职业在个人生涯发展中占据了较大的比重，因此，个体对职业知识的认知， 掌握职业技能，是生涯规划教育最重要的内容，主要包括以下几个方面：</w:t>
      </w:r>
    </w:p>
    <w:p>
      <w:pPr>
        <w:pStyle w:val="ListParagraph"/>
        <w:numPr>
          <w:ilvl w:val="0"/>
          <w:numId w:val="46"/>
        </w:numPr>
        <w:tabs>
          <w:tab w:pos="2401" w:val="left" w:leader="none"/>
        </w:tabs>
        <w:spacing w:line="240" w:lineRule="auto" w:before="1" w:after="0"/>
        <w:ind w:left="2401" w:right="0" w:hanging="601"/>
        <w:jc w:val="left"/>
        <w:rPr>
          <w:sz w:val="24"/>
        </w:rPr>
      </w:pPr>
      <w:r>
        <w:rPr>
          <w:sz w:val="24"/>
        </w:rPr>
        <w:t>职业生涯发展。了解职业生涯发展的历程、特征、影响因素等。</w:t>
      </w:r>
    </w:p>
    <w:p>
      <w:pPr>
        <w:pStyle w:val="ListParagraph"/>
        <w:numPr>
          <w:ilvl w:val="0"/>
          <w:numId w:val="46"/>
        </w:numPr>
        <w:tabs>
          <w:tab w:pos="2401" w:val="left" w:leader="none"/>
        </w:tabs>
        <w:spacing w:line="364" w:lineRule="auto" w:before="160" w:after="0"/>
        <w:ind w:left="1320" w:right="1455" w:firstLine="480"/>
        <w:jc w:val="left"/>
        <w:rPr>
          <w:sz w:val="24"/>
        </w:rPr>
      </w:pPr>
      <w:r>
        <w:rPr>
          <w:sz w:val="24"/>
        </w:rPr>
        <w:t>职业信息的探索。首先，职业信息包括工作世界的种类，各类工作的</w:t>
      </w:r>
      <w:r>
        <w:rPr>
          <w:spacing w:val="-14"/>
          <w:sz w:val="24"/>
        </w:rPr>
        <w:t>特性及其所需要的能力、品质与个性，就业途径，工作的性质与内容、未来前景、</w:t>
      </w:r>
      <w:r>
        <w:rPr>
          <w:sz w:val="24"/>
        </w:rPr>
        <w:t>薪酬待遇，以及工作对生活的影响等。其次，职业信息的获取途径与方法。</w:t>
      </w:r>
    </w:p>
    <w:p>
      <w:pPr>
        <w:pStyle w:val="ListParagraph"/>
        <w:numPr>
          <w:ilvl w:val="0"/>
          <w:numId w:val="46"/>
        </w:numPr>
        <w:tabs>
          <w:tab w:pos="2401" w:val="left" w:leader="none"/>
        </w:tabs>
        <w:spacing w:line="364" w:lineRule="auto" w:before="2" w:after="0"/>
        <w:ind w:left="1320" w:right="1577" w:firstLine="480"/>
        <w:jc w:val="both"/>
        <w:rPr>
          <w:sz w:val="24"/>
        </w:rPr>
      </w:pPr>
      <w:r>
        <w:rPr>
          <w:spacing w:val="-1"/>
          <w:sz w:val="24"/>
        </w:rPr>
        <w:t>职业体验和技能。学生既要从理论上认识职业，树立正确的职业观， </w:t>
      </w:r>
      <w:r>
        <w:rPr>
          <w:spacing w:val="-6"/>
          <w:sz w:val="24"/>
        </w:rPr>
        <w:t>也需要从实践中体会和感悟职业，全面地了解职业素养与能力要求。另外，学校</w:t>
      </w:r>
      <w:r>
        <w:rPr>
          <w:spacing w:val="-8"/>
          <w:sz w:val="24"/>
        </w:rPr>
        <w:t>应适当普及基本就业技能，如简历制作、面试技巧等，为高中毕业直接走上工作</w:t>
      </w:r>
      <w:r>
        <w:rPr>
          <w:sz w:val="24"/>
        </w:rPr>
        <w:t>岗位的学生打下基础。</w:t>
      </w:r>
    </w:p>
    <w:p>
      <w:pPr>
        <w:pStyle w:val="ListParagraph"/>
        <w:numPr>
          <w:ilvl w:val="0"/>
          <w:numId w:val="46"/>
        </w:numPr>
        <w:tabs>
          <w:tab w:pos="2401" w:val="left" w:leader="none"/>
        </w:tabs>
        <w:spacing w:line="364" w:lineRule="auto" w:before="3" w:after="0"/>
        <w:ind w:left="1320" w:right="1485" w:firstLine="480"/>
        <w:jc w:val="left"/>
        <w:rPr>
          <w:rFonts w:ascii="Times New Roman" w:eastAsia="Times New Roman"/>
          <w:sz w:val="15"/>
        </w:rPr>
      </w:pPr>
      <w:r>
        <w:rPr>
          <w:sz w:val="24"/>
        </w:rPr>
        <w:t>职业生涯决策。在新高考背景下，高一下学期进行的高考科目选择直</w:t>
      </w:r>
      <w:r>
        <w:rPr>
          <w:spacing w:val="-5"/>
          <w:sz w:val="24"/>
        </w:rPr>
        <w:t>接关系到学生未来的职业选择，以及将来的生活方式与人生发展方向。因此，学</w:t>
      </w:r>
      <w:r>
        <w:rPr>
          <w:spacing w:val="-9"/>
          <w:sz w:val="24"/>
        </w:rPr>
        <w:t>校应结合学生自身的特点帮助学生做出正确、合理的选择。依据相关的理论，生</w:t>
      </w:r>
      <w:r>
        <w:rPr>
          <w:spacing w:val="-14"/>
          <w:sz w:val="24"/>
        </w:rPr>
        <w:t>涯决策大致分为以下五个步骤：首先探索不同的科学方案；其次对方案后果的得</w:t>
      </w:r>
      <w:r>
        <w:rPr>
          <w:spacing w:val="-15"/>
          <w:sz w:val="24"/>
        </w:rPr>
        <w:t>失进行比较；接着，依据对后果的评估作出适当的选择；然后接受现实的考验； </w:t>
      </w:r>
      <w:r>
        <w:rPr>
          <w:sz w:val="24"/>
        </w:rPr>
        <w:t>最后对实施结果进行评估，并作出决定。</w:t>
      </w:r>
      <w:r>
        <w:rPr>
          <w:rFonts w:ascii="Times New Roman" w:eastAsia="Times New Roman"/>
          <w:position w:val="8"/>
          <w:sz w:val="15"/>
        </w:rPr>
        <w:t>[</w:t>
      </w:r>
      <w:hyperlink w:history="true" w:anchor="_bookmark254">
        <w:r>
          <w:rPr>
            <w:rFonts w:ascii="Times New Roman" w:eastAsia="Times New Roman"/>
            <w:position w:val="8"/>
            <w:sz w:val="15"/>
          </w:rPr>
          <w:t>1</w:t>
        </w:r>
      </w:hyperlink>
      <w:r>
        <w:rPr>
          <w:rFonts w:ascii="Times New Roman" w:eastAsia="Times New Roman"/>
          <w:position w:val="8"/>
          <w:sz w:val="15"/>
        </w:rPr>
        <w:t>]</w:t>
      </w:r>
    </w:p>
    <w:p>
      <w:pPr>
        <w:pStyle w:val="ListParagraph"/>
        <w:numPr>
          <w:ilvl w:val="0"/>
          <w:numId w:val="46"/>
        </w:numPr>
        <w:tabs>
          <w:tab w:pos="2401" w:val="left" w:leader="none"/>
        </w:tabs>
        <w:spacing w:line="364" w:lineRule="auto" w:before="3" w:after="0"/>
        <w:ind w:left="1319" w:right="1485" w:firstLine="480"/>
        <w:jc w:val="left"/>
        <w:rPr>
          <w:sz w:val="24"/>
        </w:rPr>
      </w:pPr>
      <w:r>
        <w:rPr>
          <w:sz w:val="24"/>
        </w:rPr>
        <w:t>职业生涯规划与管理。学生需明确职业生涯规划的意义，熟悉并掌握</w:t>
      </w:r>
      <w:r>
        <w:rPr>
          <w:spacing w:val="-6"/>
          <w:sz w:val="24"/>
        </w:rPr>
        <w:t>职业生涯规划的方法与技巧，制定职业生涯目标和发展计划，并根据实际情况进</w:t>
      </w:r>
      <w:r>
        <w:rPr>
          <w:spacing w:val="-7"/>
          <w:sz w:val="24"/>
        </w:rPr>
        <w:t>行调整。学生需要在职业决策中需要充分利用各方面的信息，比如亲友的意见、</w:t>
      </w:r>
      <w:r>
        <w:rPr>
          <w:spacing w:val="-1"/>
          <w:sz w:val="24"/>
        </w:rPr>
        <w:t>朋友的看法、教师的咨询建议等，最终根据实际情况，选择一个适合自己兴趣、</w:t>
      </w:r>
      <w:r>
        <w:rPr>
          <w:sz w:val="24"/>
        </w:rPr>
        <w:t>价值观和能力的职业目标，拟定计划，并付诸行动。</w:t>
      </w:r>
    </w:p>
    <w:p>
      <w:pPr>
        <w:pStyle w:val="BodyText"/>
        <w:spacing w:before="6"/>
        <w:rPr>
          <w:sz w:val="23"/>
        </w:rPr>
      </w:pPr>
    </w:p>
    <w:p>
      <w:pPr>
        <w:pStyle w:val="ListParagraph"/>
        <w:numPr>
          <w:ilvl w:val="2"/>
          <w:numId w:val="42"/>
        </w:numPr>
        <w:tabs>
          <w:tab w:pos="1920" w:val="left" w:leader="none"/>
        </w:tabs>
        <w:spacing w:line="240" w:lineRule="auto" w:before="0" w:after="0"/>
        <w:ind w:left="1920" w:right="0" w:hanging="601"/>
        <w:jc w:val="left"/>
        <w:rPr>
          <w:sz w:val="24"/>
        </w:rPr>
      </w:pPr>
      <w:r>
        <w:rPr>
          <w:sz w:val="24"/>
        </w:rPr>
        <w:t>学习领域</w:t>
      </w:r>
    </w:p>
    <w:p>
      <w:pPr>
        <w:pStyle w:val="BodyText"/>
        <w:spacing w:before="7"/>
        <w:rPr>
          <w:sz w:val="35"/>
        </w:rPr>
      </w:pPr>
    </w:p>
    <w:p>
      <w:pPr>
        <w:pStyle w:val="BodyText"/>
        <w:ind w:left="1799"/>
      </w:pPr>
      <w:r>
        <w:rPr/>
        <w:t>人一生中只有不断学习，发挥自己的潜能，才能使生涯获得持续性发展。因</w:t>
      </w:r>
    </w:p>
    <w:p>
      <w:pPr>
        <w:pStyle w:val="BodyText"/>
        <w:spacing w:before="3"/>
        <w:rPr>
          <w:sz w:val="16"/>
        </w:rPr>
      </w:pPr>
      <w:r>
        <w:rPr/>
        <w:pict>
          <v:shape style="position:absolute;margin-left:90pt;margin-top:12.362647pt;width:144pt;height:.1pt;mso-position-horizontal-relative:page;mso-position-vertical-relative:paragraph;z-index:-251541504;mso-wrap-distance-left:0;mso-wrap-distance-right:0" coordorigin="1800,247" coordsize="2880,0" path="m1800,247l4680,247e" filled="false" stroked="true" strokeweight="0pt" strokecolor="#000000">
            <v:path arrowok="t"/>
            <v:stroke dashstyle="solid"/>
            <w10:wrap type="topAndBottom"/>
          </v:shape>
        </w:pict>
      </w:r>
    </w:p>
    <w:p>
      <w:pPr>
        <w:spacing w:before="99"/>
        <w:ind w:left="1320" w:right="0" w:firstLine="0"/>
        <w:jc w:val="left"/>
        <w:rPr>
          <w:rFonts w:ascii="Times New Roman" w:eastAsia="Times New Roman"/>
          <w:sz w:val="18"/>
        </w:rPr>
      </w:pPr>
      <w:bookmarkStart w:name="_bookmark254" w:id="303"/>
      <w:bookmarkEnd w:id="303"/>
      <w:r>
        <w:rPr/>
      </w:r>
      <w:r>
        <w:rPr>
          <w:rFonts w:ascii="Times New Roman" w:eastAsia="Times New Roman"/>
          <w:position w:val="7"/>
          <w:sz w:val="13"/>
        </w:rPr>
        <w:t>[1] </w:t>
      </w:r>
      <w:r>
        <w:rPr>
          <w:sz w:val="18"/>
        </w:rPr>
        <w:t>沈之菲</w:t>
      </w:r>
      <w:r>
        <w:rPr>
          <w:rFonts w:ascii="Times New Roman" w:eastAsia="Times New Roman"/>
          <w:sz w:val="18"/>
        </w:rPr>
        <w:t>.</w:t>
      </w:r>
      <w:r>
        <w:rPr>
          <w:sz w:val="18"/>
        </w:rPr>
        <w:t>生涯心理辅导</w:t>
      </w:r>
      <w:r>
        <w:rPr>
          <w:rFonts w:ascii="Times New Roman" w:eastAsia="Times New Roman"/>
          <w:sz w:val="18"/>
        </w:rPr>
        <w:t>[M</w:t>
      </w:r>
      <w:r>
        <w:rPr>
          <w:sz w:val="18"/>
        </w:rPr>
        <w:t>」</w:t>
      </w:r>
      <w:r>
        <w:rPr>
          <w:rFonts w:ascii="Times New Roman" w:eastAsia="Times New Roman"/>
          <w:sz w:val="18"/>
        </w:rPr>
        <w:t>.</w:t>
      </w:r>
      <w:r>
        <w:rPr>
          <w:sz w:val="18"/>
        </w:rPr>
        <w:t>上海</w:t>
      </w:r>
      <w:r>
        <w:rPr>
          <w:rFonts w:ascii="Times New Roman" w:eastAsia="Times New Roman"/>
          <w:sz w:val="18"/>
        </w:rPr>
        <w:t>:</w:t>
      </w:r>
      <w:r>
        <w:rPr>
          <w:sz w:val="18"/>
        </w:rPr>
        <w:t>上海教育出版社</w:t>
      </w:r>
      <w:r>
        <w:rPr>
          <w:rFonts w:ascii="Times New Roman" w:eastAsia="Times New Roman"/>
          <w:sz w:val="18"/>
        </w:rPr>
        <w:t>,2000</w:t>
      </w:r>
      <w:r>
        <w:rPr>
          <w:sz w:val="18"/>
        </w:rPr>
        <w:t>（</w:t>
      </w:r>
      <w:r>
        <w:rPr>
          <w:rFonts w:ascii="Times New Roman" w:eastAsia="Times New Roman"/>
          <w:sz w:val="18"/>
        </w:rPr>
        <w:t>11</w:t>
      </w:r>
      <w:r>
        <w:rPr>
          <w:sz w:val="18"/>
        </w:rPr>
        <w:t>）：</w:t>
      </w:r>
      <w:r>
        <w:rPr>
          <w:rFonts w:ascii="Times New Roman" w:eastAsia="Times New Roman"/>
          <w:sz w:val="18"/>
        </w:rPr>
        <w:t>183.</w:t>
      </w:r>
    </w:p>
    <w:p>
      <w:pPr>
        <w:spacing w:after="0"/>
        <w:jc w:val="left"/>
        <w:rPr>
          <w:rFonts w:ascii="Times New Roman" w:eastAsia="Times New Roman"/>
          <w:sz w:val="18"/>
        </w:rPr>
        <w:sectPr>
          <w:headerReference w:type="default" r:id="rId91"/>
          <w:footerReference w:type="default" r:id="rId92"/>
          <w:pgSz w:w="11910" w:h="16840"/>
          <w:pgMar w:header="878" w:footer="1160" w:top="1300" w:bottom="1360" w:left="480" w:right="220"/>
          <w:pgNumType w:start="104"/>
        </w:sectPr>
      </w:pPr>
    </w:p>
    <w:p>
      <w:pPr>
        <w:pStyle w:val="BodyText"/>
        <w:spacing w:before="6"/>
        <w:rPr>
          <w:rFonts w:ascii="Times New Roman"/>
          <w:sz w:val="12"/>
        </w:rPr>
      </w:pPr>
    </w:p>
    <w:p>
      <w:pPr>
        <w:pStyle w:val="BodyText"/>
        <w:spacing w:line="364" w:lineRule="auto" w:before="66"/>
        <w:ind w:left="1320" w:right="1577"/>
      </w:pPr>
      <w:bookmarkStart w:name="_bookmark255" w:id="304"/>
      <w:bookmarkEnd w:id="304"/>
      <w:r>
        <w:rPr/>
      </w:r>
      <w:r>
        <w:rPr>
          <w:spacing w:val="-11"/>
        </w:rPr>
        <w:t>此，在这一领域中，高中生需要将当前的学习与未来的学习相联系，了解个人接</w:t>
      </w:r>
      <w:r>
        <w:rPr/>
        <w:t>受教育的机运或境遇，树立终身学习的意识。学习领域主要包括以下方面：</w:t>
      </w:r>
    </w:p>
    <w:p>
      <w:pPr>
        <w:pStyle w:val="ListParagraph"/>
        <w:numPr>
          <w:ilvl w:val="0"/>
          <w:numId w:val="47"/>
        </w:numPr>
        <w:tabs>
          <w:tab w:pos="2401" w:val="left" w:leader="none"/>
        </w:tabs>
        <w:spacing w:line="364" w:lineRule="auto" w:before="1" w:after="0"/>
        <w:ind w:left="1320" w:right="1581" w:firstLine="480"/>
        <w:jc w:val="left"/>
        <w:rPr>
          <w:sz w:val="24"/>
        </w:rPr>
      </w:pPr>
      <w:r>
        <w:rPr>
          <w:spacing w:val="-1"/>
          <w:sz w:val="24"/>
        </w:rPr>
        <w:t>介绍终身学习的产生、意义、类型，以及终身学习需要具备的能力和</w:t>
      </w:r>
      <w:r>
        <w:rPr>
          <w:sz w:val="24"/>
        </w:rPr>
        <w:t>要求，促进学生终身学习意识的建立和终身学习能力的发展。</w:t>
      </w:r>
    </w:p>
    <w:p>
      <w:pPr>
        <w:pStyle w:val="ListParagraph"/>
        <w:numPr>
          <w:ilvl w:val="0"/>
          <w:numId w:val="47"/>
        </w:numPr>
        <w:tabs>
          <w:tab w:pos="2412" w:val="left" w:leader="none"/>
        </w:tabs>
        <w:spacing w:line="240" w:lineRule="auto" w:before="1" w:after="0"/>
        <w:ind w:left="2412" w:right="0" w:hanging="612"/>
        <w:jc w:val="left"/>
        <w:rPr>
          <w:sz w:val="24"/>
        </w:rPr>
      </w:pPr>
      <w:r>
        <w:rPr>
          <w:spacing w:val="-9"/>
          <w:sz w:val="24"/>
        </w:rPr>
        <w:t>进行学习经历的回顾与总结，让学生分享各自的学习经验和学习方法。</w:t>
      </w:r>
    </w:p>
    <w:p>
      <w:pPr>
        <w:pStyle w:val="ListParagraph"/>
        <w:numPr>
          <w:ilvl w:val="0"/>
          <w:numId w:val="47"/>
        </w:numPr>
        <w:tabs>
          <w:tab w:pos="2401" w:val="left" w:leader="none"/>
        </w:tabs>
        <w:spacing w:line="364" w:lineRule="auto" w:before="161" w:after="0"/>
        <w:ind w:left="1320" w:right="1581" w:firstLine="480"/>
        <w:jc w:val="left"/>
        <w:rPr>
          <w:sz w:val="24"/>
        </w:rPr>
      </w:pPr>
      <w:r>
        <w:rPr>
          <w:spacing w:val="-1"/>
          <w:sz w:val="24"/>
        </w:rPr>
        <w:t>让学生明确当前的学习环境和机遇，帮助他们做出有利于自身发展和</w:t>
      </w:r>
      <w:r>
        <w:rPr>
          <w:sz w:val="24"/>
        </w:rPr>
        <w:t>进步的选择。</w:t>
      </w:r>
    </w:p>
    <w:p>
      <w:pPr>
        <w:pStyle w:val="ListParagraph"/>
        <w:numPr>
          <w:ilvl w:val="0"/>
          <w:numId w:val="47"/>
        </w:numPr>
        <w:tabs>
          <w:tab w:pos="2401" w:val="left" w:leader="none"/>
        </w:tabs>
        <w:spacing w:line="240" w:lineRule="auto" w:before="1" w:after="0"/>
        <w:ind w:left="2401" w:right="0" w:hanging="601"/>
        <w:jc w:val="left"/>
        <w:rPr>
          <w:sz w:val="24"/>
        </w:rPr>
      </w:pPr>
      <w:r>
        <w:rPr>
          <w:spacing w:val="-4"/>
          <w:sz w:val="24"/>
        </w:rPr>
        <w:t>指导学生依据学习情况确立学习目标，制定学习计划，执行学习计划。</w:t>
      </w:r>
    </w:p>
    <w:p>
      <w:pPr>
        <w:pStyle w:val="BodyText"/>
        <w:spacing w:before="9"/>
        <w:rPr>
          <w:sz w:val="29"/>
        </w:rPr>
      </w:pPr>
    </w:p>
    <w:p>
      <w:pPr>
        <w:pStyle w:val="Heading2"/>
        <w:numPr>
          <w:ilvl w:val="1"/>
          <w:numId w:val="42"/>
        </w:numPr>
        <w:tabs>
          <w:tab w:pos="1810" w:val="left" w:leader="none"/>
        </w:tabs>
        <w:spacing w:line="240" w:lineRule="auto" w:before="0" w:after="0"/>
        <w:ind w:left="1809" w:right="0" w:hanging="490"/>
        <w:jc w:val="both"/>
      </w:pPr>
      <w:r>
        <w:rPr/>
        <w:t>拓宽普通高中生涯规划教育的实施路径</w:t>
      </w:r>
    </w:p>
    <w:p>
      <w:pPr>
        <w:pStyle w:val="BodyText"/>
        <w:spacing w:before="4"/>
        <w:rPr>
          <w:rFonts w:ascii="Microsoft JhengHei"/>
          <w:b/>
        </w:rPr>
      </w:pPr>
    </w:p>
    <w:p>
      <w:pPr>
        <w:pStyle w:val="ListParagraph"/>
        <w:numPr>
          <w:ilvl w:val="2"/>
          <w:numId w:val="42"/>
        </w:numPr>
        <w:tabs>
          <w:tab w:pos="1920" w:val="left" w:leader="none"/>
        </w:tabs>
        <w:spacing w:line="240" w:lineRule="auto" w:before="1" w:after="0"/>
        <w:ind w:left="1920" w:right="0" w:hanging="600"/>
        <w:jc w:val="both"/>
        <w:rPr>
          <w:sz w:val="24"/>
        </w:rPr>
      </w:pPr>
      <w:r>
        <w:rPr>
          <w:sz w:val="24"/>
        </w:rPr>
        <w:t>完善生涯规划教育课程体系</w:t>
      </w:r>
    </w:p>
    <w:p>
      <w:pPr>
        <w:pStyle w:val="BodyText"/>
        <w:spacing w:before="7"/>
        <w:rPr>
          <w:sz w:val="35"/>
        </w:rPr>
      </w:pPr>
    </w:p>
    <w:p>
      <w:pPr>
        <w:pStyle w:val="ListParagraph"/>
        <w:numPr>
          <w:ilvl w:val="3"/>
          <w:numId w:val="42"/>
        </w:numPr>
        <w:tabs>
          <w:tab w:pos="2100" w:val="left" w:leader="none"/>
        </w:tabs>
        <w:spacing w:line="240" w:lineRule="auto" w:before="0" w:after="0"/>
        <w:ind w:left="2100" w:right="0" w:hanging="780"/>
        <w:jc w:val="both"/>
        <w:rPr>
          <w:sz w:val="24"/>
        </w:rPr>
      </w:pPr>
      <w:r>
        <w:rPr>
          <w:sz w:val="24"/>
        </w:rPr>
        <w:t>改进生涯规划教育校本课程</w:t>
      </w:r>
    </w:p>
    <w:p>
      <w:pPr>
        <w:pStyle w:val="BodyText"/>
        <w:spacing w:line="364" w:lineRule="auto" w:before="160"/>
        <w:ind w:left="1320" w:right="1577" w:firstLine="480"/>
        <w:jc w:val="both"/>
      </w:pPr>
      <w:r>
        <w:rPr>
          <w:spacing w:val="-8"/>
        </w:rPr>
        <w:t>生涯规划教育校本课程，主要以课堂教学中的理论知识培养为主，协助学生</w:t>
      </w:r>
      <w:r>
        <w:rPr>
          <w:spacing w:val="-11"/>
        </w:rPr>
        <w:t>自我认知、生涯探索，拟做出生涯决策和拟定生涯规划，促进学生初步形成生涯</w:t>
      </w:r>
      <w:r>
        <w:rPr>
          <w:spacing w:val="-10"/>
        </w:rPr>
        <w:t>规划素养。生涯规划教育校本课程，侧重于向学生讲解个人与职业、社会等多方</w:t>
      </w:r>
      <w:r>
        <w:rPr>
          <w:spacing w:val="-7"/>
        </w:rPr>
        <w:t>面的生涯基础知识和基本理念，帮助学生全面、完整的了解和认识生涯规划，进</w:t>
      </w:r>
      <w:r>
        <w:rPr/>
        <w:t>而为学生生涯规划素养的形成奠定基础。</w:t>
      </w:r>
    </w:p>
    <w:p>
      <w:pPr>
        <w:pStyle w:val="BodyText"/>
        <w:spacing w:line="364" w:lineRule="auto" w:before="3"/>
        <w:ind w:left="1320" w:right="1577" w:firstLine="480"/>
        <w:jc w:val="both"/>
      </w:pPr>
      <w:r>
        <w:rPr>
          <w:spacing w:val="-10"/>
        </w:rPr>
        <w:t>调查看来，现阶段普通高中的生涯规划教育校本课程缺乏统一的规划，碎片</w:t>
      </w:r>
      <w:r>
        <w:rPr>
          <w:spacing w:val="-9"/>
        </w:rPr>
        <w:t>式的出现在学校教育中。为此，普通高中结合现有条件，基于本校区域特征及学</w:t>
      </w:r>
      <w:r>
        <w:rPr>
          <w:spacing w:val="-10"/>
        </w:rPr>
        <w:t>情，充分挖掘学校课程中丰富的生涯规划教育资源，对生涯规划教育校本课程进</w:t>
      </w:r>
      <w:r>
        <w:rPr/>
        <w:t>行统一设计与规划。</w:t>
      </w:r>
    </w:p>
    <w:p>
      <w:pPr>
        <w:pStyle w:val="BodyText"/>
        <w:spacing w:line="364" w:lineRule="auto" w:before="3"/>
        <w:ind w:left="1320" w:right="1577" w:firstLine="480"/>
        <w:jc w:val="both"/>
      </w:pPr>
      <w:r>
        <w:rPr>
          <w:spacing w:val="-10"/>
        </w:rPr>
        <w:t>首先，生涯规划教育校本课程应是连贯而有序的，即贯穿于普通高中的每一个阶段，系统地为学生普及生涯规划教育的基础知识。在新高考背景下，生涯规</w:t>
      </w:r>
      <w:r>
        <w:rPr>
          <w:spacing w:val="-5"/>
        </w:rPr>
        <w:t>划教育校本课程应从学校的选修课逐渐发展为学校的必修课，赋予其独立性，使</w:t>
      </w:r>
      <w:r>
        <w:rPr/>
        <w:t>其不再依附于班会课或选修课。</w:t>
      </w:r>
    </w:p>
    <w:p>
      <w:pPr>
        <w:pStyle w:val="BodyText"/>
        <w:spacing w:line="364" w:lineRule="auto" w:before="2"/>
        <w:ind w:left="1320" w:right="1577" w:firstLine="480"/>
        <w:jc w:val="both"/>
      </w:pPr>
      <w:r>
        <w:rPr>
          <w:spacing w:val="-10"/>
        </w:rPr>
        <w:t>其次，该课程是对生涯规划教育知识体系的总结与提炼，应谨遵循序渐进的原则，依据学生生涯发展和生涯成熟的顺序，为不同阶段的学生提供适当的生涯</w:t>
      </w:r>
      <w:r>
        <w:rPr/>
        <w:t>规划教育，以满足不同年级学生的需要，切不可“凌节而施”。</w:t>
      </w:r>
    </w:p>
    <w:p>
      <w:pPr>
        <w:spacing w:after="0" w:line="364" w:lineRule="auto"/>
        <w:jc w:val="both"/>
        <w:sectPr>
          <w:pgSz w:w="11910" w:h="16840"/>
          <w:pgMar w:header="878" w:footer="1160" w:top="1300" w:bottom="1380" w:left="480" w:right="220"/>
        </w:sectPr>
      </w:pPr>
    </w:p>
    <w:p>
      <w:pPr>
        <w:pStyle w:val="BodyText"/>
        <w:spacing w:before="8"/>
        <w:rPr>
          <w:sz w:val="10"/>
        </w:rPr>
      </w:pPr>
    </w:p>
    <w:p>
      <w:pPr>
        <w:pStyle w:val="ListParagraph"/>
        <w:numPr>
          <w:ilvl w:val="3"/>
          <w:numId w:val="42"/>
        </w:numPr>
        <w:tabs>
          <w:tab w:pos="2100" w:val="left" w:leader="none"/>
        </w:tabs>
        <w:spacing w:line="240" w:lineRule="auto" w:before="74" w:after="0"/>
        <w:ind w:left="2100" w:right="0" w:hanging="780"/>
        <w:jc w:val="left"/>
        <w:rPr>
          <w:sz w:val="24"/>
        </w:rPr>
      </w:pPr>
      <w:r>
        <w:rPr>
          <w:sz w:val="24"/>
        </w:rPr>
        <w:t>丰富生涯发展选修课程群</w:t>
      </w:r>
    </w:p>
    <w:p>
      <w:pPr>
        <w:pStyle w:val="BodyText"/>
        <w:spacing w:line="364" w:lineRule="auto" w:before="160"/>
        <w:ind w:left="1320" w:right="1457" w:firstLine="480"/>
      </w:pPr>
      <w:r>
        <w:rPr>
          <w:spacing w:val="-8"/>
        </w:rPr>
        <w:t>生涯发展选修课程群，即职业类的选修课。这些选修课是依据社会上的职业</w:t>
      </w:r>
      <w:r>
        <w:rPr>
          <w:spacing w:val="-13"/>
        </w:rPr>
        <w:t>类别来设置的，共同构成选修课程群，旨在有针对性地培养学生某一类专业或者职业的技能。目前我国普通高中开设了种类繁多的选修课，但这些选修课中涉及</w:t>
      </w:r>
      <w:r>
        <w:rPr>
          <w:spacing w:val="-22"/>
        </w:rPr>
        <w:t>学生职业技能发展的选修课相对较少，又缺乏成熟的体系。笔者在调查中也发现， </w:t>
      </w:r>
      <w:r>
        <w:rPr>
          <w:spacing w:val="-5"/>
        </w:rPr>
        <w:t>学生对于发展其专业技能有渴望，普遍希望学校能够开设相关课程。因此，丰富生涯规划教育选修课程是学生的呼求，是有必要的。</w:t>
      </w:r>
    </w:p>
    <w:p>
      <w:pPr>
        <w:pStyle w:val="BodyText"/>
        <w:spacing w:line="364" w:lineRule="auto" w:before="4"/>
        <w:ind w:left="1319" w:right="1485" w:firstLine="480"/>
      </w:pPr>
      <w:r>
        <w:rPr>
          <w:spacing w:val="-6"/>
        </w:rPr>
        <w:t>普通高中以职业领域为前提，依据各校的区域特色、师资状况及学生的特点</w:t>
      </w:r>
      <w:r>
        <w:rPr>
          <w:spacing w:val="-11"/>
        </w:rPr>
        <w:t>等实际情况，对学校生涯规划教育职业技能类课程进行整体设计，规划本校生涯</w:t>
      </w:r>
      <w:r>
        <w:rPr>
          <w:spacing w:val="-15"/>
        </w:rPr>
        <w:t>发展选修课程的职业类别，由此丰富生涯发展选修课。我们可参考英国对生涯群</w:t>
      </w:r>
      <w:r>
        <w:rPr>
          <w:spacing w:val="-14"/>
        </w:rPr>
        <w:t>集的分类，包括语言；信息与通信技术；工程；健康与社会关怀；零售业；创意</w:t>
      </w:r>
      <w:r>
        <w:rPr>
          <w:spacing w:val="-13"/>
        </w:rPr>
        <w:t>与媒体；建筑与环境；土地与环保；制造；美容与美发；经济管理与金融；家政</w:t>
      </w:r>
      <w:r>
        <w:rPr>
          <w:spacing w:val="-10"/>
        </w:rPr>
        <w:t>与护理；运动与休闲；旅游业；科学；人文学共 </w:t>
      </w:r>
      <w:r>
        <w:rPr>
          <w:rFonts w:ascii="Times New Roman" w:eastAsia="Times New Roman"/>
        </w:rPr>
        <w:t>17 </w:t>
      </w:r>
      <w:r>
        <w:rPr/>
        <w:t>个领域。</w:t>
      </w:r>
      <w:hyperlink w:history="true" w:anchor="_bookmark256">
        <w:r>
          <w:rPr>
            <w:rFonts w:ascii="Times New Roman" w:eastAsia="Times New Roman"/>
            <w:position w:val="8"/>
            <w:sz w:val="15"/>
          </w:rPr>
          <w:t>[1</w:t>
        </w:r>
      </w:hyperlink>
      <w:r>
        <w:rPr>
          <w:rFonts w:ascii="Times New Roman" w:eastAsia="Times New Roman"/>
          <w:position w:val="8"/>
          <w:sz w:val="15"/>
        </w:rPr>
        <w:t>]</w:t>
      </w:r>
      <w:r>
        <w:rPr/>
        <w:t>在此基础之上， </w:t>
      </w:r>
      <w:r>
        <w:rPr>
          <w:spacing w:val="-1"/>
        </w:rPr>
        <w:t>合理借鉴其生涯规划教育课程群的设置，依据学校师资等实际情况，因校制宜， </w:t>
      </w:r>
      <w:r>
        <w:rPr>
          <w:spacing w:val="-7"/>
        </w:rPr>
        <w:t>选择合适的职业领域，在该领域下开设种类丰富的生涯规划教育选修课，拓宽学生的生涯发展路径，以满足学生掌握职业技能的需求。</w:t>
      </w:r>
    </w:p>
    <w:p>
      <w:pPr>
        <w:pStyle w:val="BodyText"/>
        <w:spacing w:before="5"/>
        <w:ind w:left="1799"/>
        <w:rPr>
          <w:rFonts w:ascii="Times New Roman" w:eastAsia="Times New Roman"/>
          <w:sz w:val="15"/>
        </w:rPr>
      </w:pPr>
      <w:r>
        <w:rPr/>
        <w:t>例如宁波市鄞州五乡中学开设了丰富的生涯发展选修课，如图 </w:t>
      </w:r>
      <w:r>
        <w:rPr>
          <w:rFonts w:ascii="Times New Roman" w:eastAsia="Times New Roman"/>
        </w:rPr>
        <w:t>5.2 </w:t>
      </w:r>
      <w:r>
        <w:rPr/>
        <w:t>所示：</w:t>
      </w:r>
      <w:r>
        <w:rPr>
          <w:rFonts w:ascii="Times New Roman" w:eastAsia="Times New Roman"/>
          <w:position w:val="8"/>
          <w:sz w:val="15"/>
        </w:rPr>
        <w:t>[</w:t>
      </w:r>
      <w:hyperlink w:history="true" w:anchor="_bookmark257">
        <w:r>
          <w:rPr>
            <w:rFonts w:ascii="Times New Roman" w:eastAsia="Times New Roman"/>
            <w:position w:val="8"/>
            <w:sz w:val="15"/>
          </w:rPr>
          <w:t>2</w:t>
        </w:r>
      </w:hyperlink>
      <w:r>
        <w:rPr>
          <w:rFonts w:ascii="Times New Roman" w:eastAsia="Times New Roman"/>
          <w:position w:val="8"/>
          <w:sz w:val="15"/>
        </w:rPr>
        <w:t>]</w:t>
      </w:r>
    </w:p>
    <w:p>
      <w:pPr>
        <w:pStyle w:val="BodyText"/>
        <w:rPr>
          <w:rFonts w:ascii="Times New Roman"/>
          <w:sz w:val="13"/>
        </w:rPr>
      </w:pPr>
      <w:r>
        <w:rPr/>
        <w:drawing>
          <wp:anchor distT="0" distB="0" distL="0" distR="0" allowOverlap="1" layoutInCell="1" locked="0" behindDoc="0" simplePos="0" relativeHeight="115">
            <wp:simplePos x="0" y="0"/>
            <wp:positionH relativeFrom="page">
              <wp:posOffset>1684020</wp:posOffset>
            </wp:positionH>
            <wp:positionV relativeFrom="paragraph">
              <wp:posOffset>119978</wp:posOffset>
            </wp:positionV>
            <wp:extent cx="4157399" cy="2417445"/>
            <wp:effectExtent l="0" t="0" r="0" b="0"/>
            <wp:wrapTopAndBottom/>
            <wp:docPr id="81" name="image20.jpeg"/>
            <wp:cNvGraphicFramePr>
              <a:graphicFrameLocks noChangeAspect="1"/>
            </wp:cNvGraphicFramePr>
            <a:graphic>
              <a:graphicData uri="http://schemas.openxmlformats.org/drawingml/2006/picture">
                <pic:pic>
                  <pic:nvPicPr>
                    <pic:cNvPr id="82" name="image20.jpeg"/>
                    <pic:cNvPicPr/>
                  </pic:nvPicPr>
                  <pic:blipFill>
                    <a:blip r:embed="rId93" cstate="print"/>
                    <a:stretch>
                      <a:fillRect/>
                    </a:stretch>
                  </pic:blipFill>
                  <pic:spPr>
                    <a:xfrm>
                      <a:off x="0" y="0"/>
                      <a:ext cx="4157399" cy="2417445"/>
                    </a:xfrm>
                    <a:prstGeom prst="rect">
                      <a:avLst/>
                    </a:prstGeom>
                  </pic:spPr>
                </pic:pic>
              </a:graphicData>
            </a:graphic>
          </wp:anchor>
        </w:drawing>
      </w:r>
    </w:p>
    <w:p>
      <w:pPr>
        <w:pStyle w:val="BodyText"/>
        <w:spacing w:before="192"/>
        <w:ind w:left="683" w:right="525"/>
        <w:jc w:val="center"/>
      </w:pPr>
      <w:r>
        <w:rPr/>
        <w:t>图 </w:t>
      </w:r>
      <w:r>
        <w:rPr>
          <w:rFonts w:ascii="Times New Roman" w:eastAsia="Times New Roman"/>
        </w:rPr>
        <w:t>5.1 </w:t>
      </w:r>
      <w:r>
        <w:rPr/>
        <w:t>宁波市鄞州五乡中学的生涯规划教育选修课</w:t>
      </w:r>
    </w:p>
    <w:p>
      <w:pPr>
        <w:pStyle w:val="BodyText"/>
        <w:spacing w:before="12"/>
        <w:rPr>
          <w:sz w:val="17"/>
        </w:rPr>
      </w:pPr>
      <w:r>
        <w:rPr/>
        <w:pict>
          <v:shape style="position:absolute;margin-left:90pt;margin-top:13.475pt;width:144pt;height:.1pt;mso-position-horizontal-relative:page;mso-position-vertical-relative:paragraph;z-index:-251539456;mso-wrap-distance-left:0;mso-wrap-distance-right:0" coordorigin="1800,270" coordsize="2880,0" path="m1800,270l4680,270e" filled="false" stroked="true" strokeweight="0pt" strokecolor="#000000">
            <v:path arrowok="t"/>
            <v:stroke dashstyle="solid"/>
            <w10:wrap type="topAndBottom"/>
          </v:shape>
        </w:pict>
      </w:r>
    </w:p>
    <w:p>
      <w:pPr>
        <w:spacing w:line="304" w:lineRule="auto" w:before="98"/>
        <w:ind w:left="1320" w:right="1577" w:firstLine="0"/>
        <w:jc w:val="left"/>
        <w:rPr>
          <w:rFonts w:ascii="Times New Roman" w:hAnsi="Times New Roman" w:eastAsia="Times New Roman"/>
          <w:sz w:val="18"/>
        </w:rPr>
      </w:pPr>
      <w:bookmarkStart w:name="_bookmark256" w:id="305"/>
      <w:bookmarkEnd w:id="305"/>
      <w:r>
        <w:rPr/>
      </w:r>
      <w:r>
        <w:rPr>
          <w:rFonts w:ascii="Times New Roman" w:hAnsi="Times New Roman" w:eastAsia="Times New Roman"/>
          <w:position w:val="7"/>
          <w:sz w:val="13"/>
        </w:rPr>
        <w:t>[1</w:t>
      </w:r>
      <w:r>
        <w:rPr>
          <w:rFonts w:ascii="Times New Roman" w:hAnsi="Times New Roman" w:eastAsia="Times New Roman"/>
          <w:spacing w:val="14"/>
          <w:position w:val="7"/>
          <w:sz w:val="13"/>
        </w:rPr>
        <w:t>] </w:t>
      </w:r>
      <w:r>
        <w:rPr>
          <w:sz w:val="18"/>
        </w:rPr>
        <w:t>杭州绿城育华学校科研室</w:t>
      </w:r>
      <w:r>
        <w:rPr>
          <w:rFonts w:ascii="Times New Roman" w:hAnsi="Times New Roman" w:eastAsia="Times New Roman"/>
          <w:sz w:val="18"/>
        </w:rPr>
        <w:t>.</w:t>
      </w:r>
      <w:r>
        <w:rPr>
          <w:spacing w:val="-7"/>
          <w:sz w:val="18"/>
        </w:rPr>
        <w:t>构建合适的校本课程，促进学生的全面成长，坚定地走“现代型学校”发展之</w:t>
      </w:r>
      <w:r>
        <w:rPr>
          <w:sz w:val="18"/>
        </w:rPr>
        <w:t>路</w:t>
      </w:r>
      <w:r>
        <w:rPr>
          <w:rFonts w:ascii="Times New Roman" w:hAnsi="Times New Roman" w:eastAsia="Times New Roman"/>
          <w:sz w:val="18"/>
        </w:rPr>
        <w:t>.[EB/OL</w:t>
      </w:r>
      <w:hyperlink r:id="rId94">
        <w:r>
          <w:rPr>
            <w:rFonts w:ascii="Times New Roman" w:hAnsi="Times New Roman" w:eastAsia="Times New Roman"/>
            <w:sz w:val="18"/>
          </w:rPr>
          <w:t>]h</w:t>
        </w:r>
      </w:hyperlink>
      <w:r>
        <w:rPr>
          <w:rFonts w:ascii="Times New Roman" w:hAnsi="Times New Roman" w:eastAsia="Times New Roman"/>
          <w:sz w:val="18"/>
        </w:rPr>
        <w:t>t</w:t>
      </w:r>
      <w:hyperlink r:id="rId94">
        <w:r>
          <w:rPr>
            <w:rFonts w:ascii="Times New Roman" w:hAnsi="Times New Roman" w:eastAsia="Times New Roman"/>
            <w:sz w:val="18"/>
          </w:rPr>
          <w:t>tp://www.hzlcyh.com/putongAction!getArticle.action?aid=1077&amp;lefttype=KCJS.2016-3-5.</w:t>
        </w:r>
      </w:hyperlink>
    </w:p>
    <w:p>
      <w:pPr>
        <w:spacing w:line="302" w:lineRule="auto" w:before="3"/>
        <w:ind w:left="1320" w:right="1600" w:firstLine="0"/>
        <w:jc w:val="left"/>
        <w:rPr>
          <w:rFonts w:ascii="Times New Roman" w:eastAsia="Times New Roman"/>
          <w:sz w:val="18"/>
        </w:rPr>
      </w:pPr>
      <w:bookmarkStart w:name="_bookmark257" w:id="306"/>
      <w:bookmarkEnd w:id="306"/>
      <w:r>
        <w:rPr/>
      </w:r>
      <w:r>
        <w:rPr>
          <w:rFonts w:ascii="Times New Roman" w:eastAsia="Times New Roman"/>
          <w:position w:val="7"/>
          <w:sz w:val="13"/>
        </w:rPr>
        <w:t>[2] </w:t>
      </w:r>
      <w:r>
        <w:rPr>
          <w:sz w:val="18"/>
        </w:rPr>
        <w:t>五乡中学生涯规划教育</w:t>
      </w:r>
      <w:r>
        <w:rPr>
          <w:rFonts w:ascii="Times New Roman" w:eastAsia="Times New Roman"/>
          <w:sz w:val="18"/>
        </w:rPr>
        <w:t>.[EB/OL].</w:t>
      </w:r>
      <w:hyperlink r:id="rId95">
        <w:r>
          <w:rPr>
            <w:rFonts w:ascii="Times New Roman" w:eastAsia="Times New Roman"/>
            <w:sz w:val="18"/>
          </w:rPr>
          <w:t>http://wenku.baidu.com/link?url=DLtGJ4bf0H_ZrHAHyruSvmQrUKfw_Iw</w:t>
        </w:r>
      </w:hyperlink>
      <w:r>
        <w:rPr>
          <w:rFonts w:ascii="Times New Roman" w:eastAsia="Times New Roman"/>
          <w:sz w:val="18"/>
        </w:rPr>
        <w:t> cB1fDtPJqL0s3KytDTc4L0wb1t8UvwqsQjqIw5ZaL_hWXAtPIIuKrICU2jjXV_34b4rJSFxsCWh7.2016-3-5.</w:t>
      </w:r>
    </w:p>
    <w:p>
      <w:pPr>
        <w:spacing w:after="0" w:line="302" w:lineRule="auto"/>
        <w:jc w:val="left"/>
        <w:rPr>
          <w:rFonts w:ascii="Times New Roman" w:eastAsia="Times New Roman"/>
          <w:sz w:val="18"/>
        </w:rPr>
        <w:sectPr>
          <w:pgSz w:w="11910" w:h="16840"/>
          <w:pgMar w:header="878" w:footer="1160" w:top="1300" w:bottom="1380" w:left="480" w:right="220"/>
        </w:sectPr>
      </w:pPr>
    </w:p>
    <w:p>
      <w:pPr>
        <w:pStyle w:val="BodyText"/>
        <w:spacing w:before="9"/>
        <w:rPr>
          <w:rFonts w:ascii="Times New Roman"/>
          <w:sz w:val="11"/>
        </w:rPr>
      </w:pPr>
    </w:p>
    <w:p>
      <w:pPr>
        <w:pStyle w:val="BodyText"/>
        <w:spacing w:before="74"/>
        <w:ind w:left="1800"/>
      </w:pPr>
      <w:bookmarkStart w:name="_bookmark258" w:id="307"/>
      <w:bookmarkEnd w:id="307"/>
      <w:r>
        <w:rPr/>
      </w:r>
      <w:r>
        <w:rPr/>
        <w:t>宁波市鄞州五乡中学为学生开设了 </w:t>
      </w:r>
      <w:r>
        <w:rPr>
          <w:rFonts w:ascii="Times New Roman" w:eastAsia="Times New Roman"/>
        </w:rPr>
        <w:t>20 </w:t>
      </w:r>
      <w:r>
        <w:rPr/>
        <w:t>门选修课，除去重复的课程后，我们</w:t>
      </w:r>
    </w:p>
    <w:p>
      <w:pPr>
        <w:pStyle w:val="BodyText"/>
        <w:spacing w:line="364" w:lineRule="auto" w:before="161"/>
        <w:ind w:left="1320" w:right="1485"/>
      </w:pPr>
      <w:r>
        <w:rPr>
          <w:spacing w:val="-10"/>
        </w:rPr>
        <w:t>可以看到，这些选修课涉及了 </w:t>
      </w:r>
      <w:r>
        <w:rPr>
          <w:rFonts w:ascii="Times New Roman" w:eastAsia="Times New Roman"/>
        </w:rPr>
        <w:t>8 </w:t>
      </w:r>
      <w:r>
        <w:rPr>
          <w:spacing w:val="-6"/>
        </w:rPr>
        <w:t>个相关的职业领域，经济管理与金融领域</w:t>
      </w:r>
      <w:r>
        <w:rPr>
          <w:spacing w:val="-3"/>
        </w:rPr>
        <w:t>（</w:t>
      </w:r>
      <w:r>
        <w:rPr/>
        <w:t>高中生财务常识、外贸新手教程、走进物流）、工程领域（机械制图、汽车文化）</w:t>
      </w:r>
      <w:r>
        <w:rPr>
          <w:spacing w:val="-19"/>
        </w:rPr>
        <w:t>、</w:t>
      </w:r>
      <w:r>
        <w:rPr>
          <w:spacing w:val="-4"/>
        </w:rPr>
        <w:t>美容美发领域</w:t>
      </w:r>
      <w:r>
        <w:rPr/>
        <w:t>（服装搭配艺术</w:t>
      </w:r>
      <w:r>
        <w:rPr>
          <w:spacing w:val="-20"/>
        </w:rPr>
        <w:t>）</w:t>
      </w:r>
      <w:r>
        <w:rPr>
          <w:spacing w:val="-6"/>
        </w:rPr>
        <w:t>、创意与媒体领域</w:t>
      </w:r>
      <w:r>
        <w:rPr/>
        <w:t>（</w:t>
      </w:r>
      <w:r>
        <w:rPr>
          <w:spacing w:val="-3"/>
        </w:rPr>
        <w:t>摄影后期艺术处理、数码照片处理、</w:t>
      </w:r>
      <w:r>
        <w:rPr>
          <w:rFonts w:ascii="Times New Roman" w:eastAsia="Times New Roman"/>
          <w:spacing w:val="-3"/>
        </w:rPr>
        <w:t>FLASH </w:t>
      </w:r>
      <w:r>
        <w:rPr/>
        <w:t>影片制作、摄像与制作）、语言领域（导游英语口语）、旅游</w:t>
      </w:r>
      <w:r>
        <w:rPr>
          <w:spacing w:val="-4"/>
        </w:rPr>
        <w:t>业领域</w:t>
      </w:r>
      <w:r>
        <w:rPr/>
        <w:t>（宁波地方旅游知识</w:t>
      </w:r>
      <w:r>
        <w:rPr>
          <w:spacing w:val="-15"/>
        </w:rPr>
        <w:t>）</w:t>
      </w:r>
      <w:r>
        <w:rPr>
          <w:spacing w:val="-5"/>
        </w:rPr>
        <w:t>、运动与休闲</w:t>
      </w:r>
      <w:r>
        <w:rPr/>
        <w:t>（茶艺</w:t>
      </w:r>
      <w:r>
        <w:rPr>
          <w:spacing w:val="-12"/>
        </w:rPr>
        <w:t>）</w:t>
      </w:r>
      <w:r>
        <w:rPr>
          <w:spacing w:val="-5"/>
        </w:rPr>
        <w:t>、健康与社会关怀</w:t>
      </w:r>
      <w:r>
        <w:rPr/>
        <w:t>（社交礼仪）。</w:t>
      </w:r>
    </w:p>
    <w:p>
      <w:pPr>
        <w:pStyle w:val="BodyText"/>
        <w:spacing w:before="6"/>
        <w:rPr>
          <w:sz w:val="23"/>
        </w:rPr>
      </w:pPr>
    </w:p>
    <w:p>
      <w:pPr>
        <w:pStyle w:val="ListParagraph"/>
        <w:numPr>
          <w:ilvl w:val="2"/>
          <w:numId w:val="42"/>
        </w:numPr>
        <w:tabs>
          <w:tab w:pos="1920" w:val="left" w:leader="none"/>
        </w:tabs>
        <w:spacing w:line="240" w:lineRule="auto" w:before="0" w:after="0"/>
        <w:ind w:left="1920" w:right="0" w:hanging="600"/>
        <w:jc w:val="left"/>
        <w:rPr>
          <w:sz w:val="24"/>
        </w:rPr>
      </w:pPr>
      <w:r>
        <w:rPr>
          <w:sz w:val="24"/>
        </w:rPr>
        <w:t>增加并落实生涯体验活动</w:t>
      </w:r>
    </w:p>
    <w:p>
      <w:pPr>
        <w:pStyle w:val="BodyText"/>
        <w:spacing w:before="8"/>
        <w:rPr>
          <w:sz w:val="35"/>
        </w:rPr>
      </w:pPr>
    </w:p>
    <w:p>
      <w:pPr>
        <w:pStyle w:val="ListParagraph"/>
        <w:numPr>
          <w:ilvl w:val="3"/>
          <w:numId w:val="42"/>
        </w:numPr>
        <w:tabs>
          <w:tab w:pos="2100" w:val="left" w:leader="none"/>
        </w:tabs>
        <w:spacing w:line="240" w:lineRule="auto" w:before="0" w:after="0"/>
        <w:ind w:left="2100" w:right="0" w:hanging="780"/>
        <w:jc w:val="left"/>
        <w:rPr>
          <w:sz w:val="24"/>
        </w:rPr>
      </w:pPr>
      <w:r>
        <w:rPr>
          <w:sz w:val="24"/>
        </w:rPr>
        <w:t>增设生涯体验活动</w:t>
      </w:r>
    </w:p>
    <w:p>
      <w:pPr>
        <w:pStyle w:val="BodyText"/>
        <w:spacing w:line="364" w:lineRule="auto" w:before="160"/>
        <w:ind w:left="1320" w:right="1455" w:firstLine="480"/>
      </w:pPr>
      <w:r>
        <w:rPr>
          <w:spacing w:val="-10"/>
        </w:rPr>
        <w:t>通过开展活动，模拟情境或创设真实环境，让学生进行直接或者间接的生涯</w:t>
      </w:r>
      <w:r>
        <w:rPr>
          <w:spacing w:val="-13"/>
        </w:rPr>
        <w:t>体验式学习，在生涯规划教育的实施中具有非常重要的意义。普通高中要为学生</w:t>
      </w:r>
      <w:r>
        <w:rPr>
          <w:spacing w:val="-16"/>
        </w:rPr>
        <w:t>的体验创造更多的机会，从多方面、多维度增加学生的生涯体验。一方面，间接体验活动需增加，例如种类丰富的生涯主题讲座；举办“职业体验日”活动，进行角色扮演；或者与生涯相关的系列活动，如演讲比赛、辩论赛、才艺汇报等。</w:t>
      </w:r>
      <w:r>
        <w:rPr>
          <w:spacing w:val="-13"/>
        </w:rPr>
        <w:t>另一方面，尤其需要加强学生直接体验的获得，组织学生到工厂、企业等实地参</w:t>
      </w:r>
      <w:r>
        <w:rPr>
          <w:spacing w:val="-17"/>
        </w:rPr>
        <w:t>观，让学生到事业单位、行政机关、公司等进行职业体验活动，或者到高校体验， </w:t>
      </w:r>
      <w:r>
        <w:rPr/>
        <w:t>获得鲜活的直接体验。具体而言，主要包括以下几类体验活动：</w:t>
      </w:r>
    </w:p>
    <w:p>
      <w:pPr>
        <w:pStyle w:val="ListParagraph"/>
        <w:numPr>
          <w:ilvl w:val="0"/>
          <w:numId w:val="48"/>
        </w:numPr>
        <w:tabs>
          <w:tab w:pos="2100" w:val="left" w:leader="none"/>
        </w:tabs>
        <w:spacing w:line="240" w:lineRule="auto" w:before="5" w:after="0"/>
        <w:ind w:left="2100" w:right="0" w:hanging="300"/>
        <w:jc w:val="left"/>
        <w:rPr>
          <w:sz w:val="24"/>
        </w:rPr>
      </w:pPr>
      <w:r>
        <w:rPr>
          <w:sz w:val="24"/>
        </w:rPr>
        <w:t>主题讲座</w:t>
      </w:r>
    </w:p>
    <w:p>
      <w:pPr>
        <w:pStyle w:val="BodyText"/>
        <w:spacing w:line="364" w:lineRule="auto" w:before="161"/>
        <w:ind w:left="1320" w:right="1485" w:firstLine="480"/>
      </w:pPr>
      <w:r>
        <w:rPr>
          <w:spacing w:val="-1"/>
        </w:rPr>
        <w:t>通过邀请各行业的专业人士到校开展讲座，如律士，警察、医生、工程师、</w:t>
      </w:r>
      <w:r>
        <w:rPr>
          <w:spacing w:val="-9"/>
        </w:rPr>
        <w:t>教师等，让学生了解各种各样职业素养要求、工作环境以及发展趋势等，帮助学</w:t>
      </w:r>
      <w:r>
        <w:rPr>
          <w:spacing w:val="-14"/>
        </w:rPr>
        <w:t>生更加清晰地认识各个职业领域的特征，明确从现在起还需要做哪些努力才能符合该职业的要求，有利于学生建立生涯目标并为之努力。</w:t>
      </w:r>
    </w:p>
    <w:p>
      <w:pPr>
        <w:pStyle w:val="BodyText"/>
        <w:spacing w:line="364" w:lineRule="auto" w:before="2"/>
        <w:ind w:left="1320" w:right="1577" w:firstLine="480"/>
        <w:jc w:val="both"/>
      </w:pPr>
      <w:r>
        <w:rPr>
          <w:spacing w:val="-8"/>
        </w:rPr>
        <w:t>讲座主题的设计，可依据前述自我认知、生活领域、职业领域、学习领域四</w:t>
      </w:r>
      <w:r>
        <w:rPr>
          <w:spacing w:val="-7"/>
        </w:rPr>
        <w:t>个方面的生涯规划教育实施内容，结合本校实际与学生的发展情况，设置不同类</w:t>
      </w:r>
      <w:r>
        <w:rPr/>
        <w:t>别的主题讲座，彰显学校特色。</w:t>
      </w:r>
    </w:p>
    <w:p>
      <w:pPr>
        <w:pStyle w:val="BodyText"/>
        <w:spacing w:line="364" w:lineRule="auto" w:before="2"/>
        <w:ind w:left="1320" w:right="1485" w:firstLine="480"/>
      </w:pPr>
      <w:r>
        <w:rPr>
          <w:spacing w:val="-9"/>
        </w:rPr>
        <w:t>例如，在自主发展领域以“跟我一起认识自己”、“发现你的魅力”等这类</w:t>
      </w:r>
      <w:r>
        <w:rPr>
          <w:spacing w:val="-10"/>
        </w:rPr>
        <w:t>主题讲座激发学生探索自己的好奇心，引导学生正确认识自己。在生活领域中， </w:t>
      </w:r>
      <w:r>
        <w:rPr>
          <w:spacing w:val="-11"/>
        </w:rPr>
        <w:t>以“神奇的生命”为主题，让学生了解生命的起源、发展等，学会珍惜生命。通</w:t>
      </w:r>
    </w:p>
    <w:p>
      <w:pPr>
        <w:spacing w:after="0" w:line="364" w:lineRule="auto"/>
        <w:sectPr>
          <w:pgSz w:w="11910" w:h="16840"/>
          <w:pgMar w:header="878" w:footer="1160" w:top="1300" w:bottom="1380" w:left="480" w:right="220"/>
        </w:sectPr>
      </w:pPr>
    </w:p>
    <w:p>
      <w:pPr>
        <w:pStyle w:val="BodyText"/>
        <w:spacing w:before="3"/>
        <w:rPr>
          <w:sz w:val="11"/>
        </w:rPr>
      </w:pPr>
    </w:p>
    <w:p>
      <w:pPr>
        <w:pStyle w:val="BodyText"/>
        <w:spacing w:before="66"/>
        <w:ind w:left="1320"/>
      </w:pPr>
      <w:r>
        <w:rPr/>
        <w:t>过“生活中的角色”主题讲座中让学生了解生活角色等。</w:t>
      </w:r>
    </w:p>
    <w:p>
      <w:pPr>
        <w:pStyle w:val="BodyText"/>
        <w:spacing w:line="364" w:lineRule="auto" w:before="161"/>
        <w:ind w:left="1320" w:right="1457" w:firstLine="480"/>
        <w:rPr>
          <w:rFonts w:ascii="Times New Roman" w:hAnsi="Times New Roman" w:eastAsia="Times New Roman"/>
          <w:sz w:val="15"/>
        </w:rPr>
      </w:pPr>
      <w:r>
        <w:rPr>
          <w:spacing w:val="-9"/>
        </w:rPr>
        <w:t>在职业领域，可依据不同职业设置不同的主题讲座，如温州中学在组织职业</w:t>
      </w:r>
      <w:r>
        <w:rPr>
          <w:spacing w:val="-11"/>
        </w:rPr>
        <w:t>讲座时，依据学生的需求反馈来设计讲座主题。学校会事先调查学生对该领域的</w:t>
      </w:r>
      <w:r>
        <w:rPr>
          <w:spacing w:val="-19"/>
        </w:rPr>
        <w:t>认知及最感兴趣的内容，由主讲人员对这些信息汇总，并整理成相应的课件资料， </w:t>
      </w:r>
      <w:r>
        <w:rPr>
          <w:spacing w:val="-3"/>
        </w:rPr>
        <w:t>经生涯规划教师和主讲人员共同调整后最终确立讲座的主题与内容。</w:t>
      </w:r>
      <w:hyperlink w:history="true" w:anchor="_bookmark259">
        <w:r>
          <w:rPr>
            <w:rFonts w:ascii="Times New Roman" w:hAnsi="Times New Roman" w:eastAsia="Times New Roman"/>
            <w:position w:val="8"/>
            <w:sz w:val="15"/>
          </w:rPr>
          <w:t>[1</w:t>
        </w:r>
      </w:hyperlink>
      <w:r>
        <w:rPr>
          <w:rFonts w:ascii="Times New Roman" w:hAnsi="Times New Roman" w:eastAsia="Times New Roman"/>
          <w:position w:val="8"/>
          <w:sz w:val="15"/>
        </w:rPr>
        <w:t>]</w:t>
      </w:r>
      <w:r>
        <w:rPr/>
        <w:t>宁波市的</w:t>
      </w:r>
      <w:r>
        <w:rPr>
          <w:spacing w:val="-9"/>
        </w:rPr>
        <w:t>李惠利中学，在生涯趣味活动中设置“生涯主题沙龙”模块分别由不同职业的八</w:t>
      </w:r>
      <w:r>
        <w:rPr>
          <w:spacing w:val="-13"/>
        </w:rPr>
        <w:t>个讲座组成，分别为公安技术、金融证券、新闻媒体、城市交通、医疗服务、对</w:t>
      </w:r>
      <w:r>
        <w:rPr>
          <w:spacing w:val="-12"/>
        </w:rPr>
        <w:t>外贸易、文化传媒和房地产网络。这些主题讲座均由该中学的毕业生主讲，这些</w:t>
      </w:r>
      <w:r>
        <w:rPr>
          <w:spacing w:val="-16"/>
        </w:rPr>
        <w:t>毕业生已经在相应行业取得了卓越成就。学生根据兴趣爱好进行选择，通过学长学姐们分享职场生活，建立起对职业的初步认识。</w:t>
      </w:r>
      <w:r>
        <w:rPr>
          <w:rFonts w:ascii="Times New Roman" w:hAnsi="Times New Roman" w:eastAsia="Times New Roman"/>
          <w:spacing w:val="-16"/>
          <w:position w:val="8"/>
          <w:sz w:val="15"/>
        </w:rPr>
        <w:t>[</w:t>
      </w:r>
      <w:hyperlink w:history="true" w:anchor="_bookmark260">
        <w:r>
          <w:rPr>
            <w:rFonts w:ascii="Times New Roman" w:hAnsi="Times New Roman" w:eastAsia="Times New Roman"/>
            <w:spacing w:val="-16"/>
            <w:position w:val="8"/>
            <w:sz w:val="15"/>
          </w:rPr>
          <w:t>2</w:t>
        </w:r>
      </w:hyperlink>
      <w:r>
        <w:rPr>
          <w:rFonts w:ascii="Times New Roman" w:hAnsi="Times New Roman" w:eastAsia="Times New Roman"/>
          <w:spacing w:val="-16"/>
          <w:position w:val="8"/>
          <w:sz w:val="15"/>
        </w:rPr>
        <w:t>]</w:t>
      </w:r>
    </w:p>
    <w:p>
      <w:pPr>
        <w:pStyle w:val="BodyText"/>
        <w:spacing w:line="364" w:lineRule="auto" w:before="5"/>
        <w:ind w:left="1319" w:right="1457" w:firstLine="480"/>
        <w:rPr>
          <w:rFonts w:ascii="Times New Roman" w:hAnsi="Times New Roman" w:eastAsia="Times New Roman"/>
          <w:sz w:val="15"/>
        </w:rPr>
      </w:pPr>
      <w:r>
        <w:rPr>
          <w:spacing w:val="-8"/>
        </w:rPr>
        <w:t>在学习领域，大致设置以下主题，如“学霸是怎么炼成的”，帮助学生了解</w:t>
      </w:r>
      <w:r>
        <w:rPr>
          <w:spacing w:val="-22"/>
        </w:rPr>
        <w:t>学习方法与技巧；以“谁的青春不迷茫”为主题，指导学生缓解学习压力；以“大</w:t>
      </w:r>
      <w:r>
        <w:rPr>
          <w:spacing w:val="-15"/>
        </w:rPr>
        <w:t>学面面观”的主题讲座，增进学生对大学学习与生活认识与了解等。例如，河北</w:t>
      </w:r>
      <w:r>
        <w:rPr>
          <w:spacing w:val="1"/>
        </w:rPr>
        <w:t>石家庄市二中寒假前举办了“学长领我逛专业”生涯规划讲座，邀请了约 </w:t>
      </w:r>
      <w:r>
        <w:rPr>
          <w:rFonts w:ascii="Times New Roman" w:hAnsi="Times New Roman" w:eastAsia="Times New Roman"/>
        </w:rPr>
        <w:t>100 </w:t>
      </w:r>
      <w:r>
        <w:rPr>
          <w:spacing w:val="-15"/>
        </w:rPr>
        <w:t>位就读于清华、北大、复旦等名校的毕业生，就航空航天、电子工程、人文社科、</w:t>
      </w:r>
      <w:r>
        <w:rPr>
          <w:spacing w:val="-7"/>
        </w:rPr>
        <w:t>生物医学在内的共 </w:t>
      </w:r>
      <w:r>
        <w:rPr>
          <w:rFonts w:ascii="Times New Roman" w:hAnsi="Times New Roman" w:eastAsia="Times New Roman"/>
        </w:rPr>
        <w:t>27 </w:t>
      </w:r>
      <w:r>
        <w:rPr/>
        <w:t>个类别的专业知识展开介绍，增进了学生对高校专业设置和未来就业前景的认识。</w:t>
      </w:r>
      <w:r>
        <w:rPr>
          <w:rFonts w:ascii="Times New Roman" w:hAnsi="Times New Roman" w:eastAsia="Times New Roman"/>
          <w:position w:val="8"/>
          <w:sz w:val="15"/>
        </w:rPr>
        <w:t>[</w:t>
      </w:r>
      <w:hyperlink w:history="true" w:anchor="_bookmark261">
        <w:r>
          <w:rPr>
            <w:rFonts w:ascii="Times New Roman" w:hAnsi="Times New Roman" w:eastAsia="Times New Roman"/>
            <w:position w:val="8"/>
            <w:sz w:val="15"/>
          </w:rPr>
          <w:t>3</w:t>
        </w:r>
      </w:hyperlink>
      <w:r>
        <w:rPr>
          <w:rFonts w:ascii="Times New Roman" w:hAnsi="Times New Roman" w:eastAsia="Times New Roman"/>
          <w:position w:val="8"/>
          <w:sz w:val="15"/>
        </w:rPr>
        <w:t>]</w:t>
      </w:r>
    </w:p>
    <w:p>
      <w:pPr>
        <w:pStyle w:val="ListParagraph"/>
        <w:numPr>
          <w:ilvl w:val="0"/>
          <w:numId w:val="48"/>
        </w:numPr>
        <w:tabs>
          <w:tab w:pos="2100" w:val="left" w:leader="none"/>
        </w:tabs>
        <w:spacing w:line="240" w:lineRule="auto" w:before="4" w:after="0"/>
        <w:ind w:left="2100" w:right="0" w:hanging="301"/>
        <w:jc w:val="left"/>
        <w:rPr>
          <w:sz w:val="24"/>
        </w:rPr>
      </w:pPr>
      <w:r>
        <w:rPr>
          <w:sz w:val="24"/>
        </w:rPr>
        <w:t>角色扮演</w:t>
      </w:r>
    </w:p>
    <w:p>
      <w:pPr>
        <w:pStyle w:val="BodyText"/>
        <w:spacing w:line="364" w:lineRule="auto" w:before="161" w:after="23"/>
        <w:ind w:left="1319" w:right="1485" w:firstLine="480"/>
      </w:pPr>
      <w:r>
        <w:rPr>
          <w:spacing w:val="-10"/>
        </w:rPr>
        <w:t>角色扮演，学生需模拟生涯中的各种角色，运用表演的形式体验相应的行为</w:t>
      </w:r>
      <w:r>
        <w:rPr>
          <w:spacing w:val="-11"/>
        </w:rPr>
        <w:t>特点和内心感受，进而促进学生对生涯角色的认知。例如，“跳蚤市场”活动， </w:t>
      </w:r>
      <w:r>
        <w:rPr>
          <w:spacing w:val="-9"/>
        </w:rPr>
        <w:t>进行义卖；在课堂中教师假设教室变成了机场，让学生选择与机场相关的职业进</w:t>
      </w:r>
      <w:r>
        <w:rPr>
          <w:spacing w:val="-12"/>
        </w:rPr>
        <w:t>行表演，可以是保安、空姐、飞行员等，让学生模拟各个角色工作时的语言和行</w:t>
      </w:r>
      <w:r>
        <w:rPr>
          <w:spacing w:val="-13"/>
        </w:rPr>
        <w:t>为特点。另外，在学校设置“一日职业体验日”，让学生选择自己喜欢的职业， </w:t>
      </w:r>
      <w:r>
        <w:rPr>
          <w:spacing w:val="-1"/>
        </w:rPr>
        <w:t>穿上这种职业具有代表性的服饰，以个人或者小组为单位进行职业特长的展示， 如音乐达人、绘画能手、业余厨神、金牌律师、工程设计师等丰富多彩的职业。</w:t>
      </w:r>
    </w:p>
    <w:p>
      <w:pPr>
        <w:pStyle w:val="BodyText"/>
        <w:spacing w:line="20" w:lineRule="exact"/>
        <w:ind w:left="1320"/>
        <w:rPr>
          <w:sz w:val="2"/>
        </w:rPr>
      </w:pPr>
      <w:r>
        <w:rPr>
          <w:sz w:val="2"/>
        </w:rPr>
        <w:pict>
          <v:group style="width:144pt;height:.1pt;mso-position-horizontal-relative:char;mso-position-vertical-relative:line" coordorigin="0,0" coordsize="2880,2">
            <v:line style="position:absolute" from="0,0" to="2880,0" stroked="true" strokeweight="0pt" strokecolor="#000000">
              <v:stroke dashstyle="solid"/>
            </v:line>
          </v:group>
        </w:pict>
      </w:r>
      <w:r>
        <w:rPr>
          <w:sz w:val="2"/>
        </w:rPr>
      </w:r>
    </w:p>
    <w:p>
      <w:pPr>
        <w:spacing w:before="108"/>
        <w:ind w:left="1320" w:right="0" w:firstLine="0"/>
        <w:jc w:val="left"/>
        <w:rPr>
          <w:sz w:val="18"/>
        </w:rPr>
      </w:pPr>
      <w:bookmarkStart w:name="_bookmark259" w:id="308"/>
      <w:bookmarkEnd w:id="308"/>
      <w:r>
        <w:rPr/>
      </w:r>
      <w:r>
        <w:rPr>
          <w:rFonts w:ascii="Times New Roman" w:hAnsi="Times New Roman" w:eastAsia="Times New Roman"/>
          <w:position w:val="7"/>
          <w:sz w:val="13"/>
        </w:rPr>
        <w:t>[1</w:t>
      </w:r>
      <w:r>
        <w:rPr>
          <w:rFonts w:ascii="Times New Roman" w:hAnsi="Times New Roman" w:eastAsia="Times New Roman"/>
          <w:spacing w:val="10"/>
          <w:position w:val="7"/>
          <w:sz w:val="13"/>
        </w:rPr>
        <w:t>]  </w:t>
      </w:r>
      <w:r>
        <w:rPr>
          <w:sz w:val="18"/>
        </w:rPr>
        <w:t>乐颖</w:t>
      </w:r>
      <w:r>
        <w:rPr>
          <w:rFonts w:ascii="Times New Roman" w:hAnsi="Times New Roman" w:eastAsia="Times New Roman"/>
          <w:sz w:val="18"/>
        </w:rPr>
        <w:t>.</w:t>
      </w:r>
      <w:r>
        <w:rPr>
          <w:sz w:val="18"/>
        </w:rPr>
        <w:t>普通高中生涯规划教育的实践探索</w:t>
      </w:r>
      <w:r>
        <w:rPr>
          <w:rFonts w:ascii="Times New Roman" w:hAnsi="Times New Roman" w:eastAsia="Times New Roman"/>
          <w:sz w:val="18"/>
        </w:rPr>
        <w:t>—</w:t>
      </w:r>
      <w:r>
        <w:rPr>
          <w:sz w:val="18"/>
        </w:rPr>
        <w:t>以浙江省温州中学为例</w:t>
      </w:r>
      <w:r>
        <w:rPr>
          <w:rFonts w:ascii="Times New Roman" w:hAnsi="Times New Roman" w:eastAsia="Times New Roman"/>
          <w:sz w:val="18"/>
        </w:rPr>
        <w:t>.[J].</w:t>
      </w:r>
      <w:r>
        <w:rPr>
          <w:spacing w:val="-1"/>
          <w:sz w:val="18"/>
        </w:rPr>
        <w:t>中小学心理健康教育，</w:t>
      </w:r>
      <w:r>
        <w:rPr>
          <w:rFonts w:ascii="Times New Roman" w:hAnsi="Times New Roman" w:eastAsia="Times New Roman"/>
          <w:spacing w:val="-10"/>
          <w:sz w:val="18"/>
        </w:rPr>
        <w:t>2015</w:t>
      </w:r>
      <w:r>
        <w:rPr>
          <w:spacing w:val="-10"/>
          <w:sz w:val="18"/>
        </w:rPr>
        <w:t>（</w:t>
      </w:r>
      <w:r>
        <w:rPr>
          <w:rFonts w:ascii="Times New Roman" w:hAnsi="Times New Roman" w:eastAsia="Times New Roman"/>
          <w:spacing w:val="-10"/>
          <w:sz w:val="18"/>
        </w:rPr>
        <w:t>12</w:t>
      </w:r>
      <w:r>
        <w:rPr>
          <w:spacing w:val="-10"/>
          <w:sz w:val="18"/>
        </w:rPr>
        <w:t>）：</w:t>
      </w:r>
    </w:p>
    <w:p>
      <w:pPr>
        <w:spacing w:before="120"/>
        <w:ind w:left="1319" w:right="0" w:firstLine="0"/>
        <w:jc w:val="left"/>
        <w:rPr>
          <w:rFonts w:ascii="Times New Roman"/>
          <w:sz w:val="18"/>
        </w:rPr>
      </w:pPr>
      <w:r>
        <w:rPr>
          <w:rFonts w:ascii="Times New Roman"/>
          <w:sz w:val="18"/>
        </w:rPr>
        <w:t>41.</w:t>
      </w:r>
    </w:p>
    <w:p>
      <w:pPr>
        <w:spacing w:line="364" w:lineRule="auto" w:before="110"/>
        <w:ind w:left="1319" w:right="1600" w:firstLine="0"/>
        <w:jc w:val="left"/>
        <w:rPr>
          <w:rFonts w:ascii="Times New Roman" w:eastAsia="Times New Roman"/>
          <w:sz w:val="18"/>
        </w:rPr>
      </w:pPr>
      <w:bookmarkStart w:name="_bookmark260" w:id="309"/>
      <w:bookmarkEnd w:id="309"/>
      <w:r>
        <w:rPr/>
      </w:r>
      <w:r>
        <w:rPr>
          <w:rFonts w:ascii="Times New Roman" w:eastAsia="Times New Roman"/>
          <w:position w:val="7"/>
          <w:sz w:val="13"/>
        </w:rPr>
        <w:t>[2] </w:t>
      </w:r>
      <w:r>
        <w:rPr>
          <w:sz w:val="18"/>
        </w:rPr>
        <w:t>宁波李惠利中学</w:t>
      </w:r>
      <w:r>
        <w:rPr>
          <w:rFonts w:ascii="Times New Roman" w:eastAsia="Times New Roman"/>
          <w:sz w:val="18"/>
        </w:rPr>
        <w:t>.</w:t>
      </w:r>
      <w:r>
        <w:rPr>
          <w:sz w:val="18"/>
        </w:rPr>
        <w:t>体验式生涯规划活动走进李惠利中学</w:t>
      </w:r>
      <w:r>
        <w:rPr>
          <w:rFonts w:ascii="Times New Roman" w:eastAsia="Times New Roman"/>
          <w:sz w:val="18"/>
        </w:rPr>
        <w:t>.[EB/OL]..[2015-5-16</w:t>
      </w:r>
      <w:hyperlink r:id="rId96">
        <w:r>
          <w:rPr>
            <w:rFonts w:ascii="Times New Roman" w:eastAsia="Times New Roman"/>
            <w:sz w:val="18"/>
          </w:rPr>
          <w:t>].http://www.nbedu.gov.cn/zwg</w:t>
        </w:r>
      </w:hyperlink>
      <w:r>
        <w:rPr>
          <w:rFonts w:ascii="Times New Roman" w:eastAsia="Times New Roman"/>
          <w:sz w:val="18"/>
        </w:rPr>
        <w:t> k/article/show_article.asp?ArticleID=47487.2017-1-2.</w:t>
      </w:r>
    </w:p>
    <w:p>
      <w:pPr>
        <w:spacing w:line="364" w:lineRule="auto" w:before="3"/>
        <w:ind w:left="1319" w:right="1634" w:firstLine="0"/>
        <w:jc w:val="left"/>
        <w:rPr>
          <w:rFonts w:ascii="Times New Roman" w:hAnsi="Times New Roman" w:eastAsia="Times New Roman"/>
          <w:sz w:val="18"/>
        </w:rPr>
      </w:pPr>
      <w:bookmarkStart w:name="_bookmark261" w:id="310"/>
      <w:bookmarkEnd w:id="310"/>
      <w:r>
        <w:rPr/>
      </w:r>
      <w:r>
        <w:rPr>
          <w:rFonts w:ascii="Times New Roman" w:hAnsi="Times New Roman" w:eastAsia="Times New Roman"/>
          <w:position w:val="7"/>
          <w:sz w:val="13"/>
        </w:rPr>
        <w:t>[3] </w:t>
      </w:r>
      <w:r>
        <w:rPr>
          <w:sz w:val="18"/>
        </w:rPr>
        <w:t>梁健</w:t>
      </w:r>
      <w:r>
        <w:rPr>
          <w:rFonts w:ascii="Times New Roman" w:hAnsi="Times New Roman" w:eastAsia="Times New Roman"/>
          <w:sz w:val="18"/>
        </w:rPr>
        <w:t>.</w:t>
      </w:r>
      <w:r>
        <w:rPr>
          <w:sz w:val="18"/>
        </w:rPr>
        <w:t>我校举行生涯规划讲座</w:t>
      </w:r>
      <w:r>
        <w:rPr>
          <w:rFonts w:ascii="Times New Roman" w:hAnsi="Times New Roman" w:eastAsia="Times New Roman"/>
          <w:sz w:val="18"/>
        </w:rPr>
        <w:t>“</w:t>
      </w:r>
      <w:r>
        <w:rPr>
          <w:sz w:val="18"/>
        </w:rPr>
        <w:t>学长领我逛专业</w:t>
      </w:r>
      <w:r>
        <w:rPr>
          <w:rFonts w:ascii="Times New Roman" w:hAnsi="Times New Roman" w:eastAsia="Times New Roman"/>
          <w:sz w:val="18"/>
        </w:rPr>
        <w:t>”</w:t>
      </w:r>
      <w:r>
        <w:rPr>
          <w:sz w:val="18"/>
        </w:rPr>
        <w:t>活动</w:t>
      </w:r>
      <w:r>
        <w:rPr>
          <w:rFonts w:ascii="Times New Roman" w:hAnsi="Times New Roman" w:eastAsia="Times New Roman"/>
          <w:sz w:val="18"/>
        </w:rPr>
        <w:t>.[EB/OL].[2017-1-19].[EB/OL]</w:t>
      </w:r>
      <w:hyperlink r:id="rId97">
        <w:r>
          <w:rPr>
            <w:rFonts w:ascii="Times New Roman" w:hAnsi="Times New Roman" w:eastAsia="Times New Roman"/>
            <w:sz w:val="18"/>
          </w:rPr>
          <w:t>.http://www.sjzez.com/s</w:t>
        </w:r>
      </w:hyperlink>
      <w:r>
        <w:rPr>
          <w:rFonts w:ascii="Times New Roman" w:hAnsi="Times New Roman" w:eastAsia="Times New Roman"/>
          <w:sz w:val="18"/>
        </w:rPr>
        <w:t> howArticle.asp?articleId=12830.2017-2-9</w:t>
      </w:r>
    </w:p>
    <w:p>
      <w:pPr>
        <w:spacing w:after="0" w:line="364" w:lineRule="auto"/>
        <w:jc w:val="left"/>
        <w:rPr>
          <w:rFonts w:ascii="Times New Roman" w:hAnsi="Times New Roman" w:eastAsia="Times New Roman"/>
          <w:sz w:val="18"/>
        </w:rPr>
        <w:sectPr>
          <w:pgSz w:w="11910" w:h="16840"/>
          <w:pgMar w:header="878" w:footer="1160" w:top="1300" w:bottom="1380" w:left="480" w:right="220"/>
        </w:sectPr>
      </w:pPr>
    </w:p>
    <w:p>
      <w:pPr>
        <w:pStyle w:val="BodyText"/>
        <w:spacing w:before="6"/>
        <w:rPr>
          <w:rFonts w:ascii="Times New Roman"/>
          <w:sz w:val="12"/>
        </w:rPr>
      </w:pPr>
    </w:p>
    <w:p>
      <w:pPr>
        <w:pStyle w:val="BodyText"/>
        <w:spacing w:line="364" w:lineRule="auto" w:before="66"/>
        <w:ind w:left="1320" w:right="1365"/>
      </w:pPr>
      <w:r>
        <w:rPr>
          <w:spacing w:val="-11"/>
        </w:rPr>
        <w:t>发动家长、社区等校外力量，在职业日当天协助教师开展“职业体验游园活动”， </w:t>
      </w:r>
      <w:r>
        <w:rPr/>
        <w:t>以闯关的形式让学生体验不同的职业。</w:t>
      </w:r>
    </w:p>
    <w:p>
      <w:pPr>
        <w:pStyle w:val="BodyText"/>
        <w:tabs>
          <w:tab w:pos="6736" w:val="left" w:leader="dot"/>
        </w:tabs>
        <w:spacing w:line="364" w:lineRule="auto" w:before="1"/>
        <w:ind w:left="1320" w:right="1457" w:firstLine="480"/>
      </w:pPr>
      <w:r>
        <w:rPr/>
        <w:t>杭州求是高级中学的运动会入场式就是典型的角色扮演</w:t>
      </w:r>
      <w:r>
        <w:rPr>
          <w:spacing w:val="-94"/>
        </w:rPr>
        <w:t>，</w:t>
      </w:r>
      <w:r>
        <w:rPr/>
        <w:t>各班代表不同职业的人物走进运动场，如高一（</w:t>
      </w:r>
      <w:r>
        <w:rPr>
          <w:rFonts w:ascii="Times New Roman" w:eastAsia="Times New Roman"/>
        </w:rPr>
        <w:t>1</w:t>
      </w:r>
      <w:r>
        <w:rPr/>
        <w:t>）班的空乘组，高一（</w:t>
      </w:r>
      <w:r>
        <w:rPr>
          <w:rFonts w:ascii="Times New Roman" w:eastAsia="Times New Roman"/>
        </w:rPr>
        <w:t>2</w:t>
      </w:r>
      <w:r>
        <w:rPr/>
        <w:t>）班是记者采访小短剧， 高</w:t>
      </w:r>
      <w:r>
        <w:rPr>
          <w:spacing w:val="-20"/>
        </w:rPr>
        <w:t>一</w:t>
      </w:r>
      <w:r>
        <w:rPr>
          <w:spacing w:val="-7"/>
        </w:rPr>
        <w:t>（</w:t>
      </w:r>
      <w:r>
        <w:rPr>
          <w:rFonts w:ascii="Times New Roman" w:eastAsia="Times New Roman"/>
          <w:spacing w:val="-7"/>
        </w:rPr>
        <w:t>3</w:t>
      </w:r>
      <w:r>
        <w:rPr>
          <w:spacing w:val="-7"/>
        </w:rPr>
        <w:t>）</w:t>
      </w:r>
      <w:r>
        <w:rPr/>
        <w:t>班高举各种美容美发工具代表了理发师们</w:t>
      </w:r>
      <w:r>
        <w:rPr>
          <w:spacing w:val="-20"/>
        </w:rPr>
        <w:t>，</w:t>
      </w:r>
      <w:r>
        <w:rPr/>
        <w:t>还有厨师</w:t>
      </w:r>
      <w:r>
        <w:rPr>
          <w:spacing w:val="-20"/>
        </w:rPr>
        <w:t>、</w:t>
      </w:r>
      <w:r>
        <w:rPr/>
        <w:t>邮递员</w:t>
      </w:r>
      <w:r>
        <w:rPr>
          <w:spacing w:val="-20"/>
        </w:rPr>
        <w:t>、</w:t>
      </w:r>
      <w:r>
        <w:rPr/>
        <w:t>保姆</w:t>
      </w:r>
      <w:r>
        <w:rPr>
          <w:spacing w:val="-13"/>
        </w:rPr>
        <w:t>、</w:t>
      </w:r>
      <w:r>
        <w:rPr/>
        <w:t>矿工、交警、环卫工人、导游、摄影师、宇航员</w:t>
        <w:tab/>
        <w:t>通过这种方式深化学生对不</w:t>
      </w:r>
    </w:p>
    <w:p>
      <w:pPr>
        <w:spacing w:before="3"/>
        <w:ind w:left="1320" w:right="0" w:firstLine="0"/>
        <w:jc w:val="left"/>
        <w:rPr>
          <w:rFonts w:ascii="Times New Roman" w:eastAsia="Times New Roman"/>
          <w:sz w:val="15"/>
        </w:rPr>
      </w:pPr>
      <w:r>
        <w:rPr>
          <w:sz w:val="24"/>
        </w:rPr>
        <w:t>同职业特点的认识。</w:t>
      </w:r>
      <w:r>
        <w:rPr>
          <w:rFonts w:ascii="Times New Roman" w:eastAsia="Times New Roman"/>
          <w:position w:val="8"/>
          <w:sz w:val="15"/>
        </w:rPr>
        <w:t>[</w:t>
      </w:r>
      <w:hyperlink w:history="true" w:anchor="_bookmark262">
        <w:r>
          <w:rPr>
            <w:rFonts w:ascii="Times New Roman" w:eastAsia="Times New Roman"/>
            <w:position w:val="8"/>
            <w:sz w:val="15"/>
          </w:rPr>
          <w:t>1</w:t>
        </w:r>
      </w:hyperlink>
      <w:r>
        <w:rPr>
          <w:rFonts w:ascii="Times New Roman" w:eastAsia="Times New Roman"/>
          <w:position w:val="8"/>
          <w:sz w:val="15"/>
        </w:rPr>
        <w:t>]</w:t>
      </w:r>
    </w:p>
    <w:p>
      <w:pPr>
        <w:pStyle w:val="ListParagraph"/>
        <w:numPr>
          <w:ilvl w:val="0"/>
          <w:numId w:val="48"/>
        </w:numPr>
        <w:tabs>
          <w:tab w:pos="2100" w:val="left" w:leader="none"/>
        </w:tabs>
        <w:spacing w:line="240" w:lineRule="auto" w:before="160" w:after="0"/>
        <w:ind w:left="2100" w:right="0" w:hanging="300"/>
        <w:jc w:val="both"/>
        <w:rPr>
          <w:sz w:val="24"/>
        </w:rPr>
      </w:pPr>
      <w:r>
        <w:rPr>
          <w:sz w:val="24"/>
        </w:rPr>
        <w:t>职场观摩与实习</w:t>
      </w:r>
    </w:p>
    <w:p>
      <w:pPr>
        <w:pStyle w:val="BodyText"/>
        <w:spacing w:line="364" w:lineRule="auto" w:before="161"/>
        <w:ind w:left="1320" w:right="1577" w:firstLine="480"/>
        <w:jc w:val="both"/>
      </w:pPr>
      <w:r>
        <w:rPr>
          <w:spacing w:val="-10"/>
        </w:rPr>
        <w:t>职场观摩，即学校创造机会，组织学生以小组或者班级为单位，到企业进行观察，直观了解与感受各职业分工及工作环境等。通过一段时间内连续观察某一职工的工作，学生能够全面、细致地了解某一工作的职责和工作环境。学生应做好观察记录，及时反思，将经验与同学分享、交流。例如，杭州市绿城育华学校高一年级的“家长工作体验日”活动，让学生从身边最亲的人开始认识职业。学</w:t>
      </w:r>
      <w:r>
        <w:rPr>
          <w:spacing w:val="-8"/>
        </w:rPr>
        <w:t>校抽出一天的上课时间，让学生去父母或者亲戚的工作单位，从早上到晚上感受</w:t>
      </w:r>
      <w:r>
        <w:rPr/>
        <w:t>他们一天的职业。</w:t>
      </w:r>
    </w:p>
    <w:p>
      <w:pPr>
        <w:pStyle w:val="BodyText"/>
        <w:spacing w:line="364" w:lineRule="auto" w:before="4"/>
        <w:ind w:left="1320" w:right="1577" w:firstLine="480"/>
        <w:jc w:val="both"/>
      </w:pPr>
      <w:r>
        <w:rPr>
          <w:spacing w:val="-6"/>
        </w:rPr>
        <w:t>职场实习就是让学生走出学校，利用业余时间走进工厂、企业、酒店、社区</w:t>
      </w:r>
      <w:r>
        <w:rPr>
          <w:spacing w:val="-10"/>
        </w:rPr>
        <w:t>等机构实习，学生需自主探索职业和理解工作性质，并且在真实的环境中增进自</w:t>
      </w:r>
      <w:r>
        <w:rPr>
          <w:spacing w:val="-11"/>
        </w:rPr>
        <w:t>我认识，真正知道自己的兴趣在哪里，适合做什么，逐渐明晰自己的生涯发展方</w:t>
      </w:r>
      <w:r>
        <w:rPr>
          <w:spacing w:val="-10"/>
        </w:rPr>
        <w:t>向。例如杭州求是高级中学，在暑假组织学生到自己感兴趣的行业进行体验。一</w:t>
      </w:r>
      <w:r>
        <w:rPr/>
        <w:t>位高一的学生在暑期职业体验报告中写道：</w:t>
      </w:r>
    </w:p>
    <w:p>
      <w:pPr>
        <w:pStyle w:val="BodyText"/>
      </w:pPr>
    </w:p>
    <w:p>
      <w:pPr>
        <w:pStyle w:val="BodyText"/>
        <w:spacing w:line="364" w:lineRule="auto" w:before="163"/>
        <w:ind w:left="1320" w:right="1577" w:firstLine="480"/>
        <w:jc w:val="both"/>
      </w:pPr>
      <w:r>
        <w:rPr>
          <w:spacing w:val="-10"/>
        </w:rPr>
        <w:t>“每天，我们要把读者们乱放的图书放回原位，还要把读者归还的图书也整理好。原本以为是一件轻松而又有趣的事情，没想到图书馆工作人员是如此的艰辛，更让我体会到了这世界上的任何一件事情，并非我们的那么简单。虽然身心俱疲，但是，我学到了如何管理图书，归放图书，了解了图书管理员的工作的辛</w:t>
      </w:r>
      <w:r>
        <w:rPr/>
        <w:t>苦。我也学到了每次图书馆不能随手放置图书，要物归原处。”</w:t>
      </w:r>
    </w:p>
    <w:p>
      <w:pPr>
        <w:pStyle w:val="BodyText"/>
        <w:spacing w:before="3"/>
        <w:ind w:left="5580"/>
        <w:rPr>
          <w:rFonts w:ascii="Times New Roman" w:hAnsi="Times New Roman" w:eastAsia="Times New Roman"/>
        </w:rPr>
      </w:pPr>
      <w:r>
        <w:rPr>
          <w:rFonts w:ascii="Times New Roman" w:hAnsi="Times New Roman" w:eastAsia="Times New Roman"/>
        </w:rPr>
        <w:t>——</w:t>
      </w:r>
      <w:r>
        <w:rPr/>
        <w:t>职业体验报告，</w:t>
      </w:r>
      <w:r>
        <w:rPr>
          <w:rFonts w:ascii="Times New Roman" w:hAnsi="Times New Roman" w:eastAsia="Times New Roman"/>
        </w:rPr>
        <w:t>L </w:t>
      </w:r>
      <w:r>
        <w:rPr/>
        <w:t>学生，</w:t>
      </w:r>
      <w:r>
        <w:rPr>
          <w:rFonts w:ascii="Times New Roman" w:hAnsi="Times New Roman" w:eastAsia="Times New Roman"/>
        </w:rPr>
        <w:t>20161018</w:t>
      </w:r>
    </w:p>
    <w:p>
      <w:pPr>
        <w:pStyle w:val="BodyText"/>
        <w:rPr>
          <w:rFonts w:ascii="Times New Roman"/>
          <w:sz w:val="20"/>
        </w:rPr>
      </w:pPr>
    </w:p>
    <w:p>
      <w:pPr>
        <w:pStyle w:val="BodyText"/>
        <w:spacing w:before="10"/>
        <w:rPr>
          <w:rFonts w:ascii="Times New Roman"/>
          <w:sz w:val="28"/>
        </w:rPr>
      </w:pPr>
      <w:r>
        <w:rPr/>
        <w:pict>
          <v:shape style="position:absolute;margin-left:90pt;margin-top:18.594921pt;width:144pt;height:.1pt;mso-position-horizontal-relative:page;mso-position-vertical-relative:paragraph;z-index:-251537408;mso-wrap-distance-left:0;mso-wrap-distance-right:0" coordorigin="1800,372" coordsize="2880,0" path="m1800,372l4680,372e" filled="false" stroked="true" strokeweight="0pt" strokecolor="#000000">
            <v:path arrowok="t"/>
            <v:stroke dashstyle="solid"/>
            <w10:wrap type="topAndBottom"/>
          </v:shape>
        </w:pict>
      </w:r>
    </w:p>
    <w:p>
      <w:pPr>
        <w:spacing w:line="364" w:lineRule="auto" w:before="99"/>
        <w:ind w:left="1320" w:right="0" w:firstLine="0"/>
        <w:jc w:val="left"/>
        <w:rPr>
          <w:rFonts w:ascii="Times New Roman" w:eastAsia="Times New Roman"/>
          <w:sz w:val="18"/>
        </w:rPr>
      </w:pPr>
      <w:bookmarkStart w:name="_bookmark262" w:id="311"/>
      <w:bookmarkEnd w:id="311"/>
      <w:r>
        <w:rPr/>
      </w:r>
      <w:r>
        <w:rPr>
          <w:rFonts w:ascii="Times New Roman" w:eastAsia="Times New Roman"/>
          <w:position w:val="7"/>
          <w:sz w:val="13"/>
        </w:rPr>
        <w:t>[1] </w:t>
      </w:r>
      <w:r>
        <w:rPr>
          <w:sz w:val="18"/>
        </w:rPr>
        <w:t>杭州求是高级中学管理员</w:t>
      </w:r>
      <w:r>
        <w:rPr>
          <w:rFonts w:ascii="Times New Roman" w:eastAsia="Times New Roman"/>
          <w:sz w:val="18"/>
        </w:rPr>
        <w:t>.</w:t>
      </w:r>
      <w:r>
        <w:rPr>
          <w:sz w:val="18"/>
        </w:rPr>
        <w:t>第十八届秋季田径运动会</w:t>
      </w:r>
      <w:r>
        <w:rPr>
          <w:rFonts w:ascii="Times New Roman" w:eastAsia="Times New Roman"/>
          <w:sz w:val="18"/>
        </w:rPr>
        <w:t>.[EB/OL].</w:t>
      </w:r>
      <w:r>
        <w:rPr>
          <w:sz w:val="18"/>
        </w:rPr>
        <w:t>（</w:t>
      </w:r>
      <w:r>
        <w:rPr>
          <w:rFonts w:ascii="Times New Roman" w:eastAsia="Times New Roman"/>
          <w:sz w:val="18"/>
        </w:rPr>
        <w:t>2017-1-1</w:t>
      </w:r>
      <w:r>
        <w:rPr>
          <w:sz w:val="18"/>
        </w:rPr>
        <w:t>）</w:t>
      </w:r>
      <w:r>
        <w:rPr>
          <w:rFonts w:ascii="Times New Roman" w:eastAsia="Times New Roman"/>
          <w:sz w:val="18"/>
        </w:rPr>
        <w:t>.[2016-11-9</w:t>
      </w:r>
      <w:hyperlink r:id="rId98">
        <w:r>
          <w:rPr>
            <w:rFonts w:ascii="Times New Roman" w:eastAsia="Times New Roman"/>
            <w:sz w:val="18"/>
          </w:rPr>
          <w:t>].http://www.hzqs.n</w:t>
        </w:r>
      </w:hyperlink>
      <w:r>
        <w:rPr>
          <w:rFonts w:ascii="Times New Roman" w:eastAsia="Times New Roman"/>
          <w:sz w:val="18"/>
        </w:rPr>
        <w:t> et.cn/portal.php?mod=view&amp;aid=239.</w:t>
      </w:r>
    </w:p>
    <w:p>
      <w:pPr>
        <w:spacing w:after="0" w:line="364" w:lineRule="auto"/>
        <w:jc w:val="left"/>
        <w:rPr>
          <w:rFonts w:ascii="Times New Roman" w:eastAsia="Times New Roman"/>
          <w:sz w:val="18"/>
        </w:rPr>
        <w:sectPr>
          <w:pgSz w:w="11910" w:h="16840"/>
          <w:pgMar w:header="878" w:footer="1160" w:top="1300" w:bottom="1380" w:left="480" w:right="220"/>
        </w:sectPr>
      </w:pPr>
    </w:p>
    <w:p>
      <w:pPr>
        <w:pStyle w:val="BodyText"/>
        <w:spacing w:before="6"/>
        <w:rPr>
          <w:rFonts w:ascii="Times New Roman"/>
          <w:sz w:val="12"/>
        </w:rPr>
      </w:pPr>
    </w:p>
    <w:p>
      <w:pPr>
        <w:pStyle w:val="BodyText"/>
        <w:spacing w:line="364" w:lineRule="auto" w:before="66"/>
        <w:ind w:left="1320" w:right="1577" w:firstLine="480"/>
      </w:pPr>
      <w:r>
        <w:rPr>
          <w:spacing w:val="-6"/>
        </w:rPr>
        <w:t>另外一位高一的学生原本希望成为一名画师，但是体验过家装设计师后，发</w:t>
      </w:r>
      <w:r>
        <w:rPr/>
        <w:t>现自己的性格并不适合这一职业，在自己的职业体验报告中这样评价自己：</w:t>
      </w:r>
    </w:p>
    <w:p>
      <w:pPr>
        <w:pStyle w:val="BodyText"/>
      </w:pPr>
    </w:p>
    <w:p>
      <w:pPr>
        <w:pStyle w:val="BodyText"/>
        <w:spacing w:line="364" w:lineRule="auto" w:before="162"/>
        <w:ind w:left="1320" w:right="1485" w:firstLine="480"/>
      </w:pPr>
      <w:r>
        <w:rPr>
          <w:spacing w:val="-7"/>
        </w:rPr>
        <w:t>“我觉得我的性格偏慢，真正想做好一件事的话宁求精不求快，而且我的点</w:t>
      </w:r>
      <w:r>
        <w:rPr>
          <w:spacing w:val="-11"/>
        </w:rPr>
        <w:t>子比较多，相较于可能职务一直不变的原画师，我跟喜欢做自由度高、能把绘画</w:t>
      </w:r>
      <w:r>
        <w:rPr>
          <w:spacing w:val="-14"/>
        </w:rPr>
        <w:t>和创意结合起来的工作。比较我已体验的家装设计师，和我心动的动画行业，我</w:t>
      </w:r>
      <w:r>
        <w:rPr>
          <w:spacing w:val="-15"/>
        </w:rPr>
        <w:t>觉得动画行业中的原画师工作可能较为枯燥，所以原画师的职业并不太适合我。</w:t>
      </w:r>
      <w:r>
        <w:rPr>
          <w:spacing w:val="-11"/>
        </w:rPr>
        <w:t>其次，设计师需要创意，也比较适合我。但是我也一直希望能从事关于动画的工作，所以希望在今后的几年能好好努力，让自己在三年后的考试中能够有更大的胜算去赢得自己喜欢的专业和大学。”</w:t>
      </w:r>
    </w:p>
    <w:p>
      <w:pPr>
        <w:pStyle w:val="BodyText"/>
        <w:spacing w:before="4"/>
        <w:ind w:left="5580"/>
        <w:rPr>
          <w:rFonts w:ascii="Times New Roman" w:hAnsi="Times New Roman" w:eastAsia="Times New Roman"/>
        </w:rPr>
      </w:pPr>
      <w:r>
        <w:rPr>
          <w:rFonts w:ascii="Times New Roman" w:hAnsi="Times New Roman" w:eastAsia="Times New Roman"/>
        </w:rPr>
        <w:t>——</w:t>
      </w:r>
      <w:r>
        <w:rPr/>
        <w:t>职业体验报告，</w:t>
      </w:r>
      <w:r>
        <w:rPr>
          <w:rFonts w:ascii="Times New Roman" w:hAnsi="Times New Roman" w:eastAsia="Times New Roman"/>
        </w:rPr>
        <w:t>Z </w:t>
      </w:r>
      <w:r>
        <w:rPr/>
        <w:t>学生，</w:t>
      </w:r>
      <w:r>
        <w:rPr>
          <w:rFonts w:ascii="Times New Roman" w:hAnsi="Times New Roman" w:eastAsia="Times New Roman"/>
        </w:rPr>
        <w:t>20161018</w:t>
      </w:r>
    </w:p>
    <w:p>
      <w:pPr>
        <w:pStyle w:val="BodyText"/>
        <w:rPr>
          <w:rFonts w:ascii="Times New Roman"/>
          <w:sz w:val="26"/>
        </w:rPr>
      </w:pPr>
    </w:p>
    <w:p>
      <w:pPr>
        <w:pStyle w:val="BodyText"/>
        <w:spacing w:before="7"/>
        <w:rPr>
          <w:rFonts w:ascii="Times New Roman"/>
          <w:sz w:val="28"/>
        </w:rPr>
      </w:pPr>
    </w:p>
    <w:p>
      <w:pPr>
        <w:pStyle w:val="BodyText"/>
        <w:spacing w:line="364" w:lineRule="auto"/>
        <w:ind w:left="1319" w:right="1518" w:firstLine="448"/>
      </w:pPr>
      <w:r>
        <w:rPr/>
        <w:t>令人欣慰的是，通过职场体验，学生不仅在个人能力方面得到了锻炼，而且发展了积极健康的价值观，促进了学生对自身职业理想的反思和追求。</w:t>
      </w:r>
    </w:p>
    <w:p>
      <w:pPr>
        <w:pStyle w:val="ListParagraph"/>
        <w:numPr>
          <w:ilvl w:val="0"/>
          <w:numId w:val="48"/>
        </w:numPr>
        <w:tabs>
          <w:tab w:pos="2100" w:val="left" w:leader="none"/>
        </w:tabs>
        <w:spacing w:line="240" w:lineRule="auto" w:before="2" w:after="0"/>
        <w:ind w:left="2100" w:right="0" w:hanging="301"/>
        <w:jc w:val="left"/>
        <w:rPr>
          <w:sz w:val="24"/>
        </w:rPr>
      </w:pPr>
      <w:r>
        <w:rPr>
          <w:sz w:val="24"/>
        </w:rPr>
        <w:t>高校走访</w:t>
      </w:r>
    </w:p>
    <w:p>
      <w:pPr>
        <w:pStyle w:val="BodyText"/>
        <w:spacing w:line="364" w:lineRule="auto" w:before="160"/>
        <w:ind w:left="1319" w:right="1485" w:firstLine="480"/>
      </w:pPr>
      <w:r>
        <w:rPr>
          <w:spacing w:val="-5"/>
        </w:rPr>
        <w:t>生涯规划教育的实施也应注重与高等教育的衔接，让学生到大学去参观，提</w:t>
      </w:r>
      <w:r>
        <w:rPr>
          <w:spacing w:val="-11"/>
        </w:rPr>
        <w:t>前感受大学的学习氛围，了解大学生的生活，走进大学课堂去听几节课，这都有</w:t>
      </w:r>
      <w:r>
        <w:rPr>
          <w:spacing w:val="-16"/>
        </w:rPr>
        <w:t>利于学生形成对大学生活与学习的认识，让学生在填报志愿、选择专业时不再感</w:t>
      </w:r>
      <w:r>
        <w:rPr>
          <w:spacing w:val="-17"/>
        </w:rPr>
        <w:t>到迷茫与困惑。例如，杭州的杭州师范大学附属中学，组织学生以小组为单位， </w:t>
      </w:r>
      <w:r>
        <w:rPr>
          <w:spacing w:val="-4"/>
        </w:rPr>
        <w:t>到浙江大学、上海交通大学、中国农业大学等高校进行走访活动。</w:t>
      </w:r>
      <w:r>
        <w:rPr>
          <w:rFonts w:ascii="Times New Roman" w:eastAsia="Times New Roman"/>
          <w:position w:val="8"/>
          <w:sz w:val="15"/>
        </w:rPr>
        <w:t>[</w:t>
      </w:r>
      <w:hyperlink w:history="true" w:anchor="_bookmark263">
        <w:r>
          <w:rPr>
            <w:rFonts w:ascii="Times New Roman" w:eastAsia="Times New Roman"/>
            <w:position w:val="8"/>
            <w:sz w:val="15"/>
          </w:rPr>
          <w:t>1</w:t>
        </w:r>
      </w:hyperlink>
      <w:r>
        <w:rPr>
          <w:rFonts w:ascii="Times New Roman" w:eastAsia="Times New Roman"/>
          <w:position w:val="8"/>
          <w:sz w:val="15"/>
        </w:rPr>
        <w:t>]</w:t>
      </w:r>
      <w:r>
        <w:rPr/>
        <w:t>杭州绿城育</w:t>
      </w:r>
      <w:r>
        <w:rPr>
          <w:spacing w:val="-5"/>
        </w:rPr>
        <w:t>华学校的高校体验日活动也是以小组为单位，并且要求去之前对大学要有初步的</w:t>
      </w:r>
      <w:r>
        <w:rPr>
          <w:spacing w:val="-10"/>
        </w:rPr>
        <w:t>了解，学生需要自主规划路线。学生到了大学后，也是带着任务去的，比如，走</w:t>
      </w:r>
      <w:r>
        <w:rPr/>
        <w:t>进第一幢楼的第一间教室听一节课，通过向大学生借饭卡到大学食堂吃一顿午</w:t>
      </w:r>
      <w:r>
        <w:rPr>
          <w:spacing w:val="-9"/>
        </w:rPr>
        <w:t>餐，采访某一专业的老师等任务，促进高中生与大学生之间的交流，让学生对大学生活具备更理性的认识。</w:t>
      </w:r>
    </w:p>
    <w:p>
      <w:pPr>
        <w:pStyle w:val="ListParagraph"/>
        <w:numPr>
          <w:ilvl w:val="0"/>
          <w:numId w:val="48"/>
        </w:numPr>
        <w:tabs>
          <w:tab w:pos="2100" w:val="left" w:leader="none"/>
        </w:tabs>
        <w:spacing w:line="240" w:lineRule="auto" w:before="6" w:after="0"/>
        <w:ind w:left="2100" w:right="0" w:hanging="301"/>
        <w:jc w:val="left"/>
        <w:rPr>
          <w:sz w:val="24"/>
        </w:rPr>
      </w:pPr>
      <w:r>
        <w:rPr>
          <w:sz w:val="24"/>
        </w:rPr>
        <w:t>社会调研</w:t>
      </w:r>
    </w:p>
    <w:p>
      <w:pPr>
        <w:pStyle w:val="BodyText"/>
        <w:spacing w:before="161"/>
        <w:ind w:left="865" w:right="525"/>
        <w:jc w:val="center"/>
      </w:pPr>
      <w:r>
        <w:rPr/>
        <w:t>社会调研，即学生围绕某一现象，针对某一社会事件，进行深入细致地调查，</w:t>
      </w:r>
    </w:p>
    <w:p>
      <w:pPr>
        <w:pStyle w:val="BodyText"/>
        <w:spacing w:before="7"/>
        <w:rPr>
          <w:sz w:val="19"/>
        </w:rPr>
      </w:pPr>
      <w:r>
        <w:rPr/>
        <w:pict>
          <v:shape style="position:absolute;margin-left:90pt;margin-top:14.511582pt;width:144pt;height:.1pt;mso-position-horizontal-relative:page;mso-position-vertical-relative:paragraph;z-index:-251536384;mso-wrap-distance-left:0;mso-wrap-distance-right:0" coordorigin="1800,290" coordsize="2880,0" path="m1800,290l4680,290e" filled="false" stroked="true" strokeweight="0pt" strokecolor="#000000">
            <v:path arrowok="t"/>
            <v:stroke dashstyle="solid"/>
            <w10:wrap type="topAndBottom"/>
          </v:shape>
        </w:pict>
      </w:r>
    </w:p>
    <w:p>
      <w:pPr>
        <w:spacing w:before="98"/>
        <w:ind w:left="1320" w:right="0" w:firstLine="0"/>
        <w:jc w:val="left"/>
        <w:rPr>
          <w:rFonts w:ascii="Times New Roman" w:hAnsi="Times New Roman" w:eastAsia="Times New Roman"/>
          <w:sz w:val="18"/>
        </w:rPr>
      </w:pPr>
      <w:bookmarkStart w:name="_bookmark263" w:id="312"/>
      <w:bookmarkEnd w:id="312"/>
      <w:r>
        <w:rPr/>
      </w:r>
      <w:r>
        <w:rPr>
          <w:rFonts w:ascii="Times New Roman" w:hAnsi="Times New Roman" w:eastAsia="Times New Roman"/>
          <w:position w:val="7"/>
          <w:sz w:val="13"/>
        </w:rPr>
        <w:t>[1] </w:t>
      </w:r>
      <w:r>
        <w:rPr>
          <w:sz w:val="18"/>
        </w:rPr>
        <w:t>杭师大附中</w:t>
      </w:r>
      <w:r>
        <w:rPr>
          <w:rFonts w:ascii="Times New Roman" w:hAnsi="Times New Roman" w:eastAsia="Times New Roman"/>
          <w:sz w:val="18"/>
        </w:rPr>
        <w:t>.</w:t>
      </w:r>
      <w:r>
        <w:rPr>
          <w:sz w:val="18"/>
        </w:rPr>
        <w:t>带着梦想启航</w:t>
      </w:r>
      <w:r>
        <w:rPr>
          <w:rFonts w:ascii="Times New Roman" w:hAnsi="Times New Roman" w:eastAsia="Times New Roman"/>
          <w:sz w:val="18"/>
        </w:rPr>
        <w:t>——</w:t>
      </w:r>
      <w:r>
        <w:rPr>
          <w:sz w:val="18"/>
        </w:rPr>
        <w:t>杭师大附中生涯教育实践与探索</w:t>
      </w:r>
      <w:r>
        <w:rPr>
          <w:rFonts w:ascii="Times New Roman" w:hAnsi="Times New Roman" w:eastAsia="Times New Roman"/>
          <w:sz w:val="18"/>
        </w:rPr>
        <w:t>.[EB/OL]..</w:t>
      </w:r>
      <w:hyperlink r:id="rId99">
        <w:r>
          <w:rPr>
            <w:rFonts w:ascii="Times New Roman" w:hAnsi="Times New Roman" w:eastAsia="Times New Roman"/>
            <w:sz w:val="18"/>
          </w:rPr>
          <w:t>http://wenku.baidu.com/link?url</w:t>
        </w:r>
      </w:hyperlink>
    </w:p>
    <w:p>
      <w:pPr>
        <w:spacing w:line="362" w:lineRule="auto" w:before="120"/>
        <w:ind w:left="1319" w:right="1674" w:firstLine="0"/>
        <w:jc w:val="left"/>
        <w:rPr>
          <w:rFonts w:ascii="Times New Roman"/>
          <w:sz w:val="18"/>
        </w:rPr>
      </w:pPr>
      <w:r>
        <w:rPr>
          <w:rFonts w:ascii="Times New Roman"/>
          <w:sz w:val="18"/>
        </w:rPr>
        <w:t>=iUOxOjZsdzcrkSqIASUPzCGJrk9l3SOfbOXFPoWGTPNrzZ62l6ju6_lhQM68Dog9OJW7yDq1YhDchOmyM6 BQIYTgD7eczAsk27b5nVfJFFO&amp;pn=51.2017-1-2</w:t>
      </w:r>
    </w:p>
    <w:p>
      <w:pPr>
        <w:spacing w:after="0" w:line="362" w:lineRule="auto"/>
        <w:jc w:val="left"/>
        <w:rPr>
          <w:rFonts w:ascii="Times New Roman"/>
          <w:sz w:val="18"/>
        </w:rPr>
        <w:sectPr>
          <w:pgSz w:w="11910" w:h="16840"/>
          <w:pgMar w:header="878" w:footer="1160" w:top="1300" w:bottom="1380" w:left="480" w:right="220"/>
        </w:sectPr>
      </w:pPr>
    </w:p>
    <w:p>
      <w:pPr>
        <w:pStyle w:val="BodyText"/>
        <w:spacing w:before="6"/>
        <w:rPr>
          <w:rFonts w:ascii="Times New Roman"/>
          <w:sz w:val="12"/>
        </w:rPr>
      </w:pPr>
    </w:p>
    <w:p>
      <w:pPr>
        <w:pStyle w:val="BodyText"/>
        <w:spacing w:line="364" w:lineRule="auto" w:before="66"/>
        <w:ind w:left="1320" w:right="1577"/>
        <w:jc w:val="both"/>
      </w:pPr>
      <w:r>
        <w:rPr>
          <w:spacing w:val="-8"/>
        </w:rPr>
        <w:t>对调查数据进行整理、分析、处理之后，以调查报告的形式呈现调查结果。社会</w:t>
      </w:r>
      <w:r>
        <w:rPr>
          <w:spacing w:val="-6"/>
        </w:rPr>
        <w:t>调研为学生知识和技能的整合提供了平台，有利于培养学生的问题解决能力、研</w:t>
      </w:r>
      <w:r>
        <w:rPr>
          <w:spacing w:val="-8"/>
        </w:rPr>
        <w:t>究能力和创新能力，以及在团队协作中培养学生的合作能力。例如，杭州求是中</w:t>
      </w:r>
      <w:r>
        <w:rPr>
          <w:spacing w:val="-6"/>
        </w:rPr>
        <w:t>学依据本校学生出国留学的情况，设计了主题为“出国留学”的调研，让学生们</w:t>
      </w:r>
      <w:r>
        <w:rPr>
          <w:spacing w:val="-7"/>
        </w:rPr>
        <w:t>去了解不同的人出国留学的目的，出国的程序以及出国的条件等；从学科角度设计数学方面的社会调研，让运用数学知识测量拱宸桥的角度、长度、高度等；利</w:t>
      </w:r>
      <w:r>
        <w:rPr>
          <w:spacing w:val="-10"/>
        </w:rPr>
        <w:t>用假期，以课题的形式组织优秀学生外出调研，如学生宁波海洋公园后，需找出</w:t>
      </w:r>
      <w:r>
        <w:rPr/>
        <w:t>软体动物，了解其特征等，通过搜集、汇总资料后撰写调研报告。</w:t>
      </w:r>
    </w:p>
    <w:p>
      <w:pPr>
        <w:pStyle w:val="ListParagraph"/>
        <w:numPr>
          <w:ilvl w:val="3"/>
          <w:numId w:val="42"/>
        </w:numPr>
        <w:tabs>
          <w:tab w:pos="2100" w:val="left" w:leader="none"/>
        </w:tabs>
        <w:spacing w:line="240" w:lineRule="auto" w:before="5" w:after="0"/>
        <w:ind w:left="2100" w:right="0" w:hanging="780"/>
        <w:jc w:val="both"/>
        <w:rPr>
          <w:sz w:val="24"/>
        </w:rPr>
      </w:pPr>
      <w:r>
        <w:rPr>
          <w:sz w:val="24"/>
        </w:rPr>
        <w:t>落实生涯体验活动</w:t>
      </w:r>
    </w:p>
    <w:p>
      <w:pPr>
        <w:pStyle w:val="BodyText"/>
        <w:spacing w:line="364" w:lineRule="auto" w:before="160"/>
        <w:ind w:left="1320" w:right="1451" w:firstLine="480"/>
        <w:jc w:val="both"/>
      </w:pPr>
      <w:r>
        <w:rPr>
          <w:spacing w:val="-5"/>
        </w:rPr>
        <w:t>普通高中的生涯体验活动不仅要形式多样，更要落到实处。本研究认生涯体</w:t>
      </w:r>
      <w:r>
        <w:rPr>
          <w:spacing w:val="-11"/>
        </w:rPr>
        <w:t>验活动的实施能从“体验式学习鼻祖”库伯</w:t>
      </w:r>
      <w:r>
        <w:rPr/>
        <w:t>（</w:t>
      </w:r>
      <w:r>
        <w:rPr>
          <w:rFonts w:ascii="Times New Roman" w:hAnsi="Times New Roman" w:eastAsia="Times New Roman"/>
        </w:rPr>
        <w:t>David </w:t>
      </w:r>
      <w:r>
        <w:rPr>
          <w:rFonts w:ascii="Times New Roman" w:hAnsi="Times New Roman" w:eastAsia="Times New Roman"/>
          <w:spacing w:val="-6"/>
        </w:rPr>
        <w:t>Kolb</w:t>
      </w:r>
      <w:r>
        <w:rPr>
          <w:spacing w:val="-6"/>
        </w:rPr>
        <w:t>）</w:t>
      </w:r>
      <w:r>
        <w:rPr>
          <w:spacing w:val="-7"/>
        </w:rPr>
        <w:t>提出的“体验学习圈”</w:t>
      </w:r>
    </w:p>
    <w:p>
      <w:pPr>
        <w:pStyle w:val="BodyText"/>
        <w:spacing w:line="364" w:lineRule="auto" w:before="1"/>
        <w:ind w:left="1320" w:right="1457"/>
        <w:jc w:val="both"/>
        <w:rPr>
          <w:rFonts w:ascii="Times New Roman" w:hAnsi="Times New Roman" w:eastAsia="Times New Roman"/>
          <w:sz w:val="15"/>
        </w:rPr>
      </w:pPr>
      <w:r>
        <w:rPr/>
        <w:t>（</w:t>
      </w:r>
      <w:r>
        <w:rPr>
          <w:rFonts w:ascii="Times New Roman" w:hAnsi="Times New Roman" w:eastAsia="Times New Roman"/>
        </w:rPr>
        <w:t>1984 </w:t>
      </w:r>
      <w:r>
        <w:rPr/>
        <w:t>年</w:t>
      </w:r>
      <w:r>
        <w:rPr>
          <w:spacing w:val="-10"/>
        </w:rPr>
        <w:t>）</w:t>
      </w:r>
      <w:r>
        <w:rPr>
          <w:spacing w:val="-5"/>
        </w:rPr>
        <w:t>中得到有益的启示。所谓“体验学习圈”包括了以下四个基本阶段： </w:t>
      </w:r>
      <w:r>
        <w:rPr/>
        <w:t>具体体验——对体验的观察与反思——概括成理论——将理论应用于新情境中。</w:t>
      </w:r>
      <w:r>
        <w:rPr>
          <w:spacing w:val="-20"/>
        </w:rPr>
        <w:t>如图 </w:t>
      </w:r>
      <w:r>
        <w:rPr>
          <w:rFonts w:ascii="Times New Roman" w:hAnsi="Times New Roman" w:eastAsia="Times New Roman"/>
        </w:rPr>
        <w:t>5.2 </w:t>
      </w:r>
      <w:r>
        <w:rPr/>
        <w:t>所示：</w:t>
      </w:r>
      <w:r>
        <w:rPr>
          <w:rFonts w:ascii="Times New Roman" w:hAnsi="Times New Roman" w:eastAsia="Times New Roman"/>
          <w:position w:val="8"/>
          <w:sz w:val="15"/>
        </w:rPr>
        <w:t>[</w:t>
      </w:r>
      <w:hyperlink w:history="true" w:anchor="_bookmark264">
        <w:r>
          <w:rPr>
            <w:rFonts w:ascii="Times New Roman" w:hAnsi="Times New Roman" w:eastAsia="Times New Roman"/>
            <w:position w:val="8"/>
            <w:sz w:val="15"/>
          </w:rPr>
          <w:t>1</w:t>
        </w:r>
      </w:hyperlink>
      <w:r>
        <w:rPr>
          <w:rFonts w:ascii="Times New Roman" w:hAnsi="Times New Roman" w:eastAsia="Times New Roman"/>
          <w:position w:val="8"/>
          <w:sz w:val="15"/>
        </w:rPr>
        <w:t>]</w:t>
      </w:r>
    </w:p>
    <w:p>
      <w:pPr>
        <w:pStyle w:val="BodyText"/>
        <w:rPr>
          <w:rFonts w:ascii="Times New Roman"/>
          <w:sz w:val="20"/>
        </w:rPr>
      </w:pPr>
    </w:p>
    <w:p>
      <w:pPr>
        <w:pStyle w:val="BodyText"/>
        <w:spacing w:before="6"/>
        <w:rPr>
          <w:rFonts w:ascii="Times New Roman"/>
          <w:sz w:val="12"/>
        </w:rPr>
      </w:pPr>
      <w:r>
        <w:rPr/>
        <w:drawing>
          <wp:anchor distT="0" distB="0" distL="0" distR="0" allowOverlap="1" layoutInCell="1" locked="0" behindDoc="0" simplePos="0" relativeHeight="120">
            <wp:simplePos x="0" y="0"/>
            <wp:positionH relativeFrom="page">
              <wp:posOffset>1940082</wp:posOffset>
            </wp:positionH>
            <wp:positionV relativeFrom="paragraph">
              <wp:posOffset>116381</wp:posOffset>
            </wp:positionV>
            <wp:extent cx="3949477" cy="2712720"/>
            <wp:effectExtent l="0" t="0" r="0" b="0"/>
            <wp:wrapTopAndBottom/>
            <wp:docPr id="83" name="image21.jpeg"/>
            <wp:cNvGraphicFramePr>
              <a:graphicFrameLocks noChangeAspect="1"/>
            </wp:cNvGraphicFramePr>
            <a:graphic>
              <a:graphicData uri="http://schemas.openxmlformats.org/drawingml/2006/picture">
                <pic:pic>
                  <pic:nvPicPr>
                    <pic:cNvPr id="84" name="image21.jpeg"/>
                    <pic:cNvPicPr/>
                  </pic:nvPicPr>
                  <pic:blipFill>
                    <a:blip r:embed="rId100" cstate="print"/>
                    <a:stretch>
                      <a:fillRect/>
                    </a:stretch>
                  </pic:blipFill>
                  <pic:spPr>
                    <a:xfrm>
                      <a:off x="0" y="0"/>
                      <a:ext cx="3949477" cy="2712720"/>
                    </a:xfrm>
                    <a:prstGeom prst="rect">
                      <a:avLst/>
                    </a:prstGeom>
                  </pic:spPr>
                </pic:pic>
              </a:graphicData>
            </a:graphic>
          </wp:anchor>
        </w:drawing>
      </w:r>
    </w:p>
    <w:p>
      <w:pPr>
        <w:pStyle w:val="BodyText"/>
        <w:spacing w:before="3"/>
        <w:rPr>
          <w:rFonts w:ascii="Times New Roman"/>
          <w:sz w:val="12"/>
        </w:rPr>
      </w:pPr>
    </w:p>
    <w:p>
      <w:pPr>
        <w:pStyle w:val="BodyText"/>
        <w:spacing w:before="74"/>
        <w:ind w:left="954" w:right="525"/>
        <w:jc w:val="center"/>
      </w:pPr>
      <w:r>
        <w:rPr/>
        <w:t>图 </w:t>
      </w:r>
      <w:r>
        <w:rPr>
          <w:rFonts w:ascii="Times New Roman" w:hAnsi="Times New Roman" w:eastAsia="Times New Roman"/>
        </w:rPr>
        <w:t>5.2  </w:t>
      </w:r>
      <w:r>
        <w:rPr/>
        <w:t>库伯的“体验学习圈</w:t>
      </w:r>
    </w:p>
    <w:p>
      <w:pPr>
        <w:pStyle w:val="BodyText"/>
        <w:rPr>
          <w:sz w:val="20"/>
        </w:rPr>
      </w:pPr>
    </w:p>
    <w:p>
      <w:pPr>
        <w:pStyle w:val="BodyText"/>
        <w:spacing w:line="364" w:lineRule="auto" w:before="202"/>
        <w:ind w:left="1320" w:right="1577" w:firstLine="480"/>
      </w:pPr>
      <w:r>
        <w:rPr/>
        <w:pict>
          <v:shape style="position:absolute;margin-left:90pt;margin-top:61.499992pt;width:144pt;height:.1pt;mso-position-horizontal-relative:page;mso-position-vertical-relative:paragraph;z-index:-251534336;mso-wrap-distance-left:0;mso-wrap-distance-right:0" coordorigin="1800,1230" coordsize="2880,0" path="m1800,1230l4680,1230e" filled="false" stroked="true" strokeweight="0pt" strokecolor="#000000">
            <v:path arrowok="t"/>
            <v:stroke dashstyle="solid"/>
            <w10:wrap type="topAndBottom"/>
          </v:shape>
        </w:pict>
      </w:r>
      <w:r>
        <w:rPr>
          <w:spacing w:val="-10"/>
        </w:rPr>
        <w:t>在库伯看来，体验学习并非一成不变，而是以螺旋式不断上升的，即始于具体体验，经过反思观察、抽象概括与主动运用，最后再到具体体验，这时的体验</w:t>
      </w:r>
    </w:p>
    <w:p>
      <w:pPr>
        <w:pStyle w:val="ListParagraph"/>
        <w:numPr>
          <w:ilvl w:val="0"/>
          <w:numId w:val="49"/>
        </w:numPr>
        <w:tabs>
          <w:tab w:pos="1620" w:val="left" w:leader="none"/>
        </w:tabs>
        <w:spacing w:line="256" w:lineRule="auto" w:before="95" w:after="0"/>
        <w:ind w:left="1320" w:right="1583" w:firstLine="0"/>
        <w:jc w:val="left"/>
        <w:rPr>
          <w:rFonts w:ascii="Times New Roman"/>
          <w:sz w:val="18"/>
        </w:rPr>
      </w:pPr>
      <w:bookmarkStart w:name="_bookmark264" w:id="313"/>
      <w:bookmarkEnd w:id="313"/>
      <w:r>
        <w:rPr/>
      </w:r>
      <w:bookmarkStart w:name="_bookmark264" w:id="314"/>
      <w:bookmarkEnd w:id="314"/>
      <w:r>
        <w:rPr>
          <w:rFonts w:ascii="Times New Roman"/>
          <w:sz w:val="18"/>
        </w:rPr>
        <w:t>H</w:t>
      </w:r>
      <w:r>
        <w:rPr>
          <w:rFonts w:ascii="Times New Roman"/>
          <w:sz w:val="18"/>
        </w:rPr>
        <w:t>oney and Mumford.Kolb Learning Styles.[EB/OL]</w:t>
      </w:r>
      <w:hyperlink r:id="rId101">
        <w:r>
          <w:rPr>
            <w:rFonts w:ascii="Times New Roman"/>
            <w:sz w:val="18"/>
          </w:rPr>
          <w:t>.http://www.businessballs.com/kolblearningstyles.htm.2</w:t>
        </w:r>
      </w:hyperlink>
      <w:r>
        <w:rPr>
          <w:rFonts w:ascii="Times New Roman"/>
          <w:sz w:val="18"/>
        </w:rPr>
        <w:t> 017-2-9.</w:t>
      </w:r>
    </w:p>
    <w:p>
      <w:pPr>
        <w:spacing w:after="0" w:line="256" w:lineRule="auto"/>
        <w:jc w:val="left"/>
        <w:rPr>
          <w:rFonts w:ascii="Times New Roman"/>
          <w:sz w:val="18"/>
        </w:rPr>
        <w:sectPr>
          <w:pgSz w:w="11910" w:h="16840"/>
          <w:pgMar w:header="878" w:footer="1160" w:top="1300" w:bottom="1360" w:left="480" w:right="220"/>
        </w:sectPr>
      </w:pPr>
    </w:p>
    <w:p>
      <w:pPr>
        <w:pStyle w:val="BodyText"/>
        <w:spacing w:before="6"/>
        <w:rPr>
          <w:rFonts w:ascii="Times New Roman"/>
          <w:sz w:val="12"/>
        </w:rPr>
      </w:pPr>
    </w:p>
    <w:p>
      <w:pPr>
        <w:pStyle w:val="BodyText"/>
        <w:spacing w:before="66"/>
        <w:ind w:left="1320"/>
      </w:pPr>
      <w:r>
        <w:rPr/>
        <w:t>已经与第一次体验全然不同，相当于开启了一次崭新的学习。</w:t>
      </w:r>
    </w:p>
    <w:p>
      <w:pPr>
        <w:pStyle w:val="BodyText"/>
        <w:spacing w:line="364" w:lineRule="auto" w:before="160"/>
        <w:ind w:left="1320" w:right="1577" w:firstLine="480"/>
        <w:jc w:val="both"/>
      </w:pPr>
      <w:r>
        <w:rPr>
          <w:spacing w:val="-11"/>
        </w:rPr>
        <w:t>本研究基于“体验学习圈”，并结合普通高中体验学习的实际情况，将普通</w:t>
      </w:r>
      <w:r>
        <w:rPr>
          <w:spacing w:val="-8"/>
        </w:rPr>
        <w:t>高中生涯规划教育的体验学习分为“前期准备——体验——观察反思——概括总</w:t>
      </w:r>
      <w:r>
        <w:rPr/>
        <w:t>结——主动检验”五个阶段。落实体验学习也可从这五个阶段着手：</w:t>
      </w:r>
    </w:p>
    <w:p>
      <w:pPr>
        <w:pStyle w:val="ListParagraph"/>
        <w:numPr>
          <w:ilvl w:val="1"/>
          <w:numId w:val="49"/>
        </w:numPr>
        <w:tabs>
          <w:tab w:pos="2401" w:val="left" w:leader="none"/>
        </w:tabs>
        <w:spacing w:line="364" w:lineRule="auto" w:before="2" w:after="0"/>
        <w:ind w:left="1320" w:right="1457" w:firstLine="480"/>
        <w:jc w:val="left"/>
        <w:rPr>
          <w:sz w:val="24"/>
        </w:rPr>
      </w:pPr>
      <w:r>
        <w:rPr>
          <w:sz w:val="24"/>
        </w:rPr>
        <w:t>前期准备。大多数体验活动容易会忽略前期准备。充分的准备会让体</w:t>
      </w:r>
      <w:r>
        <w:rPr>
          <w:spacing w:val="-14"/>
          <w:sz w:val="24"/>
        </w:rPr>
        <w:t>验式学习达到事半功倍的效果。在学校教育中，教师要适当介绍体验活动的要求、</w:t>
      </w:r>
      <w:r>
        <w:rPr>
          <w:spacing w:val="-10"/>
          <w:sz w:val="24"/>
        </w:rPr>
        <w:t>目的、意义、流程及内容，让学生对体验活动具备基本认知，教师应对学生的体</w:t>
      </w:r>
      <w:r>
        <w:rPr>
          <w:spacing w:val="-14"/>
          <w:sz w:val="24"/>
        </w:rPr>
        <w:t>验场所进行提前考察，与相关的工厂、企业等做好对接工作，确保体验活动的顺利开展。</w:t>
      </w:r>
    </w:p>
    <w:p>
      <w:pPr>
        <w:pStyle w:val="ListParagraph"/>
        <w:numPr>
          <w:ilvl w:val="1"/>
          <w:numId w:val="49"/>
        </w:numPr>
        <w:tabs>
          <w:tab w:pos="2401" w:val="left" w:leader="none"/>
        </w:tabs>
        <w:spacing w:line="364" w:lineRule="auto" w:before="3" w:after="0"/>
        <w:ind w:left="1320" w:right="1577" w:firstLine="480"/>
        <w:jc w:val="both"/>
        <w:rPr>
          <w:rFonts w:ascii="Times New Roman" w:eastAsia="Times New Roman"/>
          <w:sz w:val="15"/>
        </w:rPr>
      </w:pPr>
      <w:r>
        <w:rPr>
          <w:spacing w:val="-1"/>
          <w:sz w:val="24"/>
        </w:rPr>
        <w:t>具体体验是观察反思的基础。学生亲身经历过后才能有所体会，但在</w:t>
      </w:r>
      <w:r>
        <w:rPr>
          <w:spacing w:val="-11"/>
          <w:sz w:val="24"/>
        </w:rPr>
        <w:t>学校教育中，学生真实体验的机会寥寥无几。因此，除了尽可能创造条件让学生</w:t>
      </w:r>
      <w:r>
        <w:rPr>
          <w:spacing w:val="-9"/>
          <w:sz w:val="24"/>
        </w:rPr>
        <w:t>参与真实体验之外，学校还应该创设符合生活逻辑的模拟情境，让学生在其中亲</w:t>
      </w:r>
      <w:r>
        <w:rPr>
          <w:sz w:val="24"/>
        </w:rPr>
        <w:t>历感受或者进行移情性理解，获得直接经验或感受。</w:t>
      </w:r>
      <w:r>
        <w:rPr>
          <w:rFonts w:ascii="Times New Roman" w:eastAsia="Times New Roman"/>
          <w:position w:val="8"/>
          <w:sz w:val="15"/>
        </w:rPr>
        <w:t>[</w:t>
      </w:r>
      <w:hyperlink w:history="true" w:anchor="_bookmark265">
        <w:r>
          <w:rPr>
            <w:rFonts w:ascii="Times New Roman" w:eastAsia="Times New Roman"/>
            <w:position w:val="8"/>
            <w:sz w:val="15"/>
          </w:rPr>
          <w:t>1</w:t>
        </w:r>
      </w:hyperlink>
      <w:r>
        <w:rPr>
          <w:rFonts w:ascii="Times New Roman" w:eastAsia="Times New Roman"/>
          <w:position w:val="8"/>
          <w:sz w:val="15"/>
        </w:rPr>
        <w:t>]</w:t>
      </w:r>
    </w:p>
    <w:p>
      <w:pPr>
        <w:pStyle w:val="ListParagraph"/>
        <w:numPr>
          <w:ilvl w:val="1"/>
          <w:numId w:val="49"/>
        </w:numPr>
        <w:tabs>
          <w:tab w:pos="2401" w:val="left" w:leader="none"/>
        </w:tabs>
        <w:spacing w:line="364" w:lineRule="auto" w:before="3" w:after="0"/>
        <w:ind w:left="1319" w:right="1577" w:firstLine="480"/>
        <w:jc w:val="both"/>
        <w:rPr>
          <w:rFonts w:ascii="Times New Roman" w:hAnsi="Times New Roman" w:eastAsia="Times New Roman"/>
          <w:sz w:val="15"/>
        </w:rPr>
      </w:pPr>
      <w:r>
        <w:rPr>
          <w:spacing w:val="-1"/>
          <w:sz w:val="24"/>
        </w:rPr>
        <w:t>学生还需要对体验进行观察与反思。通过对体验过程的详细记录，以</w:t>
      </w:r>
      <w:r>
        <w:rPr>
          <w:spacing w:val="-7"/>
          <w:sz w:val="24"/>
        </w:rPr>
        <w:t>及过程中涉及的环境变化、心理状态的改变、人际关系的变动等，真正地了解在</w:t>
      </w:r>
      <w:r>
        <w:rPr>
          <w:spacing w:val="-12"/>
          <w:sz w:val="24"/>
        </w:rPr>
        <w:t>体验中“发生了什么”。为了提高观察与记录有效性，可提前设计观察清单。在</w:t>
      </w:r>
      <w:r>
        <w:rPr>
          <w:spacing w:val="-8"/>
          <w:sz w:val="24"/>
        </w:rPr>
        <w:t>观察的基础之上，教师要引导学生进行深入思考，这是体验学习的核心环节。只</w:t>
      </w:r>
      <w:r>
        <w:rPr>
          <w:spacing w:val="-9"/>
          <w:sz w:val="24"/>
        </w:rPr>
        <w:t>有通过系统性反思，不断追问自己在体验中对于知识的运用和策略的选择，以内</w:t>
      </w:r>
      <w:r>
        <w:rPr>
          <w:sz w:val="24"/>
        </w:rPr>
        <w:t>省的方式对个人的行为进行思考，才能深刻反思个人的优势与局限。</w:t>
      </w:r>
      <w:r>
        <w:rPr>
          <w:rFonts w:ascii="Times New Roman" w:hAnsi="Times New Roman" w:eastAsia="Times New Roman"/>
          <w:position w:val="8"/>
          <w:sz w:val="15"/>
        </w:rPr>
        <w:t>[</w:t>
      </w:r>
      <w:hyperlink w:history="true" w:anchor="_bookmark266">
        <w:r>
          <w:rPr>
            <w:rFonts w:ascii="Times New Roman" w:hAnsi="Times New Roman" w:eastAsia="Times New Roman"/>
            <w:position w:val="8"/>
            <w:sz w:val="15"/>
          </w:rPr>
          <w:t>2</w:t>
        </w:r>
      </w:hyperlink>
      <w:r>
        <w:rPr>
          <w:rFonts w:ascii="Times New Roman" w:hAnsi="Times New Roman" w:eastAsia="Times New Roman"/>
          <w:position w:val="8"/>
          <w:sz w:val="15"/>
        </w:rPr>
        <w:t>]</w:t>
      </w:r>
    </w:p>
    <w:p>
      <w:pPr>
        <w:pStyle w:val="ListParagraph"/>
        <w:numPr>
          <w:ilvl w:val="1"/>
          <w:numId w:val="49"/>
        </w:numPr>
        <w:tabs>
          <w:tab w:pos="2401" w:val="left" w:leader="none"/>
        </w:tabs>
        <w:spacing w:line="364" w:lineRule="auto" w:before="3" w:after="0"/>
        <w:ind w:left="1319" w:right="1485" w:firstLine="480"/>
        <w:jc w:val="left"/>
        <w:rPr>
          <w:sz w:val="24"/>
        </w:rPr>
      </w:pPr>
      <w:r>
        <w:rPr>
          <w:sz w:val="24"/>
        </w:rPr>
        <w:t>抽象与概括是对反思的提炼、总结与升华。通过对反思的结果进行抽</w:t>
      </w:r>
      <w:r>
        <w:rPr>
          <w:spacing w:val="-9"/>
          <w:sz w:val="24"/>
        </w:rPr>
        <w:t>象概括，纳入自身的知识体系中，将体验真正“为我所用”。这时体验活动已经</w:t>
      </w:r>
      <w:r>
        <w:rPr>
          <w:spacing w:val="-10"/>
          <w:sz w:val="24"/>
        </w:rPr>
        <w:t>结束，教师可鼓励学生将体验汇集成文字，撰写体验报告，或组织经验分享会， </w:t>
      </w:r>
      <w:r>
        <w:rPr>
          <w:spacing w:val="-5"/>
          <w:sz w:val="24"/>
        </w:rPr>
        <w:t>以相同主题的学生组成一个小组，进行分享、交流，并进一步思考。在展示学习成果的的过程中，顺其自然地促进思维发展与能力提升。</w:t>
      </w:r>
    </w:p>
    <w:p>
      <w:pPr>
        <w:pStyle w:val="ListParagraph"/>
        <w:numPr>
          <w:ilvl w:val="1"/>
          <w:numId w:val="49"/>
        </w:numPr>
        <w:tabs>
          <w:tab w:pos="2401" w:val="left" w:leader="none"/>
        </w:tabs>
        <w:spacing w:line="364" w:lineRule="auto" w:before="3" w:after="0"/>
        <w:ind w:left="1319" w:right="1577" w:firstLine="480"/>
        <w:jc w:val="both"/>
        <w:rPr>
          <w:sz w:val="24"/>
        </w:rPr>
      </w:pPr>
      <w:r>
        <w:rPr>
          <w:spacing w:val="-1"/>
          <w:sz w:val="24"/>
        </w:rPr>
        <w:t>主动检验，这是对已经获得的抽象化知识的评价。通过将新概念、新</w:t>
      </w:r>
      <w:r>
        <w:rPr>
          <w:spacing w:val="-10"/>
          <w:sz w:val="24"/>
        </w:rPr>
        <w:t>价值观、新的技能应用到适当的情境中，或者与学生的学习、生活建立实质性联</w:t>
      </w:r>
      <w:r>
        <w:rPr>
          <w:sz w:val="24"/>
        </w:rPr>
        <w:t>系，以检验其正确性，使体验学习真正发挥其价值和效用。</w:t>
      </w:r>
    </w:p>
    <w:p>
      <w:pPr>
        <w:pStyle w:val="BodyText"/>
        <w:spacing w:before="12"/>
        <w:rPr>
          <w:sz w:val="26"/>
        </w:rPr>
      </w:pPr>
      <w:r>
        <w:rPr/>
        <w:pict>
          <v:shape style="position:absolute;margin-left:90pt;margin-top:19.208946pt;width:144pt;height:.1pt;mso-position-horizontal-relative:page;mso-position-vertical-relative:paragraph;z-index:-251533312;mso-wrap-distance-left:0;mso-wrap-distance-right:0" coordorigin="1800,384" coordsize="2880,0" path="m1800,384l4680,384e" filled="false" stroked="true" strokeweight="0pt" strokecolor="#000000">
            <v:path arrowok="t"/>
            <v:stroke dashstyle="solid"/>
            <w10:wrap type="topAndBottom"/>
          </v:shape>
        </w:pict>
      </w:r>
    </w:p>
    <w:p>
      <w:pPr>
        <w:spacing w:before="98"/>
        <w:ind w:left="1320" w:right="0" w:firstLine="0"/>
        <w:jc w:val="left"/>
        <w:rPr>
          <w:rFonts w:ascii="Times New Roman" w:eastAsia="Times New Roman"/>
          <w:sz w:val="18"/>
        </w:rPr>
      </w:pPr>
      <w:bookmarkStart w:name="_bookmark265" w:id="315"/>
      <w:bookmarkEnd w:id="315"/>
      <w:r>
        <w:rPr/>
      </w:r>
      <w:r>
        <w:rPr>
          <w:rFonts w:ascii="Times New Roman" w:eastAsia="Times New Roman"/>
          <w:position w:val="7"/>
          <w:sz w:val="13"/>
        </w:rPr>
        <w:t>[1</w:t>
      </w:r>
      <w:r>
        <w:rPr>
          <w:rFonts w:ascii="Times New Roman" w:eastAsia="Times New Roman"/>
          <w:spacing w:val="5"/>
          <w:position w:val="7"/>
          <w:sz w:val="13"/>
        </w:rPr>
        <w:t>]  </w:t>
      </w:r>
      <w:r>
        <w:rPr>
          <w:sz w:val="18"/>
        </w:rPr>
        <w:t>吴欣歆</w:t>
      </w:r>
      <w:r>
        <w:rPr>
          <w:rFonts w:ascii="Times New Roman" w:eastAsia="Times New Roman"/>
          <w:sz w:val="18"/>
        </w:rPr>
        <w:t>.</w:t>
      </w:r>
      <w:r>
        <w:rPr>
          <w:sz w:val="18"/>
        </w:rPr>
        <w:t>体验式学习活动链：语文教学转型的有效路径</w:t>
      </w:r>
      <w:r>
        <w:rPr>
          <w:rFonts w:ascii="Times New Roman" w:eastAsia="Times New Roman"/>
          <w:sz w:val="18"/>
        </w:rPr>
        <w:t>.[J].</w:t>
      </w:r>
      <w:r>
        <w:rPr>
          <w:sz w:val="18"/>
        </w:rPr>
        <w:t>教育科学研究，</w:t>
      </w:r>
      <w:r>
        <w:rPr>
          <w:rFonts w:ascii="Times New Roman" w:eastAsia="Times New Roman"/>
          <w:sz w:val="18"/>
        </w:rPr>
        <w:t>2016</w:t>
      </w:r>
      <w:r>
        <w:rPr>
          <w:sz w:val="18"/>
        </w:rPr>
        <w:t>（</w:t>
      </w:r>
      <w:r>
        <w:rPr>
          <w:rFonts w:ascii="Times New Roman" w:eastAsia="Times New Roman"/>
          <w:sz w:val="18"/>
        </w:rPr>
        <w:t>11</w:t>
      </w:r>
      <w:r>
        <w:rPr>
          <w:sz w:val="18"/>
        </w:rPr>
        <w:t>）：</w:t>
      </w:r>
      <w:r>
        <w:rPr>
          <w:rFonts w:ascii="Times New Roman" w:eastAsia="Times New Roman"/>
          <w:sz w:val="18"/>
        </w:rPr>
        <w:t>58-62.</w:t>
      </w:r>
    </w:p>
    <w:p>
      <w:pPr>
        <w:spacing w:before="128"/>
        <w:ind w:left="1320" w:right="0" w:firstLine="0"/>
        <w:jc w:val="left"/>
        <w:rPr>
          <w:rFonts w:ascii="Times New Roman" w:eastAsia="Times New Roman"/>
          <w:sz w:val="18"/>
        </w:rPr>
      </w:pPr>
      <w:bookmarkStart w:name="_bookmark266" w:id="316"/>
      <w:bookmarkEnd w:id="316"/>
      <w:r>
        <w:rPr/>
      </w:r>
      <w:r>
        <w:rPr>
          <w:rFonts w:ascii="Times New Roman" w:eastAsia="Times New Roman"/>
          <w:position w:val="7"/>
          <w:sz w:val="13"/>
        </w:rPr>
        <w:t>[2</w:t>
      </w:r>
      <w:r>
        <w:rPr>
          <w:rFonts w:ascii="Times New Roman" w:eastAsia="Times New Roman"/>
          <w:spacing w:val="5"/>
          <w:position w:val="7"/>
          <w:sz w:val="13"/>
        </w:rPr>
        <w:t>]  </w:t>
      </w:r>
      <w:r>
        <w:rPr>
          <w:sz w:val="18"/>
        </w:rPr>
        <w:t>吴欣歆</w:t>
      </w:r>
      <w:r>
        <w:rPr>
          <w:rFonts w:ascii="Times New Roman" w:eastAsia="Times New Roman"/>
          <w:sz w:val="18"/>
        </w:rPr>
        <w:t>.</w:t>
      </w:r>
      <w:r>
        <w:rPr>
          <w:sz w:val="18"/>
        </w:rPr>
        <w:t>体验式学习活动链：语文教学转型的有效路径</w:t>
      </w:r>
      <w:r>
        <w:rPr>
          <w:rFonts w:ascii="Times New Roman" w:eastAsia="Times New Roman"/>
          <w:sz w:val="18"/>
        </w:rPr>
        <w:t>.[J].</w:t>
      </w:r>
      <w:r>
        <w:rPr>
          <w:sz w:val="18"/>
        </w:rPr>
        <w:t>教育科学研究，</w:t>
      </w:r>
      <w:r>
        <w:rPr>
          <w:rFonts w:ascii="Times New Roman" w:eastAsia="Times New Roman"/>
          <w:sz w:val="18"/>
        </w:rPr>
        <w:t>2016</w:t>
      </w:r>
      <w:r>
        <w:rPr>
          <w:sz w:val="18"/>
        </w:rPr>
        <w:t>（</w:t>
      </w:r>
      <w:r>
        <w:rPr>
          <w:rFonts w:ascii="Times New Roman" w:eastAsia="Times New Roman"/>
          <w:sz w:val="18"/>
        </w:rPr>
        <w:t>11</w:t>
      </w:r>
      <w:r>
        <w:rPr>
          <w:sz w:val="18"/>
        </w:rPr>
        <w:t>）：</w:t>
      </w:r>
      <w:r>
        <w:rPr>
          <w:rFonts w:ascii="Times New Roman" w:eastAsia="Times New Roman"/>
          <w:sz w:val="18"/>
        </w:rPr>
        <w:t>58-62.</w:t>
      </w:r>
    </w:p>
    <w:p>
      <w:pPr>
        <w:spacing w:after="0"/>
        <w:jc w:val="left"/>
        <w:rPr>
          <w:rFonts w:ascii="Times New Roman" w:eastAsia="Times New Roman"/>
          <w:sz w:val="18"/>
        </w:rPr>
        <w:sectPr>
          <w:pgSz w:w="11910" w:h="16840"/>
          <w:pgMar w:header="878" w:footer="1160" w:top="1300" w:bottom="1380" w:left="480" w:right="220"/>
        </w:sectPr>
      </w:pPr>
    </w:p>
    <w:p>
      <w:pPr>
        <w:pStyle w:val="BodyText"/>
        <w:spacing w:before="11"/>
        <w:rPr>
          <w:rFonts w:ascii="Times New Roman"/>
          <w:sz w:val="14"/>
        </w:rPr>
      </w:pPr>
    </w:p>
    <w:p>
      <w:pPr>
        <w:pStyle w:val="ListParagraph"/>
        <w:numPr>
          <w:ilvl w:val="2"/>
          <w:numId w:val="42"/>
        </w:numPr>
        <w:tabs>
          <w:tab w:pos="1920" w:val="left" w:leader="none"/>
        </w:tabs>
        <w:spacing w:line="240" w:lineRule="auto" w:before="74" w:after="0"/>
        <w:ind w:left="1920" w:right="0" w:hanging="600"/>
        <w:jc w:val="both"/>
        <w:rPr>
          <w:sz w:val="24"/>
        </w:rPr>
      </w:pPr>
      <w:bookmarkStart w:name="_bookmark267" w:id="317"/>
      <w:bookmarkEnd w:id="317"/>
      <w:r>
        <w:rPr/>
      </w:r>
      <w:bookmarkStart w:name="_bookmark267" w:id="318"/>
      <w:bookmarkEnd w:id="318"/>
      <w:r>
        <w:rPr>
          <w:sz w:val="24"/>
        </w:rPr>
        <w:t>加强生涯规划指导的针对性与深入性</w:t>
      </w:r>
    </w:p>
    <w:p>
      <w:pPr>
        <w:pStyle w:val="BodyText"/>
        <w:spacing w:before="9"/>
        <w:rPr>
          <w:sz w:val="35"/>
        </w:rPr>
      </w:pPr>
    </w:p>
    <w:p>
      <w:pPr>
        <w:pStyle w:val="ListParagraph"/>
        <w:numPr>
          <w:ilvl w:val="3"/>
          <w:numId w:val="42"/>
        </w:numPr>
        <w:tabs>
          <w:tab w:pos="2100" w:val="left" w:leader="none"/>
        </w:tabs>
        <w:spacing w:line="240" w:lineRule="auto" w:before="1" w:after="0"/>
        <w:ind w:left="2100" w:right="0" w:hanging="780"/>
        <w:jc w:val="both"/>
        <w:rPr>
          <w:sz w:val="24"/>
        </w:rPr>
      </w:pPr>
      <w:r>
        <w:rPr>
          <w:sz w:val="24"/>
        </w:rPr>
        <w:t>提高生涯规划指导的针对性</w:t>
      </w:r>
    </w:p>
    <w:p>
      <w:pPr>
        <w:pStyle w:val="BodyText"/>
        <w:spacing w:line="364" w:lineRule="auto" w:before="160"/>
        <w:ind w:left="1320" w:right="1577" w:firstLine="480"/>
        <w:jc w:val="both"/>
      </w:pPr>
      <w:r>
        <w:rPr>
          <w:spacing w:val="-11"/>
        </w:rPr>
        <w:t>第一，建立生涯导师制度，为每个学生配备生涯规划导师，对学生进行个别辅导。教师的时间、精力有限，不能全面关注每个学生的发展，因此，可采取为</w:t>
      </w:r>
      <w:r>
        <w:rPr>
          <w:spacing w:val="-7"/>
        </w:rPr>
        <w:t>学生分配生涯导师的形式，进行个别指导，用以帮助那些在生涯认知、准备、决策上存在困惑的学生，协助他们识别机会、正确自身的能力、兴趣和成就等，帮</w:t>
      </w:r>
      <w:r>
        <w:rPr>
          <w:spacing w:val="-8"/>
        </w:rPr>
        <w:t>助他们重获信心与动力，从而做出正确的生涯决策。首先，由学校聘请专职的生</w:t>
      </w:r>
      <w:r>
        <w:rPr>
          <w:spacing w:val="-7"/>
        </w:rPr>
        <w:t>涯规划教育导师，专门负责学生的个别指导，为学生答疑解惑。其次，充分调动</w:t>
      </w:r>
      <w:r>
        <w:rPr>
          <w:spacing w:val="-8"/>
        </w:rPr>
        <w:t>学校教师的力量，动员学科教师、班主任及学校的行政教师，联合构建生涯规划教育导师团队。学生自主选择喜欢的导师，实行导师对学生负责制。此外，有条件的学校聘请兼职导师。兼职导师可由家长委员会成员、毕业的学生及社会上各</w:t>
      </w:r>
      <w:r>
        <w:rPr/>
        <w:t>行业的精英、退休教师、干部和社区工作者等社会志愿者构成。</w:t>
      </w:r>
    </w:p>
    <w:p>
      <w:pPr>
        <w:pStyle w:val="BodyText"/>
        <w:spacing w:line="364" w:lineRule="auto" w:before="6"/>
        <w:ind w:left="1320" w:right="1577" w:firstLine="480"/>
        <w:jc w:val="both"/>
        <w:rPr>
          <w:rFonts w:ascii="Times New Roman" w:eastAsia="Times New Roman"/>
          <w:sz w:val="15"/>
        </w:rPr>
      </w:pPr>
      <w:r>
        <w:rPr>
          <w:spacing w:val="-11"/>
        </w:rPr>
        <w:t>第二，建立学生生涯发展的档案袋。每个学生都应有一份属于自己的生涯发</w:t>
      </w:r>
      <w:r>
        <w:rPr>
          <w:spacing w:val="-10"/>
        </w:rPr>
        <w:t>展档案，记录生涯发展的历程。它有助于学生明晰个人的发展路径，且便于导师进行针对性的指导。例如，杭州绿城育华学校，每位学生都有一份个性化的生涯规划档案，里面包括了性格与职业类型测评、职业倾向测评、兴趣与职业定向测</w:t>
      </w:r>
      <w:r>
        <w:rPr/>
        <w:t>评、问卷调查、生涯课评价、实践性作业和个人成长记录。</w:t>
      </w:r>
      <w:r>
        <w:rPr>
          <w:rFonts w:ascii="Times New Roman" w:eastAsia="Times New Roman"/>
          <w:position w:val="8"/>
          <w:sz w:val="15"/>
        </w:rPr>
        <w:t>[</w:t>
      </w:r>
      <w:hyperlink w:history="true" w:anchor="_bookmark268">
        <w:r>
          <w:rPr>
            <w:rFonts w:ascii="Times New Roman" w:eastAsia="Times New Roman"/>
            <w:position w:val="8"/>
            <w:sz w:val="15"/>
          </w:rPr>
          <w:t>1</w:t>
        </w:r>
      </w:hyperlink>
      <w:r>
        <w:rPr>
          <w:rFonts w:ascii="Times New Roman" w:eastAsia="Times New Roman"/>
          <w:position w:val="8"/>
          <w:sz w:val="15"/>
        </w:rPr>
        <w:t>]</w:t>
      </w:r>
    </w:p>
    <w:p>
      <w:pPr>
        <w:pStyle w:val="BodyText"/>
        <w:spacing w:line="364" w:lineRule="auto" w:before="3"/>
        <w:ind w:left="1319" w:right="1457" w:firstLine="480"/>
      </w:pPr>
      <w:r>
        <w:rPr>
          <w:spacing w:val="-17"/>
        </w:rPr>
        <w:t>第三，制定学生个人发展计划。每个学生都是独一无二的，学校应集中教师、</w:t>
      </w:r>
      <w:r>
        <w:rPr>
          <w:spacing w:val="-10"/>
        </w:rPr>
        <w:t>家长、兼职导师、专业生涯顾问的力量，依据学生的优势与特长、兴趣与爱好及</w:t>
      </w:r>
      <w:r>
        <w:rPr>
          <w:spacing w:val="-13"/>
        </w:rPr>
        <w:t>能力倾向等方面，帮助学生明晰个人学习目标、生涯目标，制定发展计划，并且</w:t>
      </w:r>
      <w:r>
        <w:rPr>
          <w:spacing w:val="-22"/>
        </w:rPr>
        <w:t>随着学生生涯认知与生涯探索的深入，指导其不断调整，直至完善个人发展计划。</w:t>
      </w:r>
    </w:p>
    <w:p>
      <w:pPr>
        <w:pStyle w:val="ListParagraph"/>
        <w:numPr>
          <w:ilvl w:val="3"/>
          <w:numId w:val="42"/>
        </w:numPr>
        <w:tabs>
          <w:tab w:pos="2100" w:val="left" w:leader="none"/>
        </w:tabs>
        <w:spacing w:line="240" w:lineRule="auto" w:before="3" w:after="0"/>
        <w:ind w:left="2100" w:right="0" w:hanging="781"/>
        <w:jc w:val="left"/>
        <w:rPr>
          <w:sz w:val="24"/>
        </w:rPr>
      </w:pPr>
      <w:r>
        <w:rPr>
          <w:sz w:val="24"/>
        </w:rPr>
        <w:t>加强指导的深入性</w:t>
      </w:r>
    </w:p>
    <w:p>
      <w:pPr>
        <w:pStyle w:val="BodyText"/>
        <w:spacing w:line="364" w:lineRule="auto" w:before="160"/>
        <w:ind w:left="1319" w:right="1577" w:firstLine="480"/>
      </w:pPr>
      <w:r>
        <w:rPr>
          <w:spacing w:val="-6"/>
        </w:rPr>
        <w:t>对于高中生的生涯规划指导不能停留于表面，为了加强指导的深入性，可从</w:t>
      </w:r>
      <w:r>
        <w:rPr/>
        <w:t>以下两个方面入手：</w:t>
      </w:r>
    </w:p>
    <w:p>
      <w:pPr>
        <w:pStyle w:val="BodyText"/>
        <w:spacing w:line="364" w:lineRule="auto" w:before="1"/>
        <w:ind w:left="1319" w:right="1457" w:firstLine="480"/>
      </w:pPr>
      <w:r>
        <w:rPr>
          <w:spacing w:val="-16"/>
        </w:rPr>
        <w:t>第一，通过性格测试、能力测试等已有的专业测试和分析方法作为评估依据， </w:t>
      </w:r>
      <w:r>
        <w:rPr>
          <w:spacing w:val="-7"/>
        </w:rPr>
        <w:t>深化学生对自我的认知，帮助学生制定生涯规划。例如，利用霍兰德职业兴趣测</w:t>
      </w:r>
      <w:r>
        <w:rPr>
          <w:spacing w:val="-10"/>
        </w:rPr>
        <w:t>试、</w:t>
      </w:r>
      <w:r>
        <w:rPr>
          <w:rFonts w:ascii="Times New Roman" w:eastAsia="Times New Roman"/>
        </w:rPr>
        <w:t>MBTI </w:t>
      </w:r>
      <w:r>
        <w:rPr>
          <w:spacing w:val="-2"/>
        </w:rPr>
        <w:t>职业性格测试等测试帮助学生深入了解自己，认识自己。指导学生制</w:t>
      </w:r>
    </w:p>
    <w:p>
      <w:pPr>
        <w:pStyle w:val="BodyText"/>
        <w:spacing w:before="7"/>
        <w:rPr>
          <w:sz w:val="10"/>
        </w:rPr>
      </w:pPr>
    </w:p>
    <w:p>
      <w:pPr>
        <w:spacing w:line="364" w:lineRule="auto" w:before="103"/>
        <w:ind w:left="1319" w:right="1604" w:firstLine="0"/>
        <w:jc w:val="left"/>
        <w:rPr>
          <w:rFonts w:ascii="Times New Roman" w:eastAsia="Times New Roman"/>
          <w:sz w:val="18"/>
        </w:rPr>
      </w:pPr>
      <w:bookmarkStart w:name="_bookmark268" w:id="319"/>
      <w:bookmarkEnd w:id="319"/>
      <w:r>
        <w:rPr/>
      </w:r>
      <w:r>
        <w:rPr>
          <w:rFonts w:ascii="Times New Roman" w:eastAsia="Times New Roman"/>
          <w:position w:val="7"/>
          <w:sz w:val="13"/>
        </w:rPr>
        <w:t>[1] </w:t>
      </w:r>
      <w:r>
        <w:rPr>
          <w:sz w:val="18"/>
        </w:rPr>
        <w:t>方红峰</w:t>
      </w:r>
      <w:r>
        <w:rPr>
          <w:rFonts w:ascii="Times New Roman" w:eastAsia="Times New Roman"/>
          <w:sz w:val="18"/>
        </w:rPr>
        <w:t>.</w:t>
      </w:r>
      <w:r>
        <w:rPr>
          <w:sz w:val="18"/>
        </w:rPr>
        <w:t>生涯规划教育：一项贯穿高中阶段的综合性工作</w:t>
      </w:r>
      <w:r>
        <w:rPr>
          <w:rFonts w:ascii="Times New Roman" w:eastAsia="Times New Roman"/>
          <w:sz w:val="18"/>
        </w:rPr>
        <w:t>.[EB/OL]</w:t>
      </w:r>
      <w:hyperlink r:id="rId17">
        <w:r>
          <w:rPr>
            <w:rFonts w:ascii="Times New Roman" w:eastAsia="Times New Roman"/>
            <w:sz w:val="18"/>
          </w:rPr>
          <w:t>.http://www.zjjyb.cn/jyb/qygc/8276.html.</w:t>
        </w:r>
      </w:hyperlink>
      <w:r>
        <w:rPr>
          <w:rFonts w:ascii="Times New Roman" w:eastAsia="Times New Roman"/>
          <w:sz w:val="18"/>
        </w:rPr>
        <w:t> 2017-2-4.</w:t>
      </w:r>
    </w:p>
    <w:p>
      <w:pPr>
        <w:spacing w:after="0" w:line="364" w:lineRule="auto"/>
        <w:jc w:val="left"/>
        <w:rPr>
          <w:rFonts w:ascii="Times New Roman" w:eastAsia="Times New Roman"/>
          <w:sz w:val="18"/>
        </w:rPr>
        <w:sectPr>
          <w:headerReference w:type="default" r:id="rId102"/>
          <w:footerReference w:type="default" r:id="rId103"/>
          <w:pgSz w:w="11910" w:h="16840"/>
          <w:pgMar w:header="878" w:footer="1264" w:top="1300" w:bottom="1460" w:left="480" w:right="220"/>
        </w:sectPr>
      </w:pPr>
    </w:p>
    <w:p>
      <w:pPr>
        <w:pStyle w:val="BodyText"/>
        <w:spacing w:before="9"/>
        <w:rPr>
          <w:rFonts w:ascii="Times New Roman"/>
          <w:sz w:val="11"/>
        </w:rPr>
      </w:pPr>
    </w:p>
    <w:p>
      <w:pPr>
        <w:pStyle w:val="BodyText"/>
        <w:spacing w:line="364" w:lineRule="auto" w:before="74"/>
        <w:ind w:left="1320" w:right="1500"/>
        <w:jc w:val="both"/>
        <w:rPr>
          <w:rFonts w:ascii="Times New Roman" w:eastAsia="Times New Roman"/>
        </w:rPr>
      </w:pPr>
      <w:bookmarkStart w:name="_bookmark269" w:id="320"/>
      <w:bookmarkEnd w:id="320"/>
      <w:r>
        <w:rPr/>
      </w:r>
      <w:r>
        <w:rPr>
          <w:spacing w:val="-7"/>
        </w:rPr>
        <w:t>定生涯规划，可以采用 </w:t>
      </w:r>
      <w:r>
        <w:rPr>
          <w:rFonts w:ascii="Times New Roman" w:eastAsia="Times New Roman"/>
        </w:rPr>
        <w:t>SWOT </w:t>
      </w:r>
      <w:r>
        <w:rPr>
          <w:spacing w:val="-11"/>
        </w:rPr>
        <w:t>分析法。所谓 </w:t>
      </w:r>
      <w:r>
        <w:rPr>
          <w:rFonts w:ascii="Times New Roman" w:eastAsia="Times New Roman"/>
        </w:rPr>
        <w:t>SWOT </w:t>
      </w:r>
      <w:r>
        <w:rPr>
          <w:spacing w:val="-2"/>
        </w:rPr>
        <w:t>分析法，一般被企业用来找</w:t>
      </w:r>
      <w:r>
        <w:rPr>
          <w:spacing w:val="-17"/>
        </w:rPr>
        <w:t>出自身竞争优势</w:t>
      </w:r>
      <w:r>
        <w:rPr>
          <w:spacing w:val="-3"/>
        </w:rPr>
        <w:t>（</w:t>
      </w:r>
      <w:r>
        <w:rPr>
          <w:rFonts w:ascii="Times New Roman" w:eastAsia="Times New Roman"/>
        </w:rPr>
        <w:t>st</w:t>
      </w:r>
      <w:r>
        <w:rPr>
          <w:rFonts w:ascii="Times New Roman" w:eastAsia="Times New Roman"/>
          <w:spacing w:val="-1"/>
        </w:rPr>
        <w:t>re</w:t>
      </w:r>
      <w:r>
        <w:rPr>
          <w:rFonts w:ascii="Times New Roman" w:eastAsia="Times New Roman"/>
        </w:rPr>
        <w:t>ngth</w:t>
      </w:r>
      <w:r>
        <w:rPr>
          <w:rFonts w:ascii="Times New Roman" w:eastAsia="Times New Roman"/>
          <w:spacing w:val="-1"/>
        </w:rPr>
        <w:t>es</w:t>
      </w:r>
      <w:r>
        <w:rPr>
          <w:spacing w:val="-104"/>
        </w:rPr>
        <w:t>）</w:t>
      </w:r>
      <w:r>
        <w:rPr>
          <w:spacing w:val="-35"/>
        </w:rPr>
        <w:t>、劣势</w:t>
      </w:r>
      <w:r>
        <w:rPr>
          <w:rFonts w:ascii="Times New Roman" w:eastAsia="Times New Roman"/>
          <w:spacing w:val="-1"/>
        </w:rPr>
        <w:t>(we</w:t>
      </w:r>
      <w:r>
        <w:rPr>
          <w:rFonts w:ascii="Times New Roman" w:eastAsia="Times New Roman"/>
          <w:spacing w:val="1"/>
        </w:rPr>
        <w:t>a</w:t>
      </w:r>
      <w:r>
        <w:rPr>
          <w:rFonts w:ascii="Times New Roman" w:eastAsia="Times New Roman"/>
        </w:rPr>
        <w:t>kn</w:t>
      </w:r>
      <w:r>
        <w:rPr>
          <w:rFonts w:ascii="Times New Roman" w:eastAsia="Times New Roman"/>
          <w:spacing w:val="-1"/>
        </w:rPr>
        <w:t>e</w:t>
      </w:r>
      <w:r>
        <w:rPr>
          <w:rFonts w:ascii="Times New Roman" w:eastAsia="Times New Roman"/>
        </w:rPr>
        <w:t>ss</w:t>
      </w:r>
      <w:r>
        <w:rPr>
          <w:rFonts w:ascii="Times New Roman" w:eastAsia="Times New Roman"/>
          <w:spacing w:val="-1"/>
        </w:rPr>
        <w:t>e</w:t>
      </w:r>
      <w:r>
        <w:rPr>
          <w:rFonts w:ascii="Times New Roman" w:eastAsia="Times New Roman"/>
        </w:rPr>
        <w:t>s</w:t>
      </w:r>
      <w:r>
        <w:rPr>
          <w:rFonts w:ascii="Times New Roman" w:eastAsia="Times New Roman"/>
          <w:spacing w:val="3"/>
        </w:rPr>
        <w:t>)</w:t>
      </w:r>
      <w:r>
        <w:rPr>
          <w:spacing w:val="-36"/>
        </w:rPr>
        <w:t>、机会</w:t>
      </w:r>
      <w:r>
        <w:rPr>
          <w:rFonts w:ascii="Times New Roman" w:eastAsia="Times New Roman"/>
          <w:spacing w:val="-1"/>
        </w:rPr>
        <w:t>(</w:t>
      </w:r>
      <w:r>
        <w:rPr>
          <w:rFonts w:ascii="Times New Roman" w:eastAsia="Times New Roman"/>
        </w:rPr>
        <w:t>oppo</w:t>
      </w:r>
      <w:r>
        <w:rPr>
          <w:rFonts w:ascii="Times New Roman" w:eastAsia="Times New Roman"/>
          <w:spacing w:val="-1"/>
        </w:rPr>
        <w:t>r</w:t>
      </w:r>
      <w:r>
        <w:rPr>
          <w:rFonts w:ascii="Times New Roman" w:eastAsia="Times New Roman"/>
        </w:rPr>
        <w:t>tuniti</w:t>
      </w:r>
      <w:r>
        <w:rPr>
          <w:rFonts w:ascii="Times New Roman" w:eastAsia="Times New Roman"/>
          <w:spacing w:val="-1"/>
        </w:rPr>
        <w:t>e</w:t>
      </w:r>
      <w:r>
        <w:rPr>
          <w:rFonts w:ascii="Times New Roman" w:eastAsia="Times New Roman"/>
        </w:rPr>
        <w:t>s</w:t>
      </w:r>
      <w:r>
        <w:rPr>
          <w:rFonts w:ascii="Times New Roman" w:eastAsia="Times New Roman"/>
          <w:spacing w:val="1"/>
        </w:rPr>
        <w:t>)</w:t>
      </w:r>
      <w:r>
        <w:rPr/>
        <w:t>和威胁</w:t>
      </w:r>
      <w:r>
        <w:rPr>
          <w:rFonts w:ascii="Times New Roman" w:eastAsia="Times New Roman"/>
          <w:spacing w:val="-1"/>
        </w:rPr>
        <w:t>(</w:t>
      </w:r>
      <w:r>
        <w:rPr>
          <w:rFonts w:ascii="Times New Roman" w:eastAsia="Times New Roman"/>
        </w:rPr>
        <w:t>th</w:t>
      </w:r>
      <w:r>
        <w:rPr>
          <w:rFonts w:ascii="Times New Roman" w:eastAsia="Times New Roman"/>
          <w:spacing w:val="-1"/>
        </w:rPr>
        <w:t>rea</w:t>
      </w:r>
      <w:r>
        <w:rPr>
          <w:rFonts w:ascii="Times New Roman" w:eastAsia="Times New Roman"/>
        </w:rPr>
        <w:t>ts)</w:t>
      </w:r>
    </w:p>
    <w:p>
      <w:pPr>
        <w:pStyle w:val="BodyText"/>
        <w:spacing w:line="364" w:lineRule="auto" w:before="2"/>
        <w:ind w:left="1319" w:right="1575"/>
        <w:jc w:val="both"/>
      </w:pPr>
      <w:r>
        <w:rPr/>
        <w:t>（</w:t>
      </w:r>
      <w:r>
        <w:rPr>
          <w:spacing w:val="-15"/>
        </w:rPr>
        <w:t>简称为 </w:t>
      </w:r>
      <w:r>
        <w:rPr>
          <w:rFonts w:ascii="Times New Roman" w:eastAsia="Times New Roman"/>
          <w:spacing w:val="-20"/>
        </w:rPr>
        <w:t>SWOT</w:t>
      </w:r>
      <w:r>
        <w:rPr>
          <w:spacing w:val="-20"/>
        </w:rPr>
        <w:t>），</w:t>
      </w:r>
      <w:hyperlink r:id="rId106">
        <w:r>
          <w:rPr>
            <w:spacing w:val="-1"/>
          </w:rPr>
          <w:t>将公司的战略与公司内部资源和外部环境有机结合起来确定</w:t>
        </w:r>
      </w:hyperlink>
      <w:r>
        <w:rPr>
          <w:spacing w:val="-2"/>
        </w:rPr>
        <w:t>相应的生存和发展战略的科学分析方法。个人在运用 </w:t>
      </w:r>
      <w:r>
        <w:rPr>
          <w:rFonts w:ascii="Times New Roman" w:eastAsia="Times New Roman"/>
        </w:rPr>
        <w:t>SWOT </w:t>
      </w:r>
      <w:r>
        <w:rPr/>
        <w:t>分析法时，首先应</w:t>
      </w:r>
      <w:r>
        <w:rPr>
          <w:spacing w:val="-2"/>
        </w:rPr>
        <w:t>罗列优势与劣势，其次分析优势和劣势，从中找出机会与威胁，构造 </w:t>
      </w:r>
      <w:r>
        <w:rPr>
          <w:rFonts w:ascii="Times New Roman" w:eastAsia="Times New Roman"/>
        </w:rPr>
        <w:t>SWOT </w:t>
      </w:r>
      <w:r>
        <w:rPr/>
        <w:t>矩</w:t>
      </w:r>
      <w:r>
        <w:rPr>
          <w:spacing w:val="-10"/>
        </w:rPr>
        <w:t>阵，组合相应的策略，最后依据策略制定行动计划。</w:t>
      </w:r>
      <w:r>
        <w:rPr>
          <w:rFonts w:ascii="Times New Roman" w:eastAsia="Times New Roman"/>
          <w:position w:val="8"/>
          <w:sz w:val="15"/>
        </w:rPr>
        <w:t>[</w:t>
      </w:r>
      <w:hyperlink w:history="true" w:anchor="_bookmark270">
        <w:r>
          <w:rPr>
            <w:rFonts w:ascii="Times New Roman" w:eastAsia="Times New Roman"/>
            <w:position w:val="8"/>
            <w:sz w:val="15"/>
          </w:rPr>
          <w:t>1</w:t>
        </w:r>
      </w:hyperlink>
      <w:r>
        <w:rPr>
          <w:rFonts w:ascii="Times New Roman" w:eastAsia="Times New Roman"/>
          <w:position w:val="8"/>
          <w:sz w:val="15"/>
        </w:rPr>
        <w:t>]</w:t>
      </w:r>
      <w:r>
        <w:rPr>
          <w:spacing w:val="-19"/>
        </w:rPr>
        <w:t>通过 </w:t>
      </w:r>
      <w:r>
        <w:rPr>
          <w:rFonts w:ascii="Times New Roman" w:eastAsia="Times New Roman"/>
        </w:rPr>
        <w:t>SWOT </w:t>
      </w:r>
      <w:r>
        <w:rPr>
          <w:spacing w:val="-6"/>
        </w:rPr>
        <w:t>的方法，帮助</w:t>
      </w:r>
      <w:r>
        <w:rPr>
          <w:spacing w:val="-13"/>
        </w:rPr>
        <w:t>学生分析优势与劣势，了解外界环境的机遇与挑战，不仅能够为他们当下的决策</w:t>
      </w:r>
      <w:r>
        <w:rPr/>
        <w:t>提供帮助，而且能使学生明确今后的发展方向。</w:t>
      </w:r>
    </w:p>
    <w:p>
      <w:pPr>
        <w:pStyle w:val="BodyText"/>
        <w:spacing w:line="364" w:lineRule="auto" w:before="3"/>
        <w:ind w:left="1319" w:right="1455" w:firstLine="480"/>
      </w:pPr>
      <w:r>
        <w:rPr>
          <w:spacing w:val="-9"/>
        </w:rPr>
        <w:t>第二，加强生涯规划的团体辅导。团体辅导强调团体情境的作用。团体就如同一个小型社会，通过团体内的人际交互，成员在共同的活动中交往与互动中， </w:t>
      </w:r>
      <w:r>
        <w:rPr>
          <w:spacing w:val="-13"/>
        </w:rPr>
        <w:t>进行自我反思，认识他人。另外，在团体辅导中，学生通过参与团体交互、展开</w:t>
      </w:r>
      <w:r>
        <w:rPr>
          <w:spacing w:val="-14"/>
        </w:rPr>
        <w:t>自由讨论与发言，团体成员和教师都能对其进行指导。具体而言，一方面，团体</w:t>
      </w:r>
      <w:r>
        <w:rPr>
          <w:spacing w:val="-16"/>
        </w:rPr>
        <w:t>的组建可以是一个班级、一个年级，或者突破班级或年级的界限，依据职业兴趣</w:t>
      </w:r>
      <w:r>
        <w:rPr>
          <w:spacing w:val="-20"/>
        </w:rPr>
        <w:t>组建团队，开展合作学习与团体辅导。另一方面，团体辅导内容应是丰富多彩的， </w:t>
      </w:r>
      <w:r>
        <w:rPr>
          <w:spacing w:val="-6"/>
        </w:rPr>
        <w:t>但辅导基本上围绕自我认知、生活领域、职业领域、学习领域四个主题开展，再</w:t>
      </w:r>
      <w:r>
        <w:rPr>
          <w:spacing w:val="-11"/>
        </w:rPr>
        <w:t>根据不同年级特征确立团辅主题，各班级可围绕年级主题选定各自的主题。一般而言，高一团辅侧重学生的自我剖析，高二重在探索职业与社会，高三则偏向思考未来发展方向，制定生涯规划。</w:t>
      </w:r>
    </w:p>
    <w:p>
      <w:pPr>
        <w:pStyle w:val="BodyText"/>
        <w:spacing w:before="9"/>
        <w:rPr>
          <w:sz w:val="23"/>
        </w:rPr>
      </w:pPr>
    </w:p>
    <w:p>
      <w:pPr>
        <w:pStyle w:val="ListParagraph"/>
        <w:numPr>
          <w:ilvl w:val="2"/>
          <w:numId w:val="42"/>
        </w:numPr>
        <w:tabs>
          <w:tab w:pos="1920" w:val="left" w:leader="none"/>
        </w:tabs>
        <w:spacing w:line="240" w:lineRule="auto" w:before="0" w:after="0"/>
        <w:ind w:left="1920" w:right="0" w:hanging="601"/>
        <w:jc w:val="both"/>
        <w:rPr>
          <w:sz w:val="24"/>
        </w:rPr>
      </w:pPr>
      <w:r>
        <w:rPr>
          <w:sz w:val="24"/>
        </w:rPr>
        <w:t>开展学科教学渗透与整合</w:t>
      </w:r>
    </w:p>
    <w:p>
      <w:pPr>
        <w:pStyle w:val="BodyText"/>
        <w:spacing w:before="7"/>
        <w:rPr>
          <w:sz w:val="35"/>
        </w:rPr>
      </w:pPr>
    </w:p>
    <w:p>
      <w:pPr>
        <w:pStyle w:val="ListParagraph"/>
        <w:numPr>
          <w:ilvl w:val="3"/>
          <w:numId w:val="42"/>
        </w:numPr>
        <w:tabs>
          <w:tab w:pos="2100" w:val="left" w:leader="none"/>
        </w:tabs>
        <w:spacing w:line="240" w:lineRule="auto" w:before="0" w:after="0"/>
        <w:ind w:left="2100" w:right="0" w:hanging="781"/>
        <w:jc w:val="both"/>
        <w:rPr>
          <w:sz w:val="24"/>
        </w:rPr>
      </w:pPr>
      <w:r>
        <w:rPr>
          <w:sz w:val="24"/>
        </w:rPr>
        <w:t>挖掘教材中的生涯规划教育资源</w:t>
      </w:r>
    </w:p>
    <w:p>
      <w:pPr>
        <w:pStyle w:val="BodyText"/>
        <w:spacing w:line="364" w:lineRule="auto" w:before="161"/>
        <w:ind w:left="1319" w:right="1575" w:firstLine="480"/>
        <w:jc w:val="both"/>
      </w:pPr>
      <w:r>
        <w:rPr>
          <w:spacing w:val="-7"/>
        </w:rPr>
        <w:t>教师应深入分析教材内容，充分挖掘教材中的生涯规划教育资源，合理运用学科内容对学生进行生涯规划教育。例如，人教版高中《生物》教材“与生物学</w:t>
      </w:r>
      <w:r>
        <w:rPr>
          <w:spacing w:val="-10"/>
        </w:rPr>
        <w:t>有关的职业”栏目中，对育种工作者、林业工程师、生物技术研发人员、化石标本制作、神经外科医生等职业进行了简要介绍。其中一部分职业，教材就其学历</w:t>
      </w:r>
      <w:r>
        <w:rPr>
          <w:spacing w:val="-6"/>
        </w:rPr>
        <w:t>要求、素质要求以及工作单位的职责、方式做了详细描述。</w:t>
      </w:r>
      <w:r>
        <w:rPr>
          <w:rFonts w:ascii="Times New Roman" w:hAnsi="Times New Roman" w:eastAsia="Times New Roman"/>
          <w:position w:val="8"/>
          <w:sz w:val="15"/>
        </w:rPr>
        <w:t>[</w:t>
      </w:r>
      <w:hyperlink w:history="true" w:anchor="_bookmark271">
        <w:r>
          <w:rPr>
            <w:rFonts w:ascii="Times New Roman" w:hAnsi="Times New Roman" w:eastAsia="Times New Roman"/>
            <w:position w:val="8"/>
            <w:sz w:val="15"/>
          </w:rPr>
          <w:t>2</w:t>
        </w:r>
      </w:hyperlink>
      <w:r>
        <w:rPr>
          <w:rFonts w:ascii="Times New Roman" w:hAnsi="Times New Roman" w:eastAsia="Times New Roman"/>
          <w:position w:val="8"/>
          <w:sz w:val="15"/>
        </w:rPr>
        <w:t>]</w:t>
      </w:r>
      <w:r>
        <w:rPr>
          <w:spacing w:val="-2"/>
        </w:rPr>
        <w:t>这是非常有价值的</w:t>
      </w:r>
    </w:p>
    <w:p>
      <w:pPr>
        <w:pStyle w:val="BodyText"/>
        <w:spacing w:before="7"/>
        <w:rPr>
          <w:sz w:val="29"/>
        </w:rPr>
      </w:pPr>
      <w:r>
        <w:rPr/>
        <w:pict>
          <v:shape style="position:absolute;margin-left:90pt;margin-top:20.912647pt;width:144pt;height:.1pt;mso-position-horizontal-relative:page;mso-position-vertical-relative:paragraph;z-index:-251532288;mso-wrap-distance-left:0;mso-wrap-distance-right:0" coordorigin="1800,418" coordsize="2880,0" path="m1800,418l4680,418e" filled="false" stroked="true" strokeweight="0pt" strokecolor="#000000">
            <v:path arrowok="t"/>
            <v:stroke dashstyle="solid"/>
            <w10:wrap type="topAndBottom"/>
          </v:shape>
        </w:pict>
      </w:r>
    </w:p>
    <w:p>
      <w:pPr>
        <w:spacing w:before="99"/>
        <w:ind w:left="1320" w:right="0" w:firstLine="0"/>
        <w:jc w:val="left"/>
        <w:rPr>
          <w:rFonts w:ascii="Times New Roman" w:eastAsia="Times New Roman"/>
          <w:sz w:val="18"/>
        </w:rPr>
      </w:pPr>
      <w:bookmarkStart w:name="_bookmark270" w:id="321"/>
      <w:bookmarkEnd w:id="321"/>
      <w:r>
        <w:rPr/>
      </w:r>
      <w:r>
        <w:rPr>
          <w:rFonts w:ascii="Times New Roman" w:eastAsia="Times New Roman"/>
          <w:position w:val="7"/>
          <w:sz w:val="13"/>
        </w:rPr>
        <w:t>[1]  </w:t>
      </w:r>
      <w:r>
        <w:rPr>
          <w:sz w:val="18"/>
        </w:rPr>
        <w:t>磁鈊</w:t>
      </w:r>
      <w:r>
        <w:rPr>
          <w:rFonts w:ascii="Times New Roman" w:eastAsia="Times New Roman"/>
          <w:sz w:val="18"/>
        </w:rPr>
        <w:t>.</w:t>
      </w:r>
      <w:r>
        <w:rPr>
          <w:sz w:val="18"/>
        </w:rPr>
        <w:t>个人分析与生涯规划</w:t>
      </w:r>
      <w:r>
        <w:rPr>
          <w:rFonts w:ascii="Times New Roman" w:eastAsia="Times New Roman"/>
          <w:sz w:val="18"/>
        </w:rPr>
        <w:t>[EB/OL]</w:t>
      </w:r>
      <w:hyperlink r:id="rId107">
        <w:r>
          <w:rPr>
            <w:rFonts w:ascii="Times New Roman" w:eastAsia="Times New Roman"/>
            <w:sz w:val="18"/>
          </w:rPr>
          <w:t>.http://wenku.baidu.com/view/75eae8e2b0717fd5360cdc5d.html.2017-1-3</w:t>
        </w:r>
      </w:hyperlink>
    </w:p>
    <w:p>
      <w:pPr>
        <w:spacing w:before="119"/>
        <w:ind w:left="1319" w:right="0" w:firstLine="0"/>
        <w:jc w:val="left"/>
        <w:rPr>
          <w:rFonts w:ascii="Times New Roman"/>
          <w:sz w:val="18"/>
        </w:rPr>
      </w:pPr>
      <w:r>
        <w:rPr>
          <w:rFonts w:ascii="Times New Roman"/>
          <w:sz w:val="18"/>
        </w:rPr>
        <w:t>.</w:t>
      </w:r>
    </w:p>
    <w:p>
      <w:pPr>
        <w:spacing w:before="111"/>
        <w:ind w:left="1319" w:right="0" w:firstLine="0"/>
        <w:jc w:val="left"/>
        <w:rPr>
          <w:rFonts w:ascii="Times New Roman" w:hAnsi="Times New Roman" w:eastAsia="Times New Roman"/>
          <w:sz w:val="18"/>
        </w:rPr>
      </w:pPr>
      <w:bookmarkStart w:name="_bookmark271" w:id="322"/>
      <w:bookmarkEnd w:id="322"/>
      <w:r>
        <w:rPr/>
      </w:r>
      <w:r>
        <w:rPr>
          <w:rFonts w:ascii="Times New Roman" w:hAnsi="Times New Roman" w:eastAsia="Times New Roman"/>
          <w:position w:val="7"/>
          <w:sz w:val="13"/>
        </w:rPr>
        <w:t>[2] </w:t>
      </w:r>
      <w:r>
        <w:rPr>
          <w:sz w:val="18"/>
        </w:rPr>
        <w:t>巫灿烨</w:t>
      </w:r>
      <w:r>
        <w:rPr>
          <w:rFonts w:ascii="Times New Roman" w:hAnsi="Times New Roman" w:eastAsia="Times New Roman"/>
          <w:sz w:val="18"/>
        </w:rPr>
        <w:t>.</w:t>
      </w:r>
      <w:r>
        <w:rPr>
          <w:sz w:val="18"/>
        </w:rPr>
        <w:t>谈生涯教育思想的学科渗透</w:t>
      </w:r>
      <w:r>
        <w:rPr>
          <w:rFonts w:ascii="Times New Roman" w:hAnsi="Times New Roman" w:eastAsia="Times New Roman"/>
          <w:sz w:val="18"/>
        </w:rPr>
        <w:t>——</w:t>
      </w:r>
      <w:r>
        <w:rPr>
          <w:sz w:val="18"/>
        </w:rPr>
        <w:t>以人教版高中《生物》为例</w:t>
      </w:r>
      <w:r>
        <w:rPr>
          <w:rFonts w:ascii="Times New Roman" w:hAnsi="Times New Roman" w:eastAsia="Times New Roman"/>
          <w:sz w:val="18"/>
        </w:rPr>
        <w:t>.[J].</w:t>
      </w:r>
      <w:r>
        <w:rPr>
          <w:sz w:val="18"/>
        </w:rPr>
        <w:t>教学与管理，</w:t>
      </w:r>
      <w:r>
        <w:rPr>
          <w:rFonts w:ascii="Times New Roman" w:hAnsi="Times New Roman" w:eastAsia="Times New Roman"/>
          <w:sz w:val="18"/>
        </w:rPr>
        <w:t>2014</w:t>
      </w:r>
      <w:r>
        <w:rPr>
          <w:sz w:val="18"/>
        </w:rPr>
        <w:t>（</w:t>
      </w:r>
      <w:r>
        <w:rPr>
          <w:rFonts w:ascii="Times New Roman" w:hAnsi="Times New Roman" w:eastAsia="Times New Roman"/>
          <w:sz w:val="18"/>
        </w:rPr>
        <w:t>11</w:t>
      </w:r>
      <w:r>
        <w:rPr>
          <w:sz w:val="18"/>
        </w:rPr>
        <w:t>）：</w:t>
      </w:r>
      <w:r>
        <w:rPr>
          <w:rFonts w:ascii="Times New Roman" w:hAnsi="Times New Roman" w:eastAsia="Times New Roman"/>
          <w:sz w:val="18"/>
        </w:rPr>
        <w:t>64.</w:t>
      </w:r>
    </w:p>
    <w:p>
      <w:pPr>
        <w:spacing w:after="0"/>
        <w:jc w:val="left"/>
        <w:rPr>
          <w:rFonts w:ascii="Times New Roman" w:hAnsi="Times New Roman" w:eastAsia="Times New Roman"/>
          <w:sz w:val="18"/>
        </w:rPr>
        <w:sectPr>
          <w:headerReference w:type="default" r:id="rId104"/>
          <w:footerReference w:type="default" r:id="rId105"/>
          <w:pgSz w:w="11910" w:h="16840"/>
          <w:pgMar w:header="878" w:footer="1191" w:top="1300" w:bottom="1380" w:left="480" w:right="220"/>
          <w:pgNumType w:start="114"/>
        </w:sectPr>
      </w:pPr>
    </w:p>
    <w:p>
      <w:pPr>
        <w:pStyle w:val="BodyText"/>
        <w:spacing w:before="6"/>
        <w:rPr>
          <w:rFonts w:ascii="Times New Roman"/>
          <w:sz w:val="12"/>
        </w:rPr>
      </w:pPr>
    </w:p>
    <w:p>
      <w:pPr>
        <w:pStyle w:val="BodyText"/>
        <w:spacing w:line="364" w:lineRule="auto" w:before="66"/>
        <w:ind w:left="1320" w:right="1457"/>
      </w:pPr>
      <w:bookmarkStart w:name="_bookmark272" w:id="323"/>
      <w:bookmarkEnd w:id="323"/>
      <w:r>
        <w:rPr/>
      </w:r>
      <w:r>
        <w:rPr>
          <w:spacing w:val="-8"/>
        </w:rPr>
        <w:t>生涯规划教育资源，不仅有利于激发学生的学习兴趣，而且有助于学生认识所学</w:t>
      </w:r>
      <w:r>
        <w:rPr>
          <w:spacing w:val="-12"/>
        </w:rPr>
        <w:t>知识的实用价值。为了更有效地利用这些资源，教师给学生布置课外作业，让学</w:t>
      </w:r>
      <w:r>
        <w:rPr>
          <w:spacing w:val="-21"/>
        </w:rPr>
        <w:t>生利用课余时间搜集更多生物学方面的职业信息，例如，如与生物学相关的职业、</w:t>
      </w:r>
      <w:r>
        <w:rPr/>
        <w:t>从业所需具备的学历条件、专业背景、知识与技能等。</w:t>
      </w:r>
    </w:p>
    <w:p>
      <w:pPr>
        <w:pStyle w:val="ListParagraph"/>
        <w:numPr>
          <w:ilvl w:val="3"/>
          <w:numId w:val="42"/>
        </w:numPr>
        <w:tabs>
          <w:tab w:pos="2100" w:val="left" w:leader="none"/>
        </w:tabs>
        <w:spacing w:line="240" w:lineRule="auto" w:before="2" w:after="0"/>
        <w:ind w:left="2100" w:right="0" w:hanging="780"/>
        <w:jc w:val="left"/>
        <w:rPr>
          <w:sz w:val="24"/>
        </w:rPr>
      </w:pPr>
      <w:r>
        <w:rPr>
          <w:sz w:val="24"/>
        </w:rPr>
        <w:t>整合学科内容</w:t>
      </w:r>
    </w:p>
    <w:p>
      <w:pPr>
        <w:pStyle w:val="BodyText"/>
        <w:spacing w:line="364" w:lineRule="auto" w:before="161"/>
        <w:ind w:left="1320" w:right="1365" w:firstLine="480"/>
        <w:rPr>
          <w:rFonts w:ascii="Times New Roman" w:hAnsi="Times New Roman" w:eastAsia="Times New Roman"/>
          <w:sz w:val="15"/>
        </w:rPr>
      </w:pPr>
      <w:r>
        <w:rPr>
          <w:spacing w:val="-5"/>
        </w:rPr>
        <w:t>通过对学科内容的整理与归纳，将同一主题的学科内容加以整合。例如，以</w:t>
      </w:r>
      <w:r>
        <w:rPr>
          <w:spacing w:val="-11"/>
        </w:rPr>
        <w:t>语文学科为例，一位教师在执教陶渊明的《饮酒》、《归园田居》、《归去来兮</w:t>
      </w:r>
      <w:r>
        <w:rPr>
          <w:spacing w:val="-17"/>
        </w:rPr>
        <w:t>辞》等诗文时，把陶渊明的诗作为一个主题来探讨，以此探究陶渊明的生涯抉择： </w:t>
      </w:r>
      <w:r>
        <w:rPr>
          <w:spacing w:val="-16"/>
        </w:rPr>
        <w:t>“少无适俗韵，性本爱丘山”的陶渊明，偏偏“误落尘网”多年，他对于归隐还</w:t>
      </w:r>
      <w:r>
        <w:rPr>
          <w:spacing w:val="-15"/>
        </w:rPr>
        <w:t>是出仕，是经过反复抉择的。他把追求功名利禄、入仕为官看作是“误落尘网”， </w:t>
      </w:r>
      <w:r>
        <w:rPr>
          <w:spacing w:val="-4"/>
        </w:rPr>
        <w:t>由此我们能感受到他对虚伪而又充满束缚的官场生活是极度厌恶的。该教师通过</w:t>
      </w:r>
      <w:r>
        <w:rPr>
          <w:spacing w:val="-12"/>
        </w:rPr>
        <w:t>对陶渊明人生选择的分析，使学生感受到陶渊明从出仕之误回归田园生活后的幸</w:t>
      </w:r>
      <w:r>
        <w:rPr>
          <w:spacing w:val="-11"/>
        </w:rPr>
        <w:t>福感，从而引导学生正确认识自己个性特征对于人生道路选择的重要价值，即依据对自我的认识选择合适的发展之路，能实现自我价值，感受人生的幸福。</w:t>
      </w:r>
      <w:r>
        <w:rPr>
          <w:rFonts w:ascii="Times New Roman" w:hAnsi="Times New Roman" w:eastAsia="Times New Roman"/>
          <w:spacing w:val="-11"/>
          <w:position w:val="8"/>
          <w:sz w:val="15"/>
        </w:rPr>
        <w:t>[</w:t>
      </w:r>
      <w:hyperlink w:history="true" w:anchor="_bookmark273">
        <w:r>
          <w:rPr>
            <w:rFonts w:ascii="Times New Roman" w:hAnsi="Times New Roman" w:eastAsia="Times New Roman"/>
            <w:spacing w:val="-11"/>
            <w:position w:val="8"/>
            <w:sz w:val="15"/>
          </w:rPr>
          <w:t>1</w:t>
        </w:r>
      </w:hyperlink>
      <w:r>
        <w:rPr>
          <w:rFonts w:ascii="Times New Roman" w:hAnsi="Times New Roman" w:eastAsia="Times New Roman"/>
          <w:spacing w:val="-11"/>
          <w:position w:val="8"/>
          <w:sz w:val="15"/>
        </w:rPr>
        <w:t>]</w:t>
      </w:r>
    </w:p>
    <w:p>
      <w:pPr>
        <w:pStyle w:val="ListParagraph"/>
        <w:numPr>
          <w:ilvl w:val="3"/>
          <w:numId w:val="42"/>
        </w:numPr>
        <w:tabs>
          <w:tab w:pos="2100" w:val="left" w:leader="none"/>
        </w:tabs>
        <w:spacing w:line="240" w:lineRule="auto" w:before="5" w:after="0"/>
        <w:ind w:left="2100" w:right="0" w:hanging="781"/>
        <w:jc w:val="left"/>
        <w:rPr>
          <w:sz w:val="24"/>
        </w:rPr>
      </w:pPr>
      <w:r>
        <w:rPr>
          <w:sz w:val="24"/>
        </w:rPr>
        <w:t>跨学科整合内容</w:t>
      </w:r>
    </w:p>
    <w:p>
      <w:pPr>
        <w:pStyle w:val="BodyText"/>
        <w:spacing w:line="364" w:lineRule="auto" w:before="161"/>
        <w:ind w:left="1319" w:right="1485" w:firstLine="480"/>
      </w:pPr>
      <w:r>
        <w:rPr>
          <w:spacing w:val="-1"/>
        </w:rPr>
        <w:t>教师还应进行跨学科内容整合，倡导主题式学习。例如在进行职业探索时， </w:t>
      </w:r>
      <w:r>
        <w:rPr>
          <w:spacing w:val="-5"/>
        </w:rPr>
        <w:t>将各个学科内容涉及到的相关职业介绍抽离，以此重新编排教学内容，让学生进</w:t>
      </w:r>
      <w:r>
        <w:rPr>
          <w:spacing w:val="-10"/>
        </w:rPr>
        <w:t>行自主探究。在这个过程中，其他学科同时进行“职业探索”，语文课上让学生</w:t>
      </w:r>
      <w:r>
        <w:rPr>
          <w:spacing w:val="-14"/>
        </w:rPr>
        <w:t>围绕职业进行讨论、写作等；历史课让学生了解职业的产生、发展及其趋势；地</w:t>
      </w:r>
      <w:r>
        <w:rPr>
          <w:spacing w:val="-18"/>
        </w:rPr>
        <w:t>理课让学生探究职业分布的地理位置，工作环境及其原因等；信息技术课让学生</w:t>
      </w:r>
      <w:r>
        <w:rPr>
          <w:spacing w:val="-15"/>
        </w:rPr>
        <w:t>利用网络搜集、整理、分析职业信息等。通过为期几周的学习，学生能够全面系统地认知各个学科涉及的职业信息。</w:t>
      </w:r>
    </w:p>
    <w:p>
      <w:pPr>
        <w:pStyle w:val="BodyText"/>
        <w:spacing w:before="6"/>
        <w:rPr>
          <w:sz w:val="17"/>
        </w:rPr>
      </w:pPr>
    </w:p>
    <w:p>
      <w:pPr>
        <w:pStyle w:val="Heading2"/>
        <w:numPr>
          <w:ilvl w:val="1"/>
          <w:numId w:val="42"/>
        </w:numPr>
        <w:tabs>
          <w:tab w:pos="1810" w:val="left" w:leader="none"/>
        </w:tabs>
        <w:spacing w:line="240" w:lineRule="auto" w:before="1" w:after="0"/>
        <w:ind w:left="1809" w:right="0" w:hanging="491"/>
        <w:jc w:val="left"/>
      </w:pPr>
      <w:r>
        <w:rPr/>
        <w:t>健全普通高中生涯规划教育的实施保障机制</w:t>
      </w:r>
    </w:p>
    <w:p>
      <w:pPr>
        <w:pStyle w:val="BodyText"/>
        <w:spacing w:before="4"/>
        <w:rPr>
          <w:rFonts w:ascii="Microsoft JhengHei"/>
          <w:b/>
        </w:rPr>
      </w:pPr>
    </w:p>
    <w:p>
      <w:pPr>
        <w:pStyle w:val="ListParagraph"/>
        <w:numPr>
          <w:ilvl w:val="2"/>
          <w:numId w:val="42"/>
        </w:numPr>
        <w:tabs>
          <w:tab w:pos="1920" w:val="left" w:leader="none"/>
        </w:tabs>
        <w:spacing w:line="240" w:lineRule="auto" w:before="0" w:after="0"/>
        <w:ind w:left="1920" w:right="0" w:hanging="601"/>
        <w:jc w:val="left"/>
        <w:rPr>
          <w:sz w:val="24"/>
        </w:rPr>
      </w:pPr>
      <w:r>
        <w:rPr>
          <w:sz w:val="24"/>
        </w:rPr>
        <w:t>提供政策与财政保障</w:t>
      </w:r>
    </w:p>
    <w:p>
      <w:pPr>
        <w:pStyle w:val="BodyText"/>
        <w:spacing w:before="7"/>
        <w:rPr>
          <w:sz w:val="35"/>
        </w:rPr>
      </w:pPr>
    </w:p>
    <w:p>
      <w:pPr>
        <w:pStyle w:val="BodyText"/>
        <w:spacing w:line="364" w:lineRule="auto"/>
        <w:ind w:left="1319" w:right="1485" w:firstLine="480"/>
      </w:pPr>
      <w:r>
        <w:rPr/>
        <w:t>首先，颁布生涯规划教育的专项法律，明确生涯规划教育的地位与重要性， 将生涯规划教育纳入学校课程体系，加强对普通高中生涯规划教育的政策性引</w:t>
      </w:r>
    </w:p>
    <w:p>
      <w:pPr>
        <w:pStyle w:val="BodyText"/>
        <w:spacing w:before="1"/>
        <w:rPr>
          <w:sz w:val="13"/>
        </w:rPr>
      </w:pPr>
      <w:r>
        <w:rPr/>
        <w:pict>
          <v:shape style="position:absolute;margin-left:90pt;margin-top:10.615898pt;width:144pt;height:.1pt;mso-position-horizontal-relative:page;mso-position-vertical-relative:paragraph;z-index:-251531264;mso-wrap-distance-left:0;mso-wrap-distance-right:0" coordorigin="1800,212" coordsize="2880,0" path="m1800,212l4680,212e" filled="false" stroked="true" strokeweight=".402pt" strokecolor="#000000">
            <v:path arrowok="t"/>
            <v:stroke dashstyle="solid"/>
            <w10:wrap type="topAndBottom"/>
          </v:shape>
        </w:pict>
      </w:r>
    </w:p>
    <w:p>
      <w:pPr>
        <w:spacing w:before="94"/>
        <w:ind w:left="1320" w:right="0" w:firstLine="0"/>
        <w:jc w:val="left"/>
        <w:rPr>
          <w:rFonts w:ascii="Times New Roman" w:eastAsia="Times New Roman"/>
          <w:sz w:val="18"/>
        </w:rPr>
      </w:pPr>
      <w:bookmarkStart w:name="_bookmark273" w:id="324"/>
      <w:bookmarkEnd w:id="324"/>
      <w:r>
        <w:rPr/>
      </w:r>
      <w:r>
        <w:rPr>
          <w:rFonts w:ascii="Times New Roman" w:eastAsia="Times New Roman"/>
          <w:position w:val="7"/>
          <w:sz w:val="13"/>
        </w:rPr>
        <w:t>[1] </w:t>
      </w:r>
      <w:r>
        <w:rPr>
          <w:sz w:val="18"/>
        </w:rPr>
        <w:t>聂玉华</w:t>
      </w:r>
      <w:r>
        <w:rPr>
          <w:rFonts w:ascii="Times New Roman" w:eastAsia="Times New Roman"/>
          <w:sz w:val="18"/>
        </w:rPr>
        <w:t>.</w:t>
      </w:r>
      <w:r>
        <w:rPr>
          <w:sz w:val="18"/>
        </w:rPr>
        <w:t>在语文教学中渗透生涯规划教育</w:t>
      </w:r>
      <w:r>
        <w:rPr>
          <w:rFonts w:ascii="Times New Roman" w:eastAsia="Times New Roman"/>
          <w:sz w:val="18"/>
        </w:rPr>
        <w:t>.[J].</w:t>
      </w:r>
      <w:r>
        <w:rPr>
          <w:sz w:val="18"/>
        </w:rPr>
        <w:t>教育研究与评论课堂观察，</w:t>
      </w:r>
      <w:r>
        <w:rPr>
          <w:rFonts w:ascii="Times New Roman" w:eastAsia="Times New Roman"/>
          <w:sz w:val="18"/>
        </w:rPr>
        <w:t>2015</w:t>
      </w:r>
      <w:r>
        <w:rPr>
          <w:sz w:val="18"/>
        </w:rPr>
        <w:t>（</w:t>
      </w:r>
      <w:r>
        <w:rPr>
          <w:rFonts w:ascii="Times New Roman" w:eastAsia="Times New Roman"/>
          <w:sz w:val="18"/>
        </w:rPr>
        <w:t>9</w:t>
      </w:r>
      <w:r>
        <w:rPr>
          <w:sz w:val="18"/>
        </w:rPr>
        <w:t>）：</w:t>
      </w:r>
      <w:r>
        <w:rPr>
          <w:rFonts w:ascii="Times New Roman" w:eastAsia="Times New Roman"/>
          <w:sz w:val="18"/>
        </w:rPr>
        <w:t>11.</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9"/>
        <w:rPr>
          <w:rFonts w:ascii="Times New Roman"/>
          <w:sz w:val="11"/>
        </w:rPr>
      </w:pPr>
    </w:p>
    <w:p>
      <w:pPr>
        <w:pStyle w:val="BodyText"/>
        <w:spacing w:line="364" w:lineRule="auto" w:before="74"/>
        <w:ind w:left="1319" w:right="1558"/>
        <w:jc w:val="both"/>
      </w:pPr>
      <w:bookmarkStart w:name="_bookmark274" w:id="325"/>
      <w:bookmarkEnd w:id="325"/>
      <w:r>
        <w:rPr/>
      </w:r>
      <w:r>
        <w:rPr>
          <w:spacing w:val="-16"/>
        </w:rPr>
        <w:t>领。早在 </w:t>
      </w:r>
      <w:r>
        <w:rPr>
          <w:rFonts w:ascii="Times New Roman" w:hAnsi="Times New Roman" w:eastAsia="Times New Roman"/>
        </w:rPr>
        <w:t>20 </w:t>
      </w:r>
      <w:r>
        <w:rPr>
          <w:spacing w:val="-20"/>
        </w:rPr>
        <w:t>世纪 </w:t>
      </w:r>
      <w:r>
        <w:rPr>
          <w:rFonts w:ascii="Times New Roman" w:hAnsi="Times New Roman" w:eastAsia="Times New Roman"/>
        </w:rPr>
        <w:t>50 </w:t>
      </w:r>
      <w:r>
        <w:rPr>
          <w:spacing w:val="-9"/>
        </w:rPr>
        <w:t>年代，日本就颁布了《教育基本法》和《学校教育法》，将</w:t>
      </w:r>
      <w:r>
        <w:rPr>
          <w:spacing w:val="-11"/>
        </w:rPr>
        <w:t>生涯规划教育</w:t>
      </w:r>
      <w:r>
        <w:rPr/>
        <w:t>（</w:t>
      </w:r>
      <w:r>
        <w:rPr>
          <w:spacing w:val="-5"/>
        </w:rPr>
        <w:t>当时日本称为“进路指导”</w:t>
      </w:r>
      <w:r>
        <w:rPr>
          <w:spacing w:val="-19"/>
        </w:rPr>
        <w:t>）</w:t>
      </w:r>
      <w:r>
        <w:rPr>
          <w:spacing w:val="-2"/>
        </w:rPr>
        <w:t>纳入学校课程大纲和学校计划，强</w:t>
      </w:r>
      <w:r>
        <w:rPr>
          <w:spacing w:val="-7"/>
        </w:rPr>
        <w:t>调培养对未来职业进行规划的能力。此后，日本不断制定、修改、完善各项与生</w:t>
      </w:r>
      <w:r>
        <w:rPr>
          <w:spacing w:val="-13"/>
        </w:rPr>
        <w:t>涯规划教育相关的法律与政策。英国是“世界上最早对职业指导活动提供法律依</w:t>
      </w:r>
      <w:r>
        <w:rPr>
          <w:spacing w:val="-18"/>
        </w:rPr>
        <w:t>据的国家”。</w:t>
      </w:r>
      <w:hyperlink w:history="true" w:anchor="_bookmark275">
        <w:r>
          <w:rPr>
            <w:rFonts w:ascii="Times New Roman" w:hAnsi="Times New Roman" w:eastAsia="Times New Roman"/>
            <w:position w:val="8"/>
            <w:sz w:val="15"/>
          </w:rPr>
          <w:t>[1</w:t>
        </w:r>
      </w:hyperlink>
      <w:r>
        <w:rPr>
          <w:rFonts w:ascii="Times New Roman" w:hAnsi="Times New Roman" w:eastAsia="Times New Roman"/>
          <w:position w:val="8"/>
          <w:sz w:val="15"/>
        </w:rPr>
        <w:t>]</w:t>
      </w:r>
      <w:r>
        <w:rPr>
          <w:rFonts w:ascii="Times New Roman" w:hAnsi="Times New Roman" w:eastAsia="Times New Roman"/>
        </w:rPr>
        <w:t>1909 </w:t>
      </w:r>
      <w:r>
        <w:rPr>
          <w:spacing w:val="-6"/>
        </w:rPr>
        <w:t>年，英国出台了世界上第一个关于职业指导的法律《职业交</w:t>
      </w:r>
      <w:r>
        <w:rPr>
          <w:spacing w:val="-4"/>
        </w:rPr>
        <w:t>换法》，并陆续颁布多项政策。如《</w:t>
      </w:r>
      <w:r>
        <w:rPr>
          <w:rFonts w:ascii="Times New Roman" w:hAnsi="Times New Roman" w:eastAsia="Times New Roman"/>
        </w:rPr>
        <w:t>1997 </w:t>
      </w:r>
      <w:r>
        <w:rPr/>
        <w:t>教育法》，它以法律形式确立了学校开展生涯规划教育的法定责任；</w:t>
      </w:r>
      <w:r>
        <w:rPr>
          <w:rFonts w:ascii="Times New Roman" w:hAnsi="Times New Roman" w:eastAsia="Times New Roman"/>
        </w:rPr>
        <w:t>2015 </w:t>
      </w:r>
      <w:r>
        <w:rPr/>
        <w:t>年，英国教育部又发布《学校的生涯规划</w:t>
      </w:r>
      <w:r>
        <w:rPr>
          <w:spacing w:val="-1"/>
        </w:rPr>
        <w:t>指导和激励》</w:t>
      </w:r>
      <w:r>
        <w:rPr/>
        <w:t>（《</w:t>
      </w:r>
      <w:r>
        <w:rPr>
          <w:rFonts w:ascii="Times New Roman" w:hAnsi="Times New Roman" w:eastAsia="Times New Roman"/>
        </w:rPr>
        <w:t>Careers guidance and inspiration in schools </w:t>
      </w:r>
      <w:r>
        <w:rPr>
          <w:spacing w:val="-3"/>
        </w:rPr>
        <w:t>》</w:t>
      </w:r>
      <w:r>
        <w:rPr/>
        <w:t>）</w:t>
      </w:r>
      <w:r>
        <w:rPr>
          <w:rFonts w:ascii="Times New Roman" w:hAnsi="Times New Roman" w:eastAsia="Times New Roman"/>
          <w:position w:val="8"/>
          <w:sz w:val="15"/>
        </w:rPr>
        <w:t>[</w:t>
      </w:r>
      <w:hyperlink w:history="true" w:anchor="_bookmark276">
        <w:r>
          <w:rPr>
            <w:rFonts w:ascii="Times New Roman" w:hAnsi="Times New Roman" w:eastAsia="Times New Roman"/>
            <w:position w:val="8"/>
            <w:sz w:val="15"/>
          </w:rPr>
          <w:t>2</w:t>
        </w:r>
      </w:hyperlink>
      <w:r>
        <w:rPr>
          <w:rFonts w:ascii="Times New Roman" w:hAnsi="Times New Roman" w:eastAsia="Times New Roman"/>
          <w:position w:val="8"/>
          <w:sz w:val="15"/>
        </w:rPr>
        <w:t>]</w:t>
      </w:r>
      <w:r>
        <w:rPr/>
        <w:t>，该文件对学</w:t>
      </w:r>
      <w:r>
        <w:rPr>
          <w:spacing w:val="-5"/>
        </w:rPr>
        <w:t>校在生涯规划教育方面的职责进行了解释与说明，要求学校加强与企业、当地政</w:t>
      </w:r>
      <w:r>
        <w:rPr>
          <w:spacing w:val="-12"/>
        </w:rPr>
        <w:t>府的联系，为学校领导、教师以及其他法定的职业教育机构实施生涯规划教育提供了参考。</w:t>
      </w:r>
    </w:p>
    <w:p>
      <w:pPr>
        <w:pStyle w:val="BodyText"/>
        <w:spacing w:line="364" w:lineRule="auto" w:before="7"/>
        <w:ind w:left="1319" w:right="1485" w:firstLine="480"/>
      </w:pPr>
      <w:r>
        <w:rPr>
          <w:spacing w:val="-1"/>
        </w:rPr>
        <w:t>其次，提供必要的资金支持，保障生涯规划教育稳定、持续地开展。例如， </w:t>
      </w:r>
      <w:r>
        <w:rPr>
          <w:spacing w:val="-4"/>
        </w:rPr>
        <w:t>美国政府面对当代社会经济发展对人才提出的新要求，加大了对生涯规划教育的</w:t>
      </w:r>
      <w:r>
        <w:rPr>
          <w:spacing w:val="-8"/>
        </w:rPr>
        <w:t>资金投入，奥巴马政府投入了 </w:t>
      </w:r>
      <w:r>
        <w:rPr>
          <w:rFonts w:ascii="Times New Roman" w:eastAsia="Times New Roman"/>
          <w:spacing w:val="-3"/>
        </w:rPr>
        <w:t>11</w:t>
      </w:r>
      <w:r>
        <w:rPr>
          <w:rFonts w:ascii="Times New Roman" w:eastAsia="Times New Roman"/>
          <w:spacing w:val="4"/>
        </w:rPr>
        <w:t> </w:t>
      </w:r>
      <w:r>
        <w:rPr/>
        <w:t>亿美元，用以推动帕森斯生涯和技术教育子计</w:t>
      </w:r>
    </w:p>
    <w:p>
      <w:pPr>
        <w:pStyle w:val="BodyText"/>
        <w:spacing w:before="2"/>
        <w:ind w:left="1319"/>
      </w:pPr>
      <w:r>
        <w:rPr>
          <w:spacing w:val="-2"/>
        </w:rPr>
        <w:t>划的执行。澳大利亚的联邦政府为生涯规划教育提供专项资金，如在 </w:t>
      </w:r>
      <w:r>
        <w:rPr>
          <w:rFonts w:ascii="Times New Roman" w:eastAsia="Times New Roman"/>
        </w:rPr>
        <w:t>1999 </w:t>
      </w:r>
      <w:r>
        <w:rPr/>
        <w:t>年至</w:t>
      </w:r>
    </w:p>
    <w:p>
      <w:pPr>
        <w:pStyle w:val="BodyText"/>
        <w:spacing w:line="364" w:lineRule="auto" w:before="160"/>
        <w:ind w:left="1799" w:right="1577" w:hanging="480"/>
      </w:pPr>
      <w:r>
        <w:rPr>
          <w:rFonts w:ascii="Times New Roman" w:hAnsi="Times New Roman" w:eastAsia="Times New Roman"/>
        </w:rPr>
        <w:t>2002 </w:t>
      </w:r>
      <w:r>
        <w:rPr>
          <w:spacing w:val="-5"/>
        </w:rPr>
        <w:t>年期间，南澳大利亚州向 </w:t>
      </w:r>
      <w:r>
        <w:rPr>
          <w:rFonts w:ascii="Times New Roman" w:hAnsi="Times New Roman" w:eastAsia="Times New Roman"/>
        </w:rPr>
        <w:t>20 </w:t>
      </w:r>
      <w:r>
        <w:rPr>
          <w:spacing w:val="-5"/>
        </w:rPr>
        <w:t>个地区的生涯规划教育投入了 </w:t>
      </w:r>
      <w:r>
        <w:rPr>
          <w:rFonts w:ascii="Times New Roman" w:hAnsi="Times New Roman" w:eastAsia="Times New Roman"/>
        </w:rPr>
        <w:t>219 </w:t>
      </w:r>
      <w:r>
        <w:rPr/>
        <w:t>万澳元。</w:t>
      </w:r>
      <w:r>
        <w:rPr>
          <w:spacing w:val="-9"/>
        </w:rPr>
        <w:t>因而，基于我国地域性差异显著的特点，各地区可“因地制宜”颁布具有地</w:t>
      </w:r>
    </w:p>
    <w:p>
      <w:pPr>
        <w:pStyle w:val="BodyText"/>
        <w:spacing w:line="364" w:lineRule="auto" w:before="2"/>
        <w:ind w:left="1319" w:right="1485"/>
      </w:pPr>
      <w:r>
        <w:rPr>
          <w:spacing w:val="-1"/>
        </w:rPr>
        <w:t>域特色的生涯规划教育政策和法规。当国家投入不足时，各地区也应动援企业、</w:t>
      </w:r>
      <w:r>
        <w:rPr>
          <w:spacing w:val="-7"/>
        </w:rPr>
        <w:t>社区等社会力量，主动筹措资金，以促进学校生涯规划教育各项实验、科研、课题有序进行。</w:t>
      </w:r>
    </w:p>
    <w:p>
      <w:pPr>
        <w:pStyle w:val="BodyText"/>
        <w:spacing w:before="4"/>
        <w:rPr>
          <w:sz w:val="23"/>
        </w:rPr>
      </w:pPr>
    </w:p>
    <w:p>
      <w:pPr>
        <w:pStyle w:val="ListParagraph"/>
        <w:numPr>
          <w:ilvl w:val="2"/>
          <w:numId w:val="42"/>
        </w:numPr>
        <w:tabs>
          <w:tab w:pos="1920" w:val="left" w:leader="none"/>
        </w:tabs>
        <w:spacing w:line="240" w:lineRule="auto" w:before="0" w:after="0"/>
        <w:ind w:left="1920" w:right="0" w:hanging="601"/>
        <w:jc w:val="left"/>
        <w:rPr>
          <w:sz w:val="24"/>
        </w:rPr>
      </w:pPr>
      <w:r>
        <w:rPr>
          <w:sz w:val="24"/>
        </w:rPr>
        <w:t>建设专业化师资队伍</w:t>
      </w:r>
    </w:p>
    <w:p>
      <w:pPr>
        <w:pStyle w:val="BodyText"/>
        <w:spacing w:before="7"/>
        <w:rPr>
          <w:sz w:val="35"/>
        </w:rPr>
      </w:pPr>
    </w:p>
    <w:p>
      <w:pPr>
        <w:pStyle w:val="BodyText"/>
        <w:spacing w:line="364" w:lineRule="auto" w:before="1"/>
        <w:ind w:left="1319" w:right="1577" w:firstLine="480"/>
        <w:jc w:val="both"/>
      </w:pPr>
      <w:r>
        <w:rPr>
          <w:spacing w:val="-7"/>
        </w:rPr>
        <w:t>教师是教育活动的主导力量，没有一支专业化的教师队伍，生涯规划教育如</w:t>
      </w:r>
      <w:r>
        <w:rPr>
          <w:spacing w:val="-10"/>
        </w:rPr>
        <w:t>同纸上谈兵。生涯规划教育发展比较成熟的国家，十分重视加强生涯规划教育教</w:t>
      </w:r>
      <w:r>
        <w:rPr>
          <w:spacing w:val="-2"/>
        </w:rPr>
        <w:t>师的专业培训，并且建立起专业化的师资力量。在美国，平均每 </w:t>
      </w:r>
      <w:r>
        <w:rPr>
          <w:rFonts w:ascii="Times New Roman" w:eastAsia="Times New Roman"/>
        </w:rPr>
        <w:t>50 </w:t>
      </w:r>
      <w:r>
        <w:rPr>
          <w:spacing w:val="-2"/>
        </w:rPr>
        <w:t>个中学生会</w:t>
      </w:r>
      <w:r>
        <w:rPr>
          <w:spacing w:val="-6"/>
        </w:rPr>
        <w:t>配备一个生涯规划教育方面的专家，全美有数十万生涯规划教师，学校生涯规划</w:t>
      </w:r>
    </w:p>
    <w:p>
      <w:pPr>
        <w:pStyle w:val="BodyText"/>
        <w:rPr>
          <w:sz w:val="20"/>
        </w:rPr>
      </w:pPr>
    </w:p>
    <w:p>
      <w:pPr>
        <w:pStyle w:val="BodyText"/>
        <w:spacing w:before="6"/>
        <w:rPr>
          <w:sz w:val="15"/>
        </w:rPr>
      </w:pPr>
      <w:r>
        <w:rPr/>
        <w:pict>
          <v:shape style="position:absolute;margin-left:90pt;margin-top:11.900146pt;width:144pt;height:.1pt;mso-position-horizontal-relative:page;mso-position-vertical-relative:paragraph;z-index:-251530240;mso-wrap-distance-left:0;mso-wrap-distance-right:0" coordorigin="1800,238" coordsize="2880,0" path="m1800,238l4680,238e" filled="false" stroked="true" strokeweight="0pt" strokecolor="#000000">
            <v:path arrowok="t"/>
            <v:stroke dashstyle="solid"/>
            <w10:wrap type="topAndBottom"/>
          </v:shape>
        </w:pict>
      </w:r>
    </w:p>
    <w:p>
      <w:pPr>
        <w:spacing w:before="95"/>
        <w:ind w:left="1320" w:right="0" w:firstLine="0"/>
        <w:jc w:val="left"/>
        <w:rPr>
          <w:rFonts w:ascii="Times New Roman" w:eastAsia="Times New Roman"/>
          <w:sz w:val="18"/>
        </w:rPr>
      </w:pPr>
      <w:bookmarkStart w:name="_bookmark275" w:id="326"/>
      <w:bookmarkEnd w:id="326"/>
      <w:r>
        <w:rPr/>
      </w:r>
      <w:r>
        <w:rPr>
          <w:rFonts w:ascii="Times New Roman" w:eastAsia="Times New Roman"/>
          <w:position w:val="6"/>
          <w:sz w:val="11"/>
        </w:rPr>
        <w:t>[1] </w:t>
      </w:r>
      <w:r>
        <w:rPr>
          <w:sz w:val="18"/>
        </w:rPr>
        <w:t>李晓涛</w:t>
      </w:r>
      <w:r>
        <w:rPr>
          <w:rFonts w:ascii="Times New Roman" w:eastAsia="Times New Roman"/>
          <w:sz w:val="18"/>
        </w:rPr>
        <w:t>.</w:t>
      </w:r>
      <w:r>
        <w:rPr>
          <w:sz w:val="18"/>
        </w:rPr>
        <w:t>英国普通中学职业指导研究</w:t>
      </w:r>
      <w:r>
        <w:rPr>
          <w:rFonts w:ascii="Times New Roman" w:eastAsia="Times New Roman"/>
          <w:sz w:val="18"/>
        </w:rPr>
        <w:t>.[D].</w:t>
      </w:r>
      <w:r>
        <w:rPr>
          <w:sz w:val="18"/>
        </w:rPr>
        <w:t>重庆：西南大学硕士论文，</w:t>
      </w:r>
      <w:r>
        <w:rPr>
          <w:rFonts w:ascii="Times New Roman" w:eastAsia="Times New Roman"/>
          <w:sz w:val="18"/>
        </w:rPr>
        <w:t>2004</w:t>
      </w:r>
      <w:r>
        <w:rPr>
          <w:sz w:val="18"/>
        </w:rPr>
        <w:t>：</w:t>
      </w:r>
      <w:r>
        <w:rPr>
          <w:rFonts w:ascii="Times New Roman" w:eastAsia="Times New Roman"/>
          <w:sz w:val="18"/>
        </w:rPr>
        <w:t>14.</w:t>
      </w:r>
    </w:p>
    <w:p>
      <w:pPr>
        <w:spacing w:line="360" w:lineRule="auto" w:before="118"/>
        <w:ind w:left="1319" w:right="1606" w:firstLine="0"/>
        <w:jc w:val="left"/>
        <w:rPr>
          <w:rFonts w:ascii="Times New Roman"/>
          <w:sz w:val="18"/>
        </w:rPr>
      </w:pPr>
      <w:bookmarkStart w:name="_bookmark276" w:id="327"/>
      <w:bookmarkEnd w:id="327"/>
      <w:r>
        <w:rPr/>
      </w:r>
      <w:r>
        <w:rPr>
          <w:rFonts w:ascii="Times New Roman"/>
          <w:position w:val="6"/>
          <w:sz w:val="11"/>
        </w:rPr>
        <w:t>[2] </w:t>
      </w:r>
      <w:r>
        <w:rPr>
          <w:rFonts w:ascii="Times New Roman"/>
          <w:sz w:val="18"/>
        </w:rPr>
        <w:t>Department for education.Careers guidance and inspiration in schools.[EB/OL].https</w:t>
      </w:r>
      <w:hyperlink r:id="rId108">
        <w:r>
          <w:rPr>
            <w:rFonts w:ascii="Times New Roman"/>
            <w:sz w:val="18"/>
          </w:rPr>
          <w:t>://www.gov.uk/govern</w:t>
        </w:r>
      </w:hyperlink>
      <w:r>
        <w:rPr>
          <w:rFonts w:ascii="Times New Roman"/>
          <w:sz w:val="18"/>
        </w:rPr>
        <w:t> ment/uploads/system/uploads/attachment_data/file/440795/Careers_Guidance_Schools_Guidance.pdf.2017-3-6.</w:t>
      </w:r>
    </w:p>
    <w:p>
      <w:pPr>
        <w:spacing w:after="0" w:line="360" w:lineRule="auto"/>
        <w:jc w:val="left"/>
        <w:rPr>
          <w:rFonts w:ascii="Times New Roman"/>
          <w:sz w:val="18"/>
        </w:rPr>
        <w:sectPr>
          <w:pgSz w:w="11910" w:h="16840"/>
          <w:pgMar w:header="878" w:footer="1191" w:top="1300" w:bottom="1380" w:left="480" w:right="220"/>
        </w:sectPr>
      </w:pPr>
    </w:p>
    <w:p>
      <w:pPr>
        <w:pStyle w:val="BodyText"/>
        <w:spacing w:before="3"/>
        <w:rPr>
          <w:rFonts w:ascii="Times New Roman"/>
          <w:sz w:val="11"/>
        </w:rPr>
      </w:pPr>
    </w:p>
    <w:p>
      <w:pPr>
        <w:pStyle w:val="BodyText"/>
        <w:spacing w:line="364" w:lineRule="auto" w:before="80"/>
        <w:ind w:left="1320" w:right="1575"/>
        <w:jc w:val="both"/>
      </w:pPr>
      <w:r>
        <w:rPr>
          <w:spacing w:val="-3"/>
        </w:rPr>
        <w:t>教育教师均系本科毕业，还接受了与硕士学位同等学力的咨询专业训练。</w:t>
      </w:r>
      <w:r>
        <w:rPr>
          <w:rFonts w:ascii="Times New Roman" w:eastAsia="Times New Roman"/>
          <w:position w:val="8"/>
          <w:sz w:val="15"/>
        </w:rPr>
        <w:t>[</w:t>
      </w:r>
      <w:hyperlink w:history="true" w:anchor="_bookmark277">
        <w:r>
          <w:rPr>
            <w:rFonts w:ascii="Times New Roman" w:eastAsia="Times New Roman"/>
            <w:position w:val="8"/>
            <w:sz w:val="15"/>
          </w:rPr>
          <w:t>1</w:t>
        </w:r>
      </w:hyperlink>
      <w:r>
        <w:rPr>
          <w:rFonts w:ascii="Times New Roman" w:eastAsia="Times New Roman"/>
          <w:position w:val="8"/>
          <w:sz w:val="15"/>
        </w:rPr>
        <w:t>]</w:t>
      </w:r>
      <w:r>
        <w:rPr>
          <w:spacing w:val="-8"/>
        </w:rPr>
        <w:t>澳大</w:t>
      </w:r>
      <w:r>
        <w:rPr>
          <w:spacing w:val="-6"/>
        </w:rPr>
        <w:t>利亚的普通高中也设有专门的生涯规划教育教师，如新南威尔士州，每个中学都有一个全职生涯顾问来提供正式的指导服务，顾问教师必须具备教师资格证或研</w:t>
      </w:r>
      <w:r>
        <w:rPr>
          <w:spacing w:val="-4"/>
        </w:rPr>
        <w:t>究生生涯资格，或者已经参加过州组织的培训课程。</w:t>
      </w:r>
      <w:r>
        <w:rPr>
          <w:rFonts w:ascii="Times New Roman" w:eastAsia="Times New Roman"/>
          <w:position w:val="8"/>
          <w:sz w:val="15"/>
        </w:rPr>
        <w:t>[</w:t>
      </w:r>
      <w:hyperlink w:history="true" w:anchor="_bookmark278">
        <w:r>
          <w:rPr>
            <w:rFonts w:ascii="Times New Roman" w:eastAsia="Times New Roman"/>
            <w:position w:val="8"/>
            <w:sz w:val="15"/>
          </w:rPr>
          <w:t>2</w:t>
        </w:r>
      </w:hyperlink>
      <w:r>
        <w:rPr>
          <w:rFonts w:ascii="Times New Roman" w:eastAsia="Times New Roman"/>
          <w:position w:val="8"/>
          <w:sz w:val="15"/>
        </w:rPr>
        <w:t>]</w:t>
      </w:r>
      <w:r>
        <w:rPr>
          <w:spacing w:val="-2"/>
        </w:rPr>
        <w:t>英国历来重视提高生涯规</w:t>
      </w:r>
      <w:r>
        <w:rPr>
          <w:spacing w:val="-7"/>
        </w:rPr>
        <w:t>划教育教师的专业化水平，地方教育行政部门不仅制定了专门的培训计划，还提</w:t>
      </w:r>
      <w:r>
        <w:rPr>
          <w:spacing w:val="-9"/>
        </w:rPr>
        <w:t>供了培训的专项经费。此外，英国的一些大学也开设了专门的培训课程，有些大</w:t>
      </w:r>
      <w:r>
        <w:rPr/>
        <w:t>学甚至为生涯规划教育提供学位证书。</w:t>
      </w:r>
    </w:p>
    <w:p>
      <w:pPr>
        <w:pStyle w:val="BodyText"/>
        <w:spacing w:line="364" w:lineRule="auto" w:before="5"/>
        <w:ind w:left="1320" w:right="1577" w:firstLine="480"/>
      </w:pPr>
      <w:r>
        <w:rPr>
          <w:spacing w:val="-10"/>
        </w:rPr>
        <w:t>综上所述，基于建设生涯教育师资的国际经验，立足国情，本研究认为我国</w:t>
      </w:r>
      <w:r>
        <w:rPr/>
        <w:t>应培养一批专业性较强的教师。</w:t>
      </w:r>
    </w:p>
    <w:p>
      <w:pPr>
        <w:pStyle w:val="BodyText"/>
        <w:spacing w:line="364" w:lineRule="auto" w:before="1"/>
        <w:ind w:left="1320" w:right="1577" w:firstLine="480"/>
        <w:jc w:val="both"/>
      </w:pPr>
      <w:r>
        <w:rPr>
          <w:spacing w:val="-11"/>
        </w:rPr>
        <w:t>首先，从“源头”解决师资问题，即在大学里培养生涯规划教育教师的“后</w:t>
      </w:r>
      <w:r>
        <w:rPr>
          <w:spacing w:val="-12"/>
        </w:rPr>
        <w:t>备军”。学生在大学阶段就接触这一专业，为将来从事生涯规划教育工作奠定理</w:t>
      </w:r>
      <w:r>
        <w:rPr>
          <w:spacing w:val="-10"/>
        </w:rPr>
        <w:t>论认识。不少教师在访谈中也认为，大学应该开设生涯规划教育专业，专门培养</w:t>
      </w:r>
      <w:r>
        <w:rPr/>
        <w:t>生涯规划教育的师资。例如，</w:t>
      </w:r>
      <w:r>
        <w:rPr>
          <w:rFonts w:ascii="Times New Roman" w:hAnsi="Times New Roman" w:eastAsia="Times New Roman"/>
        </w:rPr>
        <w:t>Z </w:t>
      </w:r>
      <w:r>
        <w:rPr/>
        <w:t>教师这样谈到：</w:t>
      </w:r>
    </w:p>
    <w:p>
      <w:pPr>
        <w:pStyle w:val="BodyText"/>
        <w:spacing w:before="9"/>
        <w:rPr>
          <w:sz w:val="36"/>
        </w:rPr>
      </w:pPr>
    </w:p>
    <w:p>
      <w:pPr>
        <w:pStyle w:val="BodyText"/>
        <w:spacing w:line="364" w:lineRule="auto"/>
        <w:ind w:left="1320" w:right="1577" w:firstLine="480"/>
        <w:jc w:val="both"/>
      </w:pPr>
      <w:r>
        <w:rPr>
          <w:spacing w:val="-7"/>
        </w:rPr>
        <w:t>“我是从心理教育跨界来的，大学没有专门学过生涯规划教育，大学没有设</w:t>
      </w:r>
      <w:r>
        <w:rPr>
          <w:spacing w:val="-10"/>
        </w:rPr>
        <w:t>置这个专业。我上次接触过一个日本留学生，他说这个课跟心理有关，同时更多</w:t>
      </w:r>
      <w:r>
        <w:rPr>
          <w:spacing w:val="-8"/>
        </w:rPr>
        <w:t>的是跟规划有关。我觉得很神奇，原来还有这样的一个专业。我认为有必要在大</w:t>
      </w:r>
      <w:r>
        <w:rPr/>
        <w:t>学里增加这个专业，从源头上解决问题。”</w:t>
      </w:r>
    </w:p>
    <w:p>
      <w:pPr>
        <w:pStyle w:val="BodyText"/>
        <w:spacing w:before="2"/>
        <w:ind w:left="6525"/>
        <w:rPr>
          <w:rFonts w:ascii="Times New Roman" w:hAnsi="Times New Roman" w:eastAsia="Times New Roman"/>
        </w:rPr>
      </w:pPr>
      <w:r>
        <w:rPr/>
        <w:t>——访谈，</w:t>
      </w:r>
      <w:r>
        <w:rPr>
          <w:rFonts w:ascii="Times New Roman" w:hAnsi="Times New Roman" w:eastAsia="Times New Roman"/>
        </w:rPr>
        <w:t>C </w:t>
      </w:r>
      <w:r>
        <w:rPr/>
        <w:t>教师，</w:t>
      </w:r>
      <w:r>
        <w:rPr>
          <w:rFonts w:ascii="Times New Roman" w:hAnsi="Times New Roman" w:eastAsia="Times New Roman"/>
        </w:rPr>
        <w:t>20161026</w:t>
      </w:r>
    </w:p>
    <w:p>
      <w:pPr>
        <w:pStyle w:val="BodyText"/>
        <w:rPr>
          <w:rFonts w:ascii="Times New Roman"/>
          <w:sz w:val="26"/>
        </w:rPr>
      </w:pPr>
    </w:p>
    <w:p>
      <w:pPr>
        <w:pStyle w:val="BodyText"/>
        <w:spacing w:before="8"/>
        <w:rPr>
          <w:rFonts w:ascii="Times New Roman"/>
          <w:sz w:val="28"/>
        </w:rPr>
      </w:pPr>
    </w:p>
    <w:p>
      <w:pPr>
        <w:pStyle w:val="BodyText"/>
        <w:spacing w:line="364" w:lineRule="auto"/>
        <w:ind w:left="1320" w:right="1577" w:firstLine="480"/>
        <w:jc w:val="both"/>
      </w:pPr>
      <w:r>
        <w:rPr>
          <w:spacing w:val="-10"/>
        </w:rPr>
        <w:t>其次，国家应规范生涯规划教育教师的准入机制，建立入职标准，对生涯规</w:t>
      </w:r>
      <w:r>
        <w:rPr>
          <w:spacing w:val="-7"/>
        </w:rPr>
        <w:t>划教育教师进行入职前的考核，或者对其专业培训做出规定与说明，例如需要学</w:t>
      </w:r>
      <w:r>
        <w:rPr/>
        <w:t>习的相关课程，需要考取的资格证书，接受专业培训的类目等。</w:t>
      </w:r>
    </w:p>
    <w:p>
      <w:pPr>
        <w:pStyle w:val="BodyText"/>
        <w:spacing w:line="364" w:lineRule="auto" w:before="2"/>
        <w:ind w:left="1320" w:right="1577" w:firstLine="480"/>
      </w:pPr>
      <w:r>
        <w:rPr>
          <w:spacing w:val="-10"/>
        </w:rPr>
        <w:t>另外，各地应加强对生涯规划教育教师的职后培训。地方政府可制定生涯规</w:t>
      </w:r>
      <w:r>
        <w:rPr/>
        <w:t>划教育教师培训的专项计划，定期为教师提供培训，使培训规范化、系统化。</w:t>
      </w:r>
    </w:p>
    <w:p>
      <w:pPr>
        <w:pStyle w:val="BodyText"/>
        <w:spacing w:line="364" w:lineRule="auto" w:before="1"/>
        <w:ind w:left="1320" w:right="1577" w:firstLine="480"/>
      </w:pPr>
      <w:r>
        <w:rPr/>
        <w:pict>
          <v:shape style="position:absolute;margin-left:90pt;margin-top:48.441006pt;width:144pt;height:.1pt;mso-position-horizontal-relative:page;mso-position-vertical-relative:paragraph;z-index:-251529216;mso-wrap-distance-left:0;mso-wrap-distance-right:0" coordorigin="1800,969" coordsize="2880,0" path="m1800,969l4680,969e" filled="false" stroked="true" strokeweight="0pt" strokecolor="#000000">
            <v:path arrowok="t"/>
            <v:stroke dashstyle="solid"/>
            <w10:wrap type="topAndBottom"/>
          </v:shape>
        </w:pict>
      </w:r>
      <w:r>
        <w:rPr>
          <w:spacing w:val="-10"/>
        </w:rPr>
        <w:t>访谈中，有一位教师谈到他只参加过一次培训，并且认为这些培训偏重于理</w:t>
      </w:r>
      <w:r>
        <w:rPr/>
        <w:t>论，他这样谈到：</w:t>
      </w:r>
    </w:p>
    <w:p>
      <w:pPr>
        <w:spacing w:before="98"/>
        <w:ind w:left="1320" w:right="0" w:firstLine="0"/>
        <w:jc w:val="left"/>
        <w:rPr>
          <w:sz w:val="18"/>
        </w:rPr>
      </w:pPr>
      <w:bookmarkStart w:name="_bookmark277" w:id="328"/>
      <w:bookmarkEnd w:id="328"/>
      <w:r>
        <w:rPr/>
      </w:r>
      <w:r>
        <w:rPr>
          <w:rFonts w:ascii="Times New Roman" w:eastAsia="Times New Roman"/>
          <w:position w:val="7"/>
          <w:sz w:val="13"/>
        </w:rPr>
        <w:t>[1] </w:t>
      </w:r>
      <w:r>
        <w:rPr>
          <w:sz w:val="18"/>
        </w:rPr>
        <w:t>杨婧</w:t>
      </w:r>
      <w:r>
        <w:rPr>
          <w:rFonts w:ascii="Times New Roman" w:eastAsia="Times New Roman"/>
          <w:sz w:val="18"/>
        </w:rPr>
        <w:t>.</w:t>
      </w:r>
      <w:r>
        <w:rPr>
          <w:sz w:val="18"/>
        </w:rPr>
        <w:t>从美国生涯教育的经验看我国普通高中生涯教育及其课程设置</w:t>
      </w:r>
      <w:r>
        <w:rPr>
          <w:rFonts w:ascii="Times New Roman" w:eastAsia="Times New Roman"/>
          <w:sz w:val="18"/>
        </w:rPr>
        <w:t>[D].</w:t>
      </w:r>
      <w:r>
        <w:rPr>
          <w:sz w:val="18"/>
        </w:rPr>
        <w:t>天津</w:t>
      </w:r>
      <w:r>
        <w:rPr>
          <w:rFonts w:ascii="Times New Roman" w:eastAsia="Times New Roman"/>
          <w:sz w:val="18"/>
        </w:rPr>
        <w:t>:</w:t>
      </w:r>
      <w:r>
        <w:rPr>
          <w:sz w:val="18"/>
        </w:rPr>
        <w:t>天津师范大学硕士论文，</w:t>
      </w:r>
    </w:p>
    <w:p>
      <w:pPr>
        <w:spacing w:before="122"/>
        <w:ind w:left="1319" w:right="0" w:firstLine="0"/>
        <w:jc w:val="left"/>
        <w:rPr>
          <w:rFonts w:ascii="Times New Roman" w:eastAsia="Times New Roman"/>
          <w:sz w:val="18"/>
        </w:rPr>
      </w:pPr>
      <w:r>
        <w:rPr>
          <w:rFonts w:ascii="Times New Roman" w:eastAsia="Times New Roman"/>
          <w:sz w:val="18"/>
        </w:rPr>
        <w:t>2007</w:t>
      </w:r>
      <w:r>
        <w:rPr>
          <w:sz w:val="18"/>
        </w:rPr>
        <w:t>：</w:t>
      </w:r>
      <w:r>
        <w:rPr>
          <w:rFonts w:ascii="Times New Roman" w:eastAsia="Times New Roman"/>
          <w:sz w:val="18"/>
        </w:rPr>
        <w:t>18.</w:t>
      </w:r>
    </w:p>
    <w:p>
      <w:pPr>
        <w:spacing w:before="125"/>
        <w:ind w:left="1319" w:right="0" w:firstLine="0"/>
        <w:jc w:val="left"/>
        <w:rPr>
          <w:rFonts w:ascii="Times New Roman" w:eastAsia="Times New Roman"/>
          <w:sz w:val="18"/>
        </w:rPr>
      </w:pPr>
      <w:bookmarkStart w:name="_bookmark278" w:id="329"/>
      <w:bookmarkEnd w:id="329"/>
      <w:r>
        <w:rPr/>
      </w:r>
      <w:r>
        <w:rPr>
          <w:rFonts w:ascii="Times New Roman" w:eastAsia="Times New Roman"/>
          <w:position w:val="7"/>
          <w:sz w:val="13"/>
        </w:rPr>
        <w:t>[2] </w:t>
      </w:r>
      <w:r>
        <w:rPr>
          <w:sz w:val="18"/>
        </w:rPr>
        <w:t>陶倍帆</w:t>
      </w:r>
      <w:r>
        <w:rPr>
          <w:rFonts w:ascii="Times New Roman" w:eastAsia="Times New Roman"/>
          <w:sz w:val="18"/>
        </w:rPr>
        <w:t>.</w:t>
      </w:r>
      <w:r>
        <w:rPr>
          <w:sz w:val="18"/>
        </w:rPr>
        <w:t>澳大利亚职业生涯教育研究</w:t>
      </w:r>
      <w:r>
        <w:rPr>
          <w:rFonts w:ascii="Times New Roman" w:eastAsia="Times New Roman"/>
          <w:sz w:val="18"/>
        </w:rPr>
        <w:t>[D].</w:t>
      </w:r>
      <w:r>
        <w:rPr>
          <w:sz w:val="18"/>
        </w:rPr>
        <w:t>上海：华东师范大学硕士论文，</w:t>
      </w:r>
      <w:r>
        <w:rPr>
          <w:rFonts w:ascii="Times New Roman" w:eastAsia="Times New Roman"/>
          <w:sz w:val="18"/>
        </w:rPr>
        <w:t>2014</w:t>
      </w:r>
      <w:r>
        <w:rPr>
          <w:sz w:val="18"/>
        </w:rPr>
        <w:t>：</w:t>
      </w:r>
      <w:r>
        <w:rPr>
          <w:rFonts w:ascii="Times New Roman" w:eastAsia="Times New Roman"/>
          <w:sz w:val="18"/>
        </w:rPr>
        <w:t>26.</w:t>
      </w:r>
    </w:p>
    <w:p>
      <w:pPr>
        <w:spacing w:after="0"/>
        <w:jc w:val="left"/>
        <w:rPr>
          <w:rFonts w:ascii="Times New Roman" w:eastAsia="Times New Roman"/>
          <w:sz w:val="18"/>
        </w:rPr>
        <w:sectPr>
          <w:pgSz w:w="11910" w:h="16840"/>
          <w:pgMar w:header="878" w:footer="1191" w:top="1300" w:bottom="1380" w:left="480" w:right="220"/>
        </w:sectPr>
      </w:pPr>
    </w:p>
    <w:p>
      <w:pPr>
        <w:pStyle w:val="BodyText"/>
        <w:rPr>
          <w:rFonts w:ascii="Times New Roman"/>
          <w:sz w:val="20"/>
        </w:rPr>
      </w:pPr>
    </w:p>
    <w:p>
      <w:pPr>
        <w:pStyle w:val="BodyText"/>
        <w:rPr>
          <w:rFonts w:ascii="Times New Roman"/>
          <w:sz w:val="20"/>
        </w:rPr>
      </w:pPr>
    </w:p>
    <w:p>
      <w:pPr>
        <w:pStyle w:val="BodyText"/>
        <w:spacing w:before="11"/>
        <w:rPr>
          <w:rFonts w:ascii="Times New Roman"/>
          <w:sz w:val="18"/>
        </w:rPr>
      </w:pPr>
    </w:p>
    <w:p>
      <w:pPr>
        <w:pStyle w:val="BodyText"/>
        <w:spacing w:line="364" w:lineRule="auto"/>
        <w:ind w:left="1320" w:right="1577" w:firstLine="480"/>
        <w:jc w:val="both"/>
      </w:pPr>
      <w:r>
        <w:rPr>
          <w:spacing w:val="-7"/>
        </w:rPr>
        <w:t>“目前为止我只培训过一次，培训班老师讲的内容理论居多，而且不是很专</w:t>
      </w:r>
      <w:r>
        <w:rPr>
          <w:spacing w:val="-8"/>
        </w:rPr>
        <w:t>业的系统培训。我觉得他们培训的不够踏实，东一榔头，西一棒槌。如果多一些</w:t>
      </w:r>
      <w:r>
        <w:rPr/>
        <w:t>实践的内容可能对我会更有帮助”</w:t>
      </w:r>
    </w:p>
    <w:p>
      <w:pPr>
        <w:pStyle w:val="BodyText"/>
        <w:spacing w:before="2"/>
        <w:ind w:left="6552"/>
        <w:rPr>
          <w:rFonts w:ascii="Times New Roman" w:hAnsi="Times New Roman" w:eastAsia="Times New Roman"/>
        </w:rPr>
      </w:pPr>
      <w:r>
        <w:rPr/>
        <w:t>——访谈，</w:t>
      </w:r>
      <w:r>
        <w:rPr>
          <w:rFonts w:ascii="Times New Roman" w:hAnsi="Times New Roman" w:eastAsia="Times New Roman"/>
        </w:rPr>
        <w:t>F </w:t>
      </w:r>
      <w:r>
        <w:rPr/>
        <w:t>教师，</w:t>
      </w:r>
      <w:r>
        <w:rPr>
          <w:rFonts w:ascii="Times New Roman" w:hAnsi="Times New Roman" w:eastAsia="Times New Roman"/>
        </w:rPr>
        <w:t>20161025</w:t>
      </w:r>
    </w:p>
    <w:p>
      <w:pPr>
        <w:pStyle w:val="BodyText"/>
        <w:rPr>
          <w:rFonts w:ascii="Times New Roman"/>
          <w:sz w:val="26"/>
        </w:rPr>
      </w:pPr>
    </w:p>
    <w:p>
      <w:pPr>
        <w:pStyle w:val="BodyText"/>
        <w:spacing w:before="7"/>
        <w:rPr>
          <w:rFonts w:ascii="Times New Roman"/>
          <w:sz w:val="28"/>
        </w:rPr>
      </w:pPr>
    </w:p>
    <w:p>
      <w:pPr>
        <w:pStyle w:val="BodyText"/>
        <w:spacing w:line="364" w:lineRule="auto"/>
        <w:ind w:left="1320" w:right="1455" w:firstLine="480"/>
      </w:pPr>
      <w:r>
        <w:rPr>
          <w:spacing w:val="-9"/>
        </w:rPr>
        <w:t>可见，各地不仅要加强对教师的培训，还应该注重培训形式上有所创新。例如，组织教师回到大学继续学习相关课程，促使教师不断更新自身的教育理念； </w:t>
      </w:r>
      <w:r>
        <w:rPr>
          <w:spacing w:val="-14"/>
        </w:rPr>
        <w:t>或者带领教师走进企业、工厂参观等，掌握鲜活的职场信息。还有一类被霍益萍</w:t>
      </w:r>
      <w:r>
        <w:rPr>
          <w:spacing w:val="-18"/>
        </w:rPr>
        <w:t>教授称之为“培训者的培训”，即教师接受相关培训后，在学校内进行校本培训。</w:t>
      </w:r>
      <w:r>
        <w:rPr/>
        <w:t>一方面让未能参与培训的教师获益，另一方面深化了参加培训教师的理解与认识。</w:t>
      </w:r>
    </w:p>
    <w:p>
      <w:pPr>
        <w:pStyle w:val="BodyText"/>
        <w:spacing w:line="364" w:lineRule="auto" w:before="4"/>
        <w:ind w:left="1320" w:right="1577" w:firstLine="480"/>
        <w:jc w:val="both"/>
      </w:pPr>
      <w:r>
        <w:rPr>
          <w:spacing w:val="-10"/>
        </w:rPr>
        <w:t>再次，面对当前师资短缺的状况，学校还发动学科教师的力量，通过设立生</w:t>
      </w:r>
      <w:r>
        <w:rPr>
          <w:spacing w:val="-7"/>
        </w:rPr>
        <w:t>涯规划教育教师专项奖励资金、建立“全员生涯规划教育”机制等方式，提高各</w:t>
      </w:r>
      <w:r>
        <w:rPr>
          <w:spacing w:val="-9"/>
        </w:rPr>
        <w:t>科教师的积极性，促使教师主动承担学生生涯规划教育的责任。学校还可以充分挖掘校外的资源，聘请校外各界的优秀人士、毕业生、家长志愿者等任学校兼职</w:t>
      </w:r>
      <w:r>
        <w:rPr/>
        <w:t>生涯规划教师，定期到校对学生进行交流或指导。</w:t>
      </w:r>
    </w:p>
    <w:p>
      <w:pPr>
        <w:pStyle w:val="BodyText"/>
        <w:spacing w:line="364" w:lineRule="auto" w:before="3"/>
        <w:ind w:left="1320" w:right="1575" w:firstLine="480"/>
        <w:jc w:val="right"/>
      </w:pPr>
      <w:r>
        <w:rPr>
          <w:spacing w:val="-10"/>
        </w:rPr>
        <w:t>例如，浙江省宁波市姜山中学实行了“全员导师制”，由学校生涯规划教育</w:t>
      </w:r>
      <w:r>
        <w:rPr>
          <w:spacing w:val="-6"/>
        </w:rPr>
        <w:t>教师、首席导师</w:t>
      </w:r>
      <w:r>
        <w:rPr/>
        <w:t>（</w:t>
      </w:r>
      <w:r>
        <w:rPr>
          <w:spacing w:val="-3"/>
        </w:rPr>
        <w:t>年级组长、班主任</w:t>
      </w:r>
      <w:r>
        <w:rPr>
          <w:spacing w:val="-15"/>
        </w:rPr>
        <w:t>）</w:t>
      </w:r>
      <w:r>
        <w:rPr>
          <w:spacing w:val="-10"/>
        </w:rPr>
        <w:t>、导师</w:t>
      </w:r>
      <w:r>
        <w:rPr/>
        <w:t>（任课教师</w:t>
      </w:r>
      <w:r>
        <w:rPr>
          <w:spacing w:val="-12"/>
        </w:rPr>
        <w:t>）</w:t>
      </w:r>
      <w:r>
        <w:rPr>
          <w:spacing w:val="-2"/>
        </w:rPr>
        <w:t>及家长构成了四级生</w:t>
      </w:r>
      <w:r>
        <w:rPr>
          <w:spacing w:val="-5"/>
        </w:rPr>
        <w:t>涯导师网络，负责对学生进行思想上的引导，指导学生的学业、生活和职业。</w:t>
      </w:r>
      <w:hyperlink w:history="true" w:anchor="_bookmark279">
        <w:r>
          <w:rPr>
            <w:rFonts w:ascii="Times New Roman" w:hAnsi="Times New Roman" w:eastAsia="Times New Roman"/>
            <w:spacing w:val="-5"/>
            <w:position w:val="8"/>
            <w:sz w:val="15"/>
          </w:rPr>
          <w:t>[1</w:t>
        </w:r>
      </w:hyperlink>
      <w:r>
        <w:rPr>
          <w:rFonts w:ascii="Times New Roman" w:hAnsi="Times New Roman" w:eastAsia="Times New Roman"/>
          <w:spacing w:val="-5"/>
          <w:position w:val="8"/>
          <w:sz w:val="15"/>
        </w:rPr>
        <w:t>] </w:t>
      </w:r>
      <w:r>
        <w:rPr>
          <w:spacing w:val="-9"/>
        </w:rPr>
        <w:t>例如，浙江省丽水市丽水中学已经打造了一支由校内教师、校外精英共同构</w:t>
      </w:r>
    </w:p>
    <w:p>
      <w:pPr>
        <w:pStyle w:val="BodyText"/>
        <w:spacing w:before="2"/>
        <w:ind w:left="1320"/>
        <w:rPr>
          <w:rFonts w:ascii="Times New Roman" w:eastAsia="Times New Roman"/>
          <w:sz w:val="15"/>
        </w:rPr>
      </w:pPr>
      <w:r>
        <w:rPr/>
        <w:t>成的生涯规划教育团队，具体如下图 </w:t>
      </w:r>
      <w:r>
        <w:rPr>
          <w:rFonts w:ascii="Times New Roman" w:eastAsia="Times New Roman"/>
        </w:rPr>
        <w:t>5.3 </w:t>
      </w:r>
      <w:r>
        <w:rPr/>
        <w:t>所示：</w:t>
      </w:r>
      <w:r>
        <w:rPr>
          <w:rFonts w:ascii="Times New Roman" w:eastAsia="Times New Roman"/>
          <w:position w:val="8"/>
          <w:sz w:val="15"/>
        </w:rPr>
        <w:t>[</w:t>
      </w:r>
      <w:hyperlink w:history="true" w:anchor="_bookmark280">
        <w:r>
          <w:rPr>
            <w:rFonts w:ascii="Times New Roman" w:eastAsia="Times New Roman"/>
            <w:position w:val="8"/>
            <w:sz w:val="15"/>
          </w:rPr>
          <w:t>2</w:t>
        </w:r>
      </w:hyperlink>
      <w:r>
        <w:rPr>
          <w:rFonts w:ascii="Times New Roman" w:eastAsia="Times New Roman"/>
          <w:position w:val="8"/>
          <w:sz w:val="15"/>
        </w:rPr>
        <w:t>]</w:t>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7"/>
        <w:rPr>
          <w:rFonts w:ascii="Times New Roman"/>
          <w:sz w:val="22"/>
        </w:rPr>
      </w:pPr>
    </w:p>
    <w:p>
      <w:pPr>
        <w:spacing w:line="367" w:lineRule="auto" w:before="100"/>
        <w:ind w:left="1320" w:right="1750" w:firstLine="0"/>
        <w:jc w:val="left"/>
        <w:rPr>
          <w:rFonts w:ascii="Times New Roman" w:hAnsi="Times New Roman" w:eastAsia="Times New Roman"/>
          <w:sz w:val="18"/>
        </w:rPr>
      </w:pPr>
      <w:bookmarkStart w:name="_bookmark279" w:id="330"/>
      <w:bookmarkEnd w:id="330"/>
      <w:r>
        <w:rPr/>
      </w:r>
      <w:r>
        <w:rPr>
          <w:rFonts w:ascii="Times New Roman" w:hAnsi="Times New Roman" w:eastAsia="Times New Roman"/>
          <w:position w:val="7"/>
          <w:sz w:val="13"/>
        </w:rPr>
        <w:t>[1] </w:t>
      </w:r>
      <w:r>
        <w:rPr>
          <w:sz w:val="18"/>
        </w:rPr>
        <w:t>吴来辉</w:t>
      </w:r>
      <w:r>
        <w:rPr>
          <w:rFonts w:ascii="Times New Roman" w:hAnsi="Times New Roman" w:eastAsia="Times New Roman"/>
          <w:sz w:val="18"/>
        </w:rPr>
        <w:t>.</w:t>
      </w:r>
      <w:r>
        <w:rPr>
          <w:sz w:val="18"/>
        </w:rPr>
        <w:t>基于普通高中学生发展指导制度的生涯规划教育—姜山中学生涯规划教育的构建与实践</w:t>
      </w:r>
      <w:r>
        <w:rPr>
          <w:rFonts w:ascii="Times New Roman" w:hAnsi="Times New Roman" w:eastAsia="Times New Roman"/>
          <w:sz w:val="18"/>
        </w:rPr>
        <w:t>.[J].</w:t>
      </w:r>
      <w:r>
        <w:rPr>
          <w:sz w:val="18"/>
        </w:rPr>
        <w:t>基础教育，</w:t>
      </w:r>
      <w:r>
        <w:rPr>
          <w:rFonts w:ascii="Times New Roman" w:hAnsi="Times New Roman" w:eastAsia="Times New Roman"/>
          <w:sz w:val="18"/>
        </w:rPr>
        <w:t>2017</w:t>
      </w:r>
      <w:r>
        <w:rPr>
          <w:sz w:val="18"/>
        </w:rPr>
        <w:t>（</w:t>
      </w:r>
      <w:r>
        <w:rPr>
          <w:rFonts w:ascii="Times New Roman" w:hAnsi="Times New Roman" w:eastAsia="Times New Roman"/>
          <w:sz w:val="18"/>
        </w:rPr>
        <w:t>1</w:t>
      </w:r>
      <w:r>
        <w:rPr>
          <w:sz w:val="18"/>
        </w:rPr>
        <w:t>）：</w:t>
      </w:r>
      <w:r>
        <w:rPr>
          <w:rFonts w:ascii="Times New Roman" w:hAnsi="Times New Roman" w:eastAsia="Times New Roman"/>
          <w:sz w:val="18"/>
        </w:rPr>
        <w:t>16.</w:t>
      </w:r>
    </w:p>
    <w:p>
      <w:pPr>
        <w:spacing w:before="3"/>
        <w:ind w:left="1320" w:right="0" w:firstLine="0"/>
        <w:jc w:val="left"/>
        <w:rPr>
          <w:rFonts w:ascii="Times New Roman" w:hAnsi="Times New Roman" w:eastAsia="Times New Roman"/>
          <w:sz w:val="18"/>
        </w:rPr>
      </w:pPr>
      <w:bookmarkStart w:name="_bookmark280" w:id="331"/>
      <w:bookmarkEnd w:id="331"/>
      <w:r>
        <w:rPr/>
      </w:r>
      <w:r>
        <w:rPr>
          <w:rFonts w:ascii="Times New Roman" w:hAnsi="Times New Roman" w:eastAsia="Times New Roman"/>
          <w:position w:val="7"/>
          <w:sz w:val="13"/>
        </w:rPr>
        <w:t>[2] </w:t>
      </w:r>
      <w:r>
        <w:rPr>
          <w:sz w:val="18"/>
        </w:rPr>
        <w:t>王晶等</w:t>
      </w:r>
      <w:r>
        <w:rPr>
          <w:rFonts w:ascii="Times New Roman" w:hAnsi="Times New Roman" w:eastAsia="Times New Roman"/>
          <w:sz w:val="18"/>
        </w:rPr>
        <w:t>.</w:t>
      </w:r>
      <w:r>
        <w:rPr>
          <w:sz w:val="18"/>
        </w:rPr>
        <w:t>师资建设：普通高中“</w:t>
      </w:r>
      <w:r>
        <w:rPr>
          <w:rFonts w:ascii="Times New Roman" w:hAnsi="Times New Roman" w:eastAsia="Times New Roman"/>
          <w:sz w:val="18"/>
        </w:rPr>
        <w:t>3+1</w:t>
      </w:r>
      <w:r>
        <w:rPr>
          <w:sz w:val="18"/>
        </w:rPr>
        <w:t>”生涯规划教育团队构建模式探索</w:t>
      </w:r>
      <w:r>
        <w:rPr>
          <w:rFonts w:ascii="Times New Roman" w:hAnsi="Times New Roman" w:eastAsia="Times New Roman"/>
          <w:sz w:val="18"/>
        </w:rPr>
        <w:t>.[J].</w:t>
      </w:r>
      <w:r>
        <w:rPr>
          <w:sz w:val="18"/>
        </w:rPr>
        <w:t>基础教育课程，</w:t>
      </w:r>
      <w:r>
        <w:rPr>
          <w:rFonts w:ascii="Times New Roman" w:hAnsi="Times New Roman" w:eastAsia="Times New Roman"/>
          <w:sz w:val="18"/>
        </w:rPr>
        <w:t>2017</w:t>
      </w:r>
      <w:r>
        <w:rPr>
          <w:sz w:val="18"/>
        </w:rPr>
        <w:t>（</w:t>
      </w:r>
      <w:r>
        <w:rPr>
          <w:rFonts w:ascii="Times New Roman" w:hAnsi="Times New Roman" w:eastAsia="Times New Roman"/>
          <w:sz w:val="18"/>
        </w:rPr>
        <w:t>1</w:t>
      </w:r>
      <w:r>
        <w:rPr>
          <w:sz w:val="18"/>
        </w:rPr>
        <w:t>）：</w:t>
      </w:r>
      <w:r>
        <w:rPr>
          <w:rFonts w:ascii="Times New Roman" w:hAnsi="Times New Roman" w:eastAsia="Times New Roman"/>
          <w:sz w:val="18"/>
        </w:rPr>
        <w:t>27-34.</w:t>
      </w:r>
    </w:p>
    <w:p>
      <w:pPr>
        <w:spacing w:after="0"/>
        <w:jc w:val="left"/>
        <w:rPr>
          <w:rFonts w:ascii="Times New Roman" w:hAnsi="Times New Roman" w:eastAsia="Times New Roman"/>
          <w:sz w:val="18"/>
        </w:rPr>
        <w:sectPr>
          <w:headerReference w:type="default" r:id="rId109"/>
          <w:footerReference w:type="default" r:id="rId110"/>
          <w:pgSz w:w="11910" w:h="16840"/>
          <w:pgMar w:header="878" w:footer="1295" w:top="1300" w:bottom="1480" w:left="480" w:right="220"/>
        </w:sectPr>
      </w:pPr>
    </w:p>
    <w:p>
      <w:pPr>
        <w:pStyle w:val="BodyText"/>
        <w:rPr>
          <w:rFonts w:ascii="Times New Roman"/>
          <w:sz w:val="20"/>
        </w:rPr>
      </w:pPr>
    </w:p>
    <w:p>
      <w:pPr>
        <w:pStyle w:val="BodyText"/>
        <w:spacing w:before="6"/>
        <w:rPr>
          <w:rFonts w:ascii="Times New Roman"/>
          <w:sz w:val="26"/>
        </w:rPr>
      </w:pPr>
    </w:p>
    <w:p>
      <w:pPr>
        <w:spacing w:after="0"/>
        <w:rPr>
          <w:rFonts w:ascii="Times New Roman"/>
          <w:sz w:val="26"/>
        </w:rPr>
        <w:sectPr>
          <w:headerReference w:type="default" r:id="rId111"/>
          <w:footerReference w:type="default" r:id="rId112"/>
          <w:pgSz w:w="11910" w:h="16840"/>
          <w:pgMar w:header="878" w:footer="1191" w:top="1300" w:bottom="1380" w:left="480" w:right="220"/>
          <w:pgNumType w:start="119"/>
        </w:sectPr>
      </w:pPr>
    </w:p>
    <w:p>
      <w:pPr>
        <w:pStyle w:val="BodyText"/>
        <w:spacing w:before="3"/>
        <w:rPr>
          <w:rFonts w:ascii="Times New Roman"/>
          <w:sz w:val="30"/>
        </w:rPr>
      </w:pPr>
    </w:p>
    <w:p>
      <w:pPr>
        <w:pStyle w:val="Heading3"/>
        <w:spacing w:line="170" w:lineRule="auto"/>
        <w:ind w:left="5726" w:right="655"/>
        <w:jc w:val="center"/>
      </w:pPr>
      <w:r>
        <w:rPr/>
        <w:pict>
          <v:shape style="position:absolute;margin-left:146.845001pt;margin-top:-4.306743pt;width:14pt;height:189.55pt;mso-position-horizontal-relative:page;mso-position-vertical-relative:paragraph;z-index:251790336" type="#_x0000_t202" filled="false" stroked="false">
            <v:textbox inset="0,0,0,0" style="layout-flow:vertical-ideographic">
              <w:txbxContent>
                <w:p>
                  <w:pPr>
                    <w:spacing w:line="168" w:lineRule="auto" w:before="0"/>
                    <w:ind w:left="20" w:right="0" w:firstLine="0"/>
                    <w:jc w:val="left"/>
                    <w:rPr>
                      <w:sz w:val="21"/>
                    </w:rPr>
                  </w:pPr>
                  <w:r>
                    <w:rPr>
                      <w:sz w:val="24"/>
                    </w:rPr>
                    <w:t>精英导师（</w:t>
                  </w:r>
                  <w:r>
                    <w:rPr>
                      <w:w w:val="99"/>
                      <w:sz w:val="21"/>
                    </w:rPr>
                    <w:t>生涯规划特聘教师和顾问：</w:t>
                  </w:r>
                </w:p>
              </w:txbxContent>
            </v:textbox>
            <w10:wrap type="none"/>
          </v:shape>
        </w:pict>
      </w:r>
      <w:r>
        <w:rPr/>
        <w:pict>
          <v:shape style="position:absolute;margin-left:124.176003pt;margin-top:-4.306743pt;width:12.45pt;height:194.95pt;mso-position-horizontal-relative:page;mso-position-vertical-relative:paragraph;z-index:251791360" type="#_x0000_t202" filled="false" stroked="false">
            <v:textbox inset="0,0,0,0" style="layout-flow:vertical-ideographic">
              <w:txbxContent>
                <w:p>
                  <w:pPr>
                    <w:spacing w:line="168" w:lineRule="auto" w:before="0"/>
                    <w:ind w:left="20" w:right="0" w:firstLine="0"/>
                    <w:jc w:val="left"/>
                    <w:rPr>
                      <w:sz w:val="21"/>
                    </w:rPr>
                  </w:pPr>
                  <w:r>
                    <w:rPr>
                      <w:spacing w:val="-12"/>
                      <w:w w:val="99"/>
                      <w:sz w:val="21"/>
                    </w:rPr>
                    <w:t>校外各行精英、高校专业教师、知名校友、</w:t>
                  </w:r>
                </w:p>
              </w:txbxContent>
            </v:textbox>
            <w10:wrap type="none"/>
          </v:shape>
        </w:pict>
      </w:r>
      <w:bookmarkStart w:name="_bookmark281" w:id="332"/>
      <w:bookmarkEnd w:id="332"/>
      <w:r>
        <w:rPr>
          <w:b w:val="0"/>
        </w:rPr>
      </w:r>
      <w:r>
        <w:rPr/>
        <w:t>生涯导师</w:t>
      </w:r>
    </w:p>
    <w:p>
      <w:pPr>
        <w:pStyle w:val="BodyText"/>
        <w:spacing w:before="7"/>
        <w:rPr>
          <w:rFonts w:ascii="Microsoft JhengHei"/>
          <w:b/>
          <w:sz w:val="16"/>
        </w:rPr>
      </w:pPr>
    </w:p>
    <w:p>
      <w:pPr>
        <w:spacing w:line="425" w:lineRule="exact" w:before="0"/>
        <w:ind w:left="5453" w:right="411" w:firstLine="0"/>
        <w:jc w:val="center"/>
        <w:rPr>
          <w:rFonts w:ascii="Microsoft JhengHei" w:eastAsia="Microsoft JhengHei" w:hint="eastAsia"/>
          <w:b/>
          <w:sz w:val="24"/>
        </w:rPr>
      </w:pPr>
      <w:r>
        <w:rPr>
          <w:rFonts w:ascii="Microsoft JhengHei" w:eastAsia="Microsoft JhengHei" w:hint="eastAsia"/>
          <w:b/>
          <w:sz w:val="24"/>
        </w:rPr>
        <w:t>学业导师</w:t>
      </w:r>
    </w:p>
    <w:p>
      <w:pPr>
        <w:spacing w:line="253" w:lineRule="exact" w:before="0"/>
        <w:ind w:left="4872" w:right="0" w:firstLine="0"/>
        <w:jc w:val="left"/>
        <w:rPr>
          <w:sz w:val="21"/>
        </w:rPr>
      </w:pPr>
      <w:r>
        <w:rPr>
          <w:sz w:val="21"/>
        </w:rPr>
        <w:t>（兼职生涯规划教育</w:t>
      </w:r>
    </w:p>
    <w:p>
      <w:pPr>
        <w:spacing w:line="278" w:lineRule="auto" w:before="43"/>
        <w:ind w:left="4872" w:right="0" w:firstLine="0"/>
        <w:jc w:val="left"/>
        <w:rPr>
          <w:sz w:val="21"/>
        </w:rPr>
      </w:pPr>
      <w:r>
        <w:rPr>
          <w:sz w:val="21"/>
        </w:rPr>
        <w:t>教师：从学科教师中选拔）</w:t>
      </w:r>
    </w:p>
    <w:p>
      <w:pPr>
        <w:spacing w:before="70"/>
        <w:ind w:left="502" w:right="0" w:firstLine="0"/>
        <w:jc w:val="left"/>
        <w:rPr>
          <w:sz w:val="21"/>
        </w:rPr>
      </w:pPr>
      <w:r>
        <w:rPr/>
        <w:br w:type="column"/>
      </w:r>
      <w:r>
        <w:rPr>
          <w:sz w:val="21"/>
        </w:rPr>
        <w:t>专职生涯规划教育导师</w:t>
      </w:r>
    </w:p>
    <w:p>
      <w:pPr>
        <w:spacing w:line="278" w:lineRule="auto" w:before="43"/>
        <w:ind w:left="502" w:right="1279" w:firstLine="0"/>
        <w:jc w:val="both"/>
        <w:rPr>
          <w:sz w:val="21"/>
        </w:rPr>
      </w:pPr>
      <w:r>
        <w:rPr/>
        <w:pict>
          <v:group style="position:absolute;margin-left:115.525002pt;margin-top:-32.945011pt;width:414.15pt;height:236.1pt;mso-position-horizontal-relative:page;mso-position-vertical-relative:paragraph;z-index:-257775616" coordorigin="2311,-659" coordsize="8283,4722">
            <v:shape style="position:absolute;left:4352;top:2435;width:4075;height:1628" coordorigin="4352,2435" coordsize="4075,1628" path="m8427,4044l8427,4039,8425,4035,8420,4023,7745,2475,7739,2463,7732,2447,7730,2444,7714,2435,5065,2435,4354,4035,4352,4044,4353,4048,4372,4063,8407,4063,8425,4051,8426,4048,8427,4044e" filled="true" fillcolor="#ff9999" stroked="false">
              <v:path arrowok="t"/>
              <v:fill type="solid"/>
            </v:shape>
            <v:shape style="position:absolute;left:5743;top:-639;width:1320;height:1380" coordorigin="5743,-638" coordsize="1320,1380" path="m7063,742l5743,742,6403,-638,7063,742xe" filled="true" fillcolor="#ffff00" stroked="false">
              <v:path arrowok="t"/>
              <v:fill type="solid"/>
            </v:shape>
            <v:shape style="position:absolute;left:5723;top:-659;width:1360;height:1420" coordorigin="5723,-659" coordsize="1360,1420" path="m7063,761l5743,761,5739,761,5735,759,5732,757,5729,755,5726,752,5724,748,5723,744,5723,740,5724,736,5725,732,6385,-648,6387,-651,6390,-654,6393,-656,6397,-658,6401,-659,6405,-659,6409,-658,6413,-656,6416,-654,6419,-651,6421,-648,6429,-630,6385,-630,6403,-593,5775,721,5743,721,5761,750,7081,750,7080,752,7077,755,7074,757,7071,759,7067,761,7063,761xm6403,-593l6385,-630,6421,-630,6403,-593xm7045,750l6403,-593,6421,-630,6429,-630,7076,721,7063,721,7045,750xm5761,750l5743,721,5775,721,5761,750xm7045,750l5761,750,5775,721,7031,721,7045,750xm7081,750l7045,750,7063,721,7076,721,7081,732,7082,736,7083,740,7083,744,7082,748,7081,750xe" filled="true" fillcolor="#ffff66" stroked="false">
              <v:path arrowok="t"/>
              <v:fill type="solid"/>
            </v:shape>
            <v:shape style="position:absolute;left:5102;top:946;width:2560;height:1316" coordorigin="5102,946" coordsize="2560,1316" path="m7662,2243l7662,2239,7661,2235,7656,2222,7162,986,7157,973,7151,959,7149,955,7132,946,5632,946,5103,2235,5102,2243,5103,2247,5122,2262,7642,2262,7660,2249,7661,2247,7662,2243e" filled="true" fillcolor="#00af50" stroked="false">
              <v:path arrowok="t"/>
              <v:fill type="solid"/>
            </v:shape>
            <v:shape style="position:absolute;left:7697;top:-407;width:2896;height:2111" coordorigin="7698,-407" coordsize="2896,2111" path="m10571,1704l7720,1704,7716,1704,7711,1703,7708,1701,7704,1698,7701,1694,7699,1691,7698,1686,7698,1682,7698,-384,7698,-388,7699,-393,7701,-397,7704,-400,7708,-403,7711,-405,7716,-406,7720,-407,10571,-407,10575,-406,10580,-405,10584,-403,10587,-400,10590,-397,10592,-393,10593,-388,10594,-384,7743,-384,7720,-362,7743,-362,7743,1659,7720,1659,7743,1682,10594,1682,10593,1686,10592,1691,10590,1694,10587,1698,10584,1701,10580,1703,10575,1704,10571,1704xm7743,-362l7720,-362,7743,-384,7743,-362xm10549,-362l7743,-362,7743,-384,10549,-384,10549,-362xm10549,1682l10549,-384,10571,-362,10594,-362,10594,1659,10571,1659,10549,1682xm10594,-362l10571,-362,10549,-384,10594,-384,10594,-362xm7743,1682l7720,1659,7743,1659,7743,1682xm10549,1682l7743,1682,7743,1659,10549,1659,10549,1682xm10594,1682l10549,1682,10571,1659,10594,1659,10594,1682xe" filled="true" fillcolor="#ffff00" stroked="false">
              <v:path arrowok="t"/>
              <v:fill type="solid"/>
            </v:shape>
            <v:shape style="position:absolute;left:6797;top:-160;width:895;height:280" coordorigin="6797,-160" coordsize="895,280" path="m7692,-20l7580,-140,7566,-154,7563,-157,7559,-159,7555,-160,7551,-160,7546,-159,7532,-140,7532,-100,6817,-100,6797,-80,6797,40,6817,60,7532,60,7532,100,7551,120,7555,120,7559,119,7563,117,7566,114,7580,100,7686,-6,7689,-9,7690,-12,7692,-16,7692,-20e" filled="true" fillcolor="#8eb4e2" stroked="false">
              <v:path arrowok="t"/>
              <v:fill type="solid"/>
            </v:shape>
            <v:shape style="position:absolute;left:2310;top:-194;width:3603;height:4008" coordorigin="2311,-194" coordsize="3603,4008" path="m3571,-152l3570,-156,3569,-161,3567,-165,3564,-168,3561,-171,3557,-173,3552,-174,3548,-175,3526,-175,3526,-130,3526,3768,2356,3768,2356,-130,3526,-130,3526,-175,2333,-175,2329,-174,2324,-173,2321,-171,2317,-168,2314,-165,2312,-161,2311,-156,2311,-152,2311,3791,2311,3795,2312,3800,2314,3803,2317,3807,2321,3810,2324,3812,2329,3813,2333,3813,3548,3813,3552,3813,3557,3812,3561,3810,3564,3807,3567,3803,3569,3800,3570,3795,3571,3791,3571,3768,3571,-130,3571,-152m5913,-32l5913,-35,5911,-39,5910,-43,5907,-46,5779,-174,5765,-188,5761,-191,5757,-193,5753,-194,5749,-194,5745,-193,5741,-192,5737,-189,5734,-186,5732,-182,5731,-178,5731,-174,5731,-123,4093,-123,4092,-123,4089,-125,4085,-126,4081,-126,3920,-126,3916,-126,3912,-125,3908,-123,3908,-123,3898,-123,3894,-122,3890,-121,3887,-119,3884,-117,3881,-114,3880,-110,3878,-107,3878,-103,3878,40,3878,44,3880,47,3881,51,3884,54,3887,56,3890,58,3894,59,3898,60,3900,60,3900,3338,3900,3342,3901,3345,3903,3349,3905,3352,3908,3354,3912,3356,3916,3357,3920,3358,4384,3358,4384,3419,4384,3423,4386,3427,4388,3430,4391,3434,4394,3436,4398,3438,4403,3438,4407,3438,4411,3437,4415,3435,4418,3433,4432,3419,4580,3271,4582,3268,4584,3265,4585,3261,4586,3257,4585,3253,4584,3249,4582,3246,4580,3243,4432,3096,4418,3081,4415,3079,4411,3077,4407,3076,4403,3076,4398,3076,4394,3078,4391,3080,4388,3084,4386,3087,4384,3091,4384,3096,4384,3156,4101,3156,4101,60,5731,60,5731,111,5731,115,5732,119,5734,123,5737,126,5741,129,5745,130,5749,131,5753,131,5757,130,5761,128,5765,125,5779,111,5907,-17,5910,-20,5911,-24,5913,-28,5913,-32e" filled="true" fillcolor="#b3a1c6" stroked="false">
              <v:path arrowok="t"/>
              <v:fill type="solid"/>
            </v:shape>
            <v:shape style="position:absolute;left:3577;top:1261;width:375;height:203" type="#_x0000_t75" stroked="false">
              <v:imagedata r:id="rId113" o:title=""/>
            </v:shape>
            <w10:wrap type="none"/>
          </v:group>
        </w:pict>
      </w:r>
      <w:r>
        <w:rPr>
          <w:sz w:val="21"/>
        </w:rPr>
        <w:t>（</w:t>
      </w:r>
      <w:r>
        <w:rPr>
          <w:spacing w:val="-1"/>
          <w:sz w:val="21"/>
        </w:rPr>
        <w:t>学校专职心理教师；持有</w:t>
      </w:r>
      <w:r>
        <w:rPr>
          <w:spacing w:val="17"/>
          <w:sz w:val="21"/>
        </w:rPr>
        <w:t>浙江省心理健康教育教师</w:t>
      </w:r>
      <w:r>
        <w:rPr>
          <w:spacing w:val="-14"/>
          <w:sz w:val="21"/>
        </w:rPr>
        <w:t>上岗证 </w:t>
      </w:r>
      <w:r>
        <w:rPr>
          <w:sz w:val="21"/>
        </w:rPr>
        <w:t>C</w:t>
      </w:r>
      <w:r>
        <w:rPr>
          <w:spacing w:val="-9"/>
          <w:sz w:val="21"/>
        </w:rPr>
        <w:t> 证以上，有志于生</w:t>
      </w:r>
      <w:r>
        <w:rPr>
          <w:spacing w:val="17"/>
          <w:sz w:val="21"/>
        </w:rPr>
        <w:t>涯规划个体咨询工作的教</w:t>
      </w:r>
      <w:r>
        <w:rPr>
          <w:sz w:val="21"/>
        </w:rPr>
        <w:t>师）</w:t>
      </w:r>
    </w:p>
    <w:p>
      <w:pPr>
        <w:spacing w:after="0" w:line="278" w:lineRule="auto"/>
        <w:jc w:val="both"/>
        <w:rPr>
          <w:sz w:val="21"/>
        </w:rPr>
        <w:sectPr>
          <w:type w:val="continuous"/>
          <w:pgSz w:w="11910" w:h="16840"/>
          <w:pgMar w:top="1580" w:bottom="280" w:left="480" w:right="220"/>
          <w:cols w:num="2" w:equalWidth="0">
            <w:col w:w="6865" w:space="40"/>
            <w:col w:w="4305"/>
          </w:cols>
        </w:sectPr>
      </w:pPr>
    </w:p>
    <w:p>
      <w:pPr>
        <w:pStyle w:val="BodyText"/>
        <w:spacing w:before="11"/>
        <w:rPr>
          <w:sz w:val="18"/>
        </w:rPr>
      </w:pPr>
    </w:p>
    <w:p>
      <w:pPr>
        <w:pStyle w:val="Heading3"/>
        <w:spacing w:line="413" w:lineRule="exact"/>
        <w:ind w:left="1235" w:right="525"/>
        <w:jc w:val="center"/>
      </w:pPr>
      <w:r>
        <w:rPr/>
        <w:t>成长导师</w:t>
      </w:r>
    </w:p>
    <w:p>
      <w:pPr>
        <w:spacing w:line="253" w:lineRule="exact" w:before="0"/>
        <w:ind w:left="4391" w:right="0" w:firstLine="0"/>
        <w:jc w:val="left"/>
        <w:rPr>
          <w:sz w:val="21"/>
        </w:rPr>
      </w:pPr>
      <w:r>
        <w:rPr>
          <w:sz w:val="21"/>
        </w:rPr>
        <w:t>（兼职生涯规划教育教师：年段</w:t>
      </w:r>
    </w:p>
    <w:p>
      <w:pPr>
        <w:spacing w:line="278" w:lineRule="auto" w:before="43"/>
        <w:ind w:left="4391" w:right="3632" w:firstLine="0"/>
        <w:jc w:val="left"/>
        <w:rPr>
          <w:sz w:val="21"/>
        </w:rPr>
      </w:pPr>
      <w:r>
        <w:rPr>
          <w:sz w:val="21"/>
        </w:rPr>
        <w:t>长、班主任，有志于生涯规划指导工作的教师）</w:t>
      </w:r>
    </w:p>
    <w:p>
      <w:pPr>
        <w:pStyle w:val="BodyText"/>
        <w:rPr>
          <w:sz w:val="20"/>
        </w:rPr>
      </w:pPr>
    </w:p>
    <w:p>
      <w:pPr>
        <w:pStyle w:val="BodyText"/>
        <w:rPr>
          <w:sz w:val="20"/>
        </w:rPr>
      </w:pPr>
    </w:p>
    <w:p>
      <w:pPr>
        <w:pStyle w:val="BodyText"/>
        <w:spacing w:before="6"/>
        <w:rPr>
          <w:sz w:val="27"/>
        </w:rPr>
      </w:pPr>
    </w:p>
    <w:p>
      <w:pPr>
        <w:pStyle w:val="BodyText"/>
        <w:spacing w:before="75"/>
        <w:ind w:left="3432"/>
      </w:pPr>
      <w:r>
        <w:rPr/>
        <w:t>图 </w:t>
      </w:r>
      <w:r>
        <w:rPr>
          <w:rFonts w:ascii="Times New Roman" w:eastAsia="Times New Roman"/>
        </w:rPr>
        <w:t>5.3 </w:t>
      </w:r>
      <w:r>
        <w:rPr/>
        <w:t>丽水中学生涯规划教育教师团队及其构成</w:t>
      </w:r>
    </w:p>
    <w:p>
      <w:pPr>
        <w:pStyle w:val="BodyText"/>
        <w:spacing w:before="9"/>
        <w:rPr>
          <w:sz w:val="35"/>
        </w:rPr>
      </w:pPr>
    </w:p>
    <w:p>
      <w:pPr>
        <w:pStyle w:val="ListParagraph"/>
        <w:numPr>
          <w:ilvl w:val="2"/>
          <w:numId w:val="42"/>
        </w:numPr>
        <w:tabs>
          <w:tab w:pos="1920" w:val="left" w:leader="none"/>
        </w:tabs>
        <w:spacing w:line="240" w:lineRule="auto" w:before="0" w:after="0"/>
        <w:ind w:left="1920" w:right="0" w:hanging="600"/>
        <w:jc w:val="left"/>
        <w:rPr>
          <w:sz w:val="24"/>
        </w:rPr>
      </w:pPr>
      <w:r>
        <w:rPr>
          <w:sz w:val="24"/>
        </w:rPr>
        <w:t>优化相关各级管理</w:t>
      </w:r>
    </w:p>
    <w:p>
      <w:pPr>
        <w:pStyle w:val="BodyText"/>
        <w:spacing w:before="7"/>
        <w:rPr>
          <w:sz w:val="35"/>
        </w:rPr>
      </w:pPr>
    </w:p>
    <w:p>
      <w:pPr>
        <w:pStyle w:val="BodyText"/>
        <w:spacing w:line="364" w:lineRule="auto"/>
        <w:ind w:left="1320" w:right="1577" w:firstLine="480"/>
      </w:pPr>
      <w:r>
        <w:rPr>
          <w:spacing w:val="-10"/>
        </w:rPr>
        <w:t>教育的持续发展，都离不开系统、全面的管理以及相应组织机构的引领与指</w:t>
      </w:r>
      <w:r>
        <w:rPr/>
        <w:t>导，因此，本研究认为可从国家层面和学校层面对相关各级管理进行优化。</w:t>
      </w:r>
    </w:p>
    <w:p>
      <w:pPr>
        <w:pStyle w:val="BodyText"/>
        <w:spacing w:line="364" w:lineRule="auto" w:before="2"/>
        <w:ind w:left="1320" w:right="1457" w:firstLine="480"/>
      </w:pPr>
      <w:r>
        <w:rPr>
          <w:spacing w:val="-10"/>
        </w:rPr>
        <w:t>国家层面，一方面，国家教育行政部门应重视普通高中生涯规划教育，加强</w:t>
      </w:r>
      <w:r>
        <w:rPr>
          <w:spacing w:val="-15"/>
        </w:rPr>
        <w:t>对学校生涯规划教育的领导，对普通高中生涯规划教育进行统筹规划，以指导学</w:t>
      </w:r>
      <w:r>
        <w:rPr>
          <w:spacing w:val="-13"/>
        </w:rPr>
        <w:t>校有目的、有计划、有步骤地推进生涯规划教育的实施。国家建立各级各类生涯</w:t>
      </w:r>
      <w:r>
        <w:rPr>
          <w:spacing w:val="-15"/>
        </w:rPr>
        <w:t>规划教育组织机构，明确其职能、分工、运作机制等，为生涯规划教育的开展提</w:t>
      </w:r>
      <w:r>
        <w:rPr>
          <w:spacing w:val="-14"/>
        </w:rPr>
        <w:t>供服务与支持。另一方面，国家还应号召生涯规划教育领域的学者、专家等，组建生涯规划教育的研究团队，深入对生涯规划教育的相关理论与实践进行研究， </w:t>
      </w:r>
      <w:r>
        <w:rPr/>
        <w:t>开发生涯规划教育的实施标准，对普通高中生涯规划教育的内涵与外延做出规</w:t>
      </w:r>
      <w:r>
        <w:rPr>
          <w:spacing w:val="-17"/>
        </w:rPr>
        <w:t>定，阐明其目标、内容及实施方式，为学校生涯规划教育的开展提供详实的依据。</w:t>
      </w:r>
    </w:p>
    <w:p>
      <w:pPr>
        <w:pStyle w:val="BodyText"/>
        <w:spacing w:line="364" w:lineRule="auto" w:before="4" w:after="13"/>
        <w:ind w:left="1320" w:right="1577" w:firstLine="480"/>
        <w:jc w:val="both"/>
      </w:pPr>
      <w:r>
        <w:rPr>
          <w:spacing w:val="-5"/>
        </w:rPr>
        <w:t>例如，新西兰的《新西兰学校的生涯教育与指导》文件，</w:t>
      </w:r>
      <w:hyperlink w:history="true" w:anchor="_bookmark282">
        <w:r>
          <w:rPr>
            <w:rFonts w:ascii="Times New Roman" w:eastAsia="Times New Roman"/>
            <w:spacing w:val="-3"/>
            <w:position w:val="8"/>
            <w:sz w:val="15"/>
          </w:rPr>
          <w:t>[1</w:t>
        </w:r>
      </w:hyperlink>
      <w:r>
        <w:rPr>
          <w:rFonts w:ascii="Times New Roman" w:eastAsia="Times New Roman"/>
          <w:spacing w:val="-3"/>
          <w:position w:val="8"/>
          <w:sz w:val="15"/>
        </w:rPr>
        <w:t>]</w:t>
      </w:r>
      <w:r>
        <w:rPr>
          <w:spacing w:val="-2"/>
        </w:rPr>
        <w:t>不仅对学校生涯</w:t>
      </w:r>
      <w:r>
        <w:rPr>
          <w:spacing w:val="-7"/>
        </w:rPr>
        <w:t>规划教育的实施目标进行了细致地阐释，而且对学校生涯规划教育项目的开发与</w:t>
      </w:r>
      <w:r>
        <w:rPr/>
        <w:t>设计提供了详实的参考建议。该文件主要包括以下几个方面内容：</w:t>
      </w:r>
    </w:p>
    <w:p>
      <w:pPr>
        <w:pStyle w:val="BodyText"/>
        <w:spacing w:line="20" w:lineRule="exact"/>
        <w:ind w:left="1320"/>
        <w:rPr>
          <w:sz w:val="2"/>
        </w:rPr>
      </w:pPr>
      <w:r>
        <w:rPr>
          <w:sz w:val="2"/>
        </w:rPr>
        <w:pict>
          <v:group style="width:144pt;height:.1pt;mso-position-horizontal-relative:char;mso-position-vertical-relative:line" coordorigin="0,0" coordsize="2880,2">
            <v:line style="position:absolute" from="0,0" to="2880,0" stroked="true" strokeweight="0pt" strokecolor="#000000">
              <v:stroke dashstyle="solid"/>
            </v:line>
          </v:group>
        </w:pict>
      </w:r>
      <w:r>
        <w:rPr>
          <w:sz w:val="2"/>
        </w:rPr>
      </w:r>
    </w:p>
    <w:p>
      <w:pPr>
        <w:spacing w:line="386" w:lineRule="auto" w:before="107"/>
        <w:ind w:left="1320" w:right="1618" w:firstLine="0"/>
        <w:jc w:val="left"/>
        <w:rPr>
          <w:rFonts w:ascii="Times New Roman"/>
          <w:sz w:val="18"/>
        </w:rPr>
      </w:pPr>
      <w:bookmarkStart w:name="_bookmark282" w:id="333"/>
      <w:bookmarkEnd w:id="333"/>
      <w:r>
        <w:rPr/>
      </w:r>
      <w:r>
        <w:rPr>
          <w:rFonts w:ascii="Times New Roman"/>
          <w:position w:val="7"/>
          <w:sz w:val="13"/>
        </w:rPr>
        <w:t>[1] </w:t>
      </w:r>
      <w:r>
        <w:rPr>
          <w:rFonts w:ascii="Times New Roman"/>
          <w:sz w:val="18"/>
        </w:rPr>
        <w:t>the Ministry of Education. Career Education and Guidance in New Zealand School.[EB/OL]</w:t>
      </w:r>
      <w:hyperlink r:id="rId41">
        <w:r>
          <w:rPr>
            <w:rFonts w:ascii="Times New Roman"/>
            <w:sz w:val="18"/>
          </w:rPr>
          <w:t>..http://nzcu</w:t>
        </w:r>
      </w:hyperlink>
      <w:r>
        <w:rPr>
          <w:rFonts w:ascii="Times New Roman"/>
          <w:sz w:val="18"/>
        </w:rPr>
        <w:t> rriculum.tki.org.nz/Curriculum-resources/Career-education.2016-6-10.</w:t>
      </w:r>
    </w:p>
    <w:p>
      <w:pPr>
        <w:spacing w:after="0" w:line="386" w:lineRule="auto"/>
        <w:jc w:val="left"/>
        <w:rPr>
          <w:rFonts w:ascii="Times New Roman"/>
          <w:sz w:val="18"/>
        </w:rPr>
        <w:sectPr>
          <w:type w:val="continuous"/>
          <w:pgSz w:w="11910" w:h="16840"/>
          <w:pgMar w:top="1580" w:bottom="280" w:left="480" w:right="220"/>
        </w:sectPr>
      </w:pPr>
    </w:p>
    <w:p>
      <w:pPr>
        <w:pStyle w:val="BodyText"/>
        <w:spacing w:before="1"/>
        <w:rPr>
          <w:rFonts w:ascii="Times New Roman"/>
          <w:sz w:val="12"/>
        </w:rPr>
      </w:pPr>
    </w:p>
    <w:p>
      <w:pPr>
        <w:pStyle w:val="BodyText"/>
        <w:ind w:left="1416"/>
        <w:rPr>
          <w:rFonts w:ascii="Times New Roman"/>
          <w:sz w:val="20"/>
        </w:rPr>
      </w:pPr>
      <w:r>
        <w:rPr>
          <w:rFonts w:ascii="Times New Roman"/>
          <w:sz w:val="20"/>
        </w:rPr>
        <w:pict>
          <v:group style="width:416.4pt;height:195.5pt;mso-position-horizontal-relative:char;mso-position-vertical-relative:line" coordorigin="0,0" coordsize="8328,3910">
            <v:shape style="position:absolute;left:0;top:0;width:8328;height:3910" coordorigin="0,0" coordsize="8328,3910" path="m8322,3910l6,3910,4,3910,2,3908,0,3906,0,3904,0,6,0,4,2,2,4,0,6,0,8322,0,8324,0,8326,2,8328,4,8328,6,12,6,6,12,12,12,12,3898,6,3898,12,3904,8328,3904,8328,3906,8326,3908,8324,3910,8322,3910xm12,12l6,12,12,6,12,12xm8316,12l12,12,12,6,8316,6,8316,12xm8316,3904l8316,6,8322,12,8328,12,8328,3898,8322,3898,8316,3904xm8328,12l8322,12,8316,6,8328,6,8328,12xm12,3904l6,3898,12,3898,12,3904xm8316,3904l12,3904,12,3898,8316,3898,8316,3904xm8328,3904l8316,3904,8322,3898,8328,3898,8328,3904xe" filled="true" fillcolor="#000000" stroked="false">
              <v:path arrowok="t"/>
              <v:fill type="solid"/>
            </v:shape>
            <v:shape style="position:absolute;left:0;top:0;width:8328;height:3910" type="#_x0000_t202" filled="false" stroked="false">
              <v:textbox inset="0,0,0,0">
                <w:txbxContent>
                  <w:p>
                    <w:pPr>
                      <w:numPr>
                        <w:ilvl w:val="0"/>
                        <w:numId w:val="50"/>
                      </w:numPr>
                      <w:tabs>
                        <w:tab w:pos="817" w:val="left" w:leader="none"/>
                      </w:tabs>
                      <w:spacing w:before="164"/>
                      <w:ind w:left="817" w:right="0" w:hanging="181"/>
                      <w:jc w:val="left"/>
                      <w:rPr>
                        <w:sz w:val="24"/>
                      </w:rPr>
                    </w:pPr>
                    <w:r>
                      <w:rPr>
                        <w:sz w:val="24"/>
                      </w:rPr>
                      <w:t>生涯规划教育在学校教育中的重要性。</w:t>
                    </w:r>
                  </w:p>
                  <w:p>
                    <w:pPr>
                      <w:numPr>
                        <w:ilvl w:val="0"/>
                        <w:numId w:val="50"/>
                      </w:numPr>
                      <w:tabs>
                        <w:tab w:pos="817" w:val="left" w:leader="none"/>
                      </w:tabs>
                      <w:spacing w:line="364" w:lineRule="auto" w:before="161"/>
                      <w:ind w:left="156" w:right="155" w:firstLine="480"/>
                      <w:jc w:val="left"/>
                      <w:rPr>
                        <w:sz w:val="24"/>
                      </w:rPr>
                    </w:pPr>
                    <w:r>
                      <w:rPr>
                        <w:spacing w:val="-9"/>
                        <w:sz w:val="24"/>
                      </w:rPr>
                      <w:t>学生的学习结果，不仅对学生的生涯规划素养进行了解构，而且阐明了</w:t>
                    </w:r>
                    <w:r>
                      <w:rPr>
                        <w:sz w:val="24"/>
                      </w:rPr>
                      <w:t>每一阶段学生在生涯规划素养的要求。</w:t>
                    </w:r>
                  </w:p>
                  <w:p>
                    <w:pPr>
                      <w:numPr>
                        <w:ilvl w:val="0"/>
                        <w:numId w:val="50"/>
                      </w:numPr>
                      <w:tabs>
                        <w:tab w:pos="817" w:val="left" w:leader="none"/>
                      </w:tabs>
                      <w:spacing w:line="364" w:lineRule="auto" w:before="1"/>
                      <w:ind w:left="156" w:right="155" w:firstLine="480"/>
                      <w:jc w:val="left"/>
                      <w:rPr>
                        <w:sz w:val="24"/>
                      </w:rPr>
                    </w:pPr>
                    <w:r>
                      <w:rPr>
                        <w:spacing w:val="-6"/>
                        <w:sz w:val="24"/>
                      </w:rPr>
                      <w:t>学校生涯规划教育有效实践的相关影响因素，以及建立生涯规划教育项</w:t>
                    </w:r>
                    <w:r>
                      <w:rPr>
                        <w:sz w:val="24"/>
                      </w:rPr>
                      <w:t>目的相关步骤。</w:t>
                    </w:r>
                  </w:p>
                  <w:p>
                    <w:pPr>
                      <w:numPr>
                        <w:ilvl w:val="0"/>
                        <w:numId w:val="50"/>
                      </w:numPr>
                      <w:tabs>
                        <w:tab w:pos="817" w:val="left" w:leader="none"/>
                      </w:tabs>
                      <w:spacing w:before="1"/>
                      <w:ind w:left="817" w:right="0" w:hanging="181"/>
                      <w:jc w:val="left"/>
                      <w:rPr>
                        <w:sz w:val="24"/>
                      </w:rPr>
                    </w:pPr>
                    <w:r>
                      <w:rPr>
                        <w:spacing w:val="-16"/>
                        <w:sz w:val="24"/>
                      </w:rPr>
                      <w:t>家庭、社区、企业等社会各界力量应给予学校生涯规划教育的相应支持。</w:t>
                    </w:r>
                  </w:p>
                  <w:p>
                    <w:pPr>
                      <w:numPr>
                        <w:ilvl w:val="0"/>
                        <w:numId w:val="50"/>
                      </w:numPr>
                      <w:tabs>
                        <w:tab w:pos="817" w:val="left" w:leader="none"/>
                      </w:tabs>
                      <w:spacing w:before="161"/>
                      <w:ind w:left="817" w:right="0" w:hanging="181"/>
                      <w:jc w:val="left"/>
                      <w:rPr>
                        <w:sz w:val="24"/>
                      </w:rPr>
                    </w:pPr>
                    <w:r>
                      <w:rPr>
                        <w:sz w:val="24"/>
                      </w:rPr>
                      <w:t>如何建立一个完整的学校生涯规划教育项目。</w:t>
                    </w:r>
                  </w:p>
                  <w:p>
                    <w:pPr>
                      <w:numPr>
                        <w:ilvl w:val="0"/>
                        <w:numId w:val="50"/>
                      </w:numPr>
                      <w:tabs>
                        <w:tab w:pos="817" w:val="left" w:leader="none"/>
                      </w:tabs>
                      <w:spacing w:before="160"/>
                      <w:ind w:left="817" w:right="0" w:hanging="181"/>
                      <w:jc w:val="left"/>
                      <w:rPr>
                        <w:sz w:val="24"/>
                      </w:rPr>
                    </w:pPr>
                    <w:r>
                      <w:rPr>
                        <w:sz w:val="24"/>
                      </w:rPr>
                      <w:t>生涯规划教育的学科渗透举例。</w:t>
                    </w:r>
                  </w:p>
                </w:txbxContent>
              </v:textbox>
              <w10:wrap type="none"/>
            </v:shape>
          </v:group>
        </w:pict>
      </w:r>
      <w:r>
        <w:rPr>
          <w:rFonts w:ascii="Times New Roman"/>
          <w:sz w:val="20"/>
        </w:rPr>
      </w:r>
    </w:p>
    <w:p>
      <w:pPr>
        <w:pStyle w:val="BodyText"/>
        <w:spacing w:line="364" w:lineRule="auto" w:before="69"/>
        <w:ind w:left="1320" w:right="1457" w:firstLine="480"/>
      </w:pPr>
      <w:r>
        <w:rPr>
          <w:spacing w:val="-9"/>
        </w:rPr>
        <w:t>此外，国家及各级各类教育行政部门应加强对学校生涯规划教育的监督。一</w:t>
      </w:r>
      <w:r>
        <w:rPr>
          <w:spacing w:val="-11"/>
        </w:rPr>
        <w:t>方面，国家可开发生涯规划教育评价体系，设立专门的生涯规划教育质量监督机构，制定生涯规划教育质量评价标准，定期对学校的生涯规划教育实施进行考核与评估，考察学校生涯规划教育的相关制度、管理体系，了解学校的师资状况， </w:t>
      </w:r>
      <w:r>
        <w:rPr>
          <w:spacing w:val="-19"/>
        </w:rPr>
        <w:t>对生涯规划教育的课程安排、活动开展、个别指导等多方面的落实情况进行检查。</w:t>
      </w:r>
      <w:r>
        <w:rPr>
          <w:spacing w:val="-8"/>
        </w:rPr>
        <w:t>另一方面，由各级各类行政部门委任专门的人员，通过走访、调研，或者参与式观察等多种形式，深入了解学校生涯规划教育方面取得的成果和存在的问题。</w:t>
      </w:r>
    </w:p>
    <w:p>
      <w:pPr>
        <w:pStyle w:val="BodyText"/>
        <w:spacing w:line="364" w:lineRule="auto" w:before="4"/>
        <w:ind w:left="1320" w:right="1485" w:firstLine="480"/>
      </w:pPr>
      <w:r>
        <w:rPr>
          <w:spacing w:val="-10"/>
        </w:rPr>
        <w:t>学校层面，学校应依据相关政策的要求，在已有的生涯规划指导中心的基础</w:t>
      </w:r>
      <w:r>
        <w:rPr>
          <w:spacing w:val="-11"/>
        </w:rPr>
        <w:t>之上，分设出不同职能部门，让每位成员都对其工作内容有正确的认识。例如， </w:t>
      </w:r>
      <w:r>
        <w:rPr/>
        <w:t>我们可以从日本中小学在生涯规划教育组织体系中的各部门职能设置得到启示</w:t>
      </w:r>
    </w:p>
    <w:p>
      <w:pPr>
        <w:pStyle w:val="BodyText"/>
        <w:spacing w:line="364" w:lineRule="auto" w:before="2"/>
        <w:ind w:left="1319" w:right="1575"/>
        <w:jc w:val="both"/>
      </w:pPr>
      <w:r>
        <w:rPr/>
        <w:t>（</w:t>
      </w:r>
      <w:r>
        <w:rPr>
          <w:spacing w:val="-18"/>
        </w:rPr>
        <w:t>见图 </w:t>
      </w:r>
      <w:r>
        <w:rPr>
          <w:rFonts w:ascii="Times New Roman" w:eastAsia="Times New Roman"/>
          <w:spacing w:val="-3"/>
        </w:rPr>
        <w:t>5.4</w:t>
      </w:r>
      <w:r>
        <w:rPr>
          <w:spacing w:val="-3"/>
        </w:rPr>
        <w:t>）</w:t>
      </w:r>
      <w:r>
        <w:rPr>
          <w:rFonts w:ascii="Times New Roman" w:eastAsia="Times New Roman"/>
          <w:spacing w:val="-3"/>
          <w:position w:val="8"/>
          <w:sz w:val="15"/>
        </w:rPr>
        <w:t>[</w:t>
      </w:r>
      <w:hyperlink w:history="true" w:anchor="_bookmark283">
        <w:r>
          <w:rPr>
            <w:rFonts w:ascii="Times New Roman" w:eastAsia="Times New Roman"/>
            <w:spacing w:val="-3"/>
            <w:position w:val="8"/>
            <w:sz w:val="15"/>
          </w:rPr>
          <w:t>1</w:t>
        </w:r>
      </w:hyperlink>
      <w:r>
        <w:rPr>
          <w:rFonts w:ascii="Times New Roman" w:eastAsia="Times New Roman"/>
          <w:spacing w:val="-3"/>
          <w:position w:val="8"/>
          <w:sz w:val="15"/>
        </w:rPr>
        <w:t>]</w:t>
      </w:r>
      <w:r>
        <w:rPr>
          <w:spacing w:val="-4"/>
        </w:rPr>
        <w:t>,学校可在生涯规划指导中心下设教务部，负责编定学校生涯规划</w:t>
      </w:r>
      <w:r>
        <w:rPr>
          <w:spacing w:val="-9"/>
        </w:rPr>
        <w:t>教育实施标准、方案和计划等；成立学生指导部门，组建生涯规划导师团队，为</w:t>
      </w:r>
      <w:r>
        <w:rPr>
          <w:spacing w:val="-6"/>
        </w:rPr>
        <w:t>学生提供生涯规划个别指导与团体辅导；联络部则主要负责对外接洽，组织开展</w:t>
      </w:r>
      <w:r>
        <w:rPr/>
        <w:t>与家长、社区、高校、企业等社会力量的联合活动。</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3"/>
        </w:rPr>
      </w:pPr>
      <w:r>
        <w:rPr/>
        <w:pict>
          <v:shape style="position:absolute;margin-left:90pt;margin-top:16.844999pt;width:144pt;height:.1pt;mso-position-horizontal-relative:page;mso-position-vertical-relative:paragraph;z-index:-251522048;mso-wrap-distance-left:0;mso-wrap-distance-right:0" coordorigin="1800,337" coordsize="2880,0" path="m1800,337l4680,337e" filled="false" stroked="true" strokeweight="0pt" strokecolor="#000000">
            <v:path arrowok="t"/>
            <v:stroke dashstyle="solid"/>
            <w10:wrap type="topAndBottom"/>
          </v:shape>
        </w:pict>
      </w:r>
    </w:p>
    <w:p>
      <w:pPr>
        <w:spacing w:before="99"/>
        <w:ind w:left="1320" w:right="0" w:firstLine="0"/>
        <w:jc w:val="left"/>
        <w:rPr>
          <w:rFonts w:ascii="Times New Roman" w:eastAsia="Times New Roman"/>
          <w:sz w:val="18"/>
        </w:rPr>
      </w:pPr>
      <w:bookmarkStart w:name="_bookmark283" w:id="334"/>
      <w:bookmarkEnd w:id="334"/>
      <w:r>
        <w:rPr/>
      </w:r>
      <w:r>
        <w:rPr>
          <w:rFonts w:ascii="Times New Roman" w:eastAsia="Times New Roman"/>
          <w:position w:val="7"/>
          <w:sz w:val="13"/>
        </w:rPr>
        <w:t>[1] </w:t>
      </w:r>
      <w:r>
        <w:rPr>
          <w:sz w:val="18"/>
        </w:rPr>
        <w:t>吕显然</w:t>
      </w:r>
      <w:r>
        <w:rPr>
          <w:rFonts w:ascii="Times New Roman" w:eastAsia="Times New Roman"/>
          <w:sz w:val="18"/>
        </w:rPr>
        <w:t>.</w:t>
      </w:r>
      <w:r>
        <w:rPr>
          <w:sz w:val="18"/>
        </w:rPr>
        <w:t>日本职业生涯教育研究及启示</w:t>
      </w:r>
      <w:r>
        <w:rPr>
          <w:rFonts w:ascii="Times New Roman" w:eastAsia="Times New Roman"/>
          <w:sz w:val="18"/>
        </w:rPr>
        <w:t>.[D].</w:t>
      </w:r>
      <w:r>
        <w:rPr>
          <w:sz w:val="18"/>
        </w:rPr>
        <w:t>青岛：青岛大学硕士论文，</w:t>
      </w:r>
      <w:r>
        <w:rPr>
          <w:rFonts w:ascii="Times New Roman" w:eastAsia="Times New Roman"/>
          <w:sz w:val="18"/>
        </w:rPr>
        <w:t>2014</w:t>
      </w:r>
      <w:r>
        <w:rPr>
          <w:sz w:val="18"/>
        </w:rPr>
        <w:t>：</w:t>
      </w:r>
      <w:r>
        <w:rPr>
          <w:rFonts w:ascii="Times New Roman" w:eastAsia="Times New Roman"/>
          <w:sz w:val="18"/>
        </w:rPr>
        <w:t>31.</w:t>
      </w:r>
    </w:p>
    <w:p>
      <w:pPr>
        <w:spacing w:after="0"/>
        <w:jc w:val="left"/>
        <w:rPr>
          <w:rFonts w:ascii="Times New Roman" w:eastAsia="Times New Roman"/>
          <w:sz w:val="18"/>
        </w:rPr>
        <w:sectPr>
          <w:pgSz w:w="11910" w:h="16840"/>
          <w:pgMar w:header="878" w:footer="1191" w:top="1300" w:bottom="1380" w:left="480" w:right="220"/>
        </w:sectPr>
      </w:pPr>
    </w:p>
    <w:p>
      <w:pPr>
        <w:pStyle w:val="BodyText"/>
        <w:spacing w:before="10"/>
        <w:rPr>
          <w:rFonts w:ascii="Times New Roman"/>
          <w:sz w:val="20"/>
        </w:rPr>
      </w:pPr>
    </w:p>
    <w:p>
      <w:pPr>
        <w:pStyle w:val="BodyText"/>
        <w:ind w:left="1991"/>
        <w:rPr>
          <w:rFonts w:ascii="Times New Roman"/>
          <w:sz w:val="20"/>
        </w:rPr>
      </w:pPr>
      <w:r>
        <w:rPr>
          <w:rFonts w:ascii="Times New Roman"/>
          <w:sz w:val="20"/>
        </w:rPr>
        <w:drawing>
          <wp:inline distT="0" distB="0" distL="0" distR="0">
            <wp:extent cx="4482931" cy="2971800"/>
            <wp:effectExtent l="0" t="0" r="0" b="0"/>
            <wp:docPr id="101" name="image23.jpeg"/>
            <wp:cNvGraphicFramePr>
              <a:graphicFrameLocks noChangeAspect="1"/>
            </wp:cNvGraphicFramePr>
            <a:graphic>
              <a:graphicData uri="http://schemas.openxmlformats.org/drawingml/2006/picture">
                <pic:pic>
                  <pic:nvPicPr>
                    <pic:cNvPr id="102" name="image23.jpeg"/>
                    <pic:cNvPicPr/>
                  </pic:nvPicPr>
                  <pic:blipFill>
                    <a:blip r:embed="rId114" cstate="print"/>
                    <a:stretch>
                      <a:fillRect/>
                    </a:stretch>
                  </pic:blipFill>
                  <pic:spPr>
                    <a:xfrm>
                      <a:off x="0" y="0"/>
                      <a:ext cx="4482931" cy="2971800"/>
                    </a:xfrm>
                    <a:prstGeom prst="rect">
                      <a:avLst/>
                    </a:prstGeom>
                  </pic:spPr>
                </pic:pic>
              </a:graphicData>
            </a:graphic>
          </wp:inline>
        </w:drawing>
      </w:r>
      <w:r>
        <w:rPr>
          <w:rFonts w:ascii="Times New Roman"/>
          <w:sz w:val="20"/>
        </w:rPr>
      </w:r>
    </w:p>
    <w:p>
      <w:pPr>
        <w:pStyle w:val="BodyText"/>
        <w:rPr>
          <w:rFonts w:ascii="Times New Roman"/>
          <w:sz w:val="18"/>
        </w:rPr>
      </w:pPr>
    </w:p>
    <w:p>
      <w:pPr>
        <w:pStyle w:val="BodyText"/>
        <w:spacing w:before="74"/>
        <w:ind w:left="2983"/>
      </w:pPr>
      <w:bookmarkStart w:name="_bookmark284" w:id="335"/>
      <w:bookmarkEnd w:id="335"/>
      <w:r>
        <w:rPr/>
      </w:r>
      <w:r>
        <w:rPr>
          <w:rFonts w:ascii="Times New Roman" w:eastAsia="Times New Roman"/>
        </w:rPr>
        <w:t>5.4 </w:t>
      </w:r>
      <w:r>
        <w:rPr/>
        <w:t>日本中小学生涯规划教育组织体系职能设置</w:t>
      </w:r>
    </w:p>
    <w:p>
      <w:pPr>
        <w:pStyle w:val="BodyText"/>
        <w:rPr>
          <w:sz w:val="26"/>
        </w:rPr>
      </w:pPr>
    </w:p>
    <w:p>
      <w:pPr>
        <w:pStyle w:val="BodyText"/>
        <w:spacing w:before="1"/>
        <w:rPr>
          <w:sz w:val="23"/>
        </w:rPr>
      </w:pPr>
    </w:p>
    <w:p>
      <w:pPr>
        <w:pStyle w:val="BodyText"/>
        <w:spacing w:line="364" w:lineRule="auto"/>
        <w:ind w:left="1319" w:right="1485" w:firstLine="480"/>
      </w:pPr>
      <w:r>
        <w:rPr>
          <w:spacing w:val="-5"/>
        </w:rPr>
        <w:t>生涯规划教育指导中心还应充分发挥组织、协调作用，沟通与联系学校各部</w:t>
      </w:r>
      <w:r>
        <w:rPr>
          <w:spacing w:val="-10"/>
        </w:rPr>
        <w:t>门共同开展生涯规划教育活动。另外，建立生涯规划教育的评价机制，定期对参</w:t>
      </w:r>
      <w:r>
        <w:rPr>
          <w:spacing w:val="-15"/>
        </w:rPr>
        <w:t>与生涯规划教育工作的教师进行评价。例如，将教师的生涯规划教育工作纳入绩</w:t>
      </w:r>
      <w:r>
        <w:rPr>
          <w:spacing w:val="-13"/>
        </w:rPr>
        <w:t>效考核；或者以考试的形式考核教师对生涯规划教育的认识，这也是提高教师的</w:t>
      </w:r>
      <w:r>
        <w:rPr>
          <w:spacing w:val="-14"/>
        </w:rPr>
        <w:t>专业化水平的方式之一；或设置“最佳生涯导师”、“学生最喜爱的生涯导师” </w:t>
      </w:r>
      <w:r>
        <w:rPr>
          <w:spacing w:val="-9"/>
        </w:rPr>
        <w:t>等奖项，组织全校师生共同评选，并对评选出的教师予以物质奖励，从而提高教师参与生涯规划教育的积极性。</w:t>
      </w:r>
    </w:p>
    <w:p>
      <w:pPr>
        <w:pStyle w:val="BodyText"/>
        <w:spacing w:before="7"/>
        <w:rPr>
          <w:sz w:val="23"/>
        </w:rPr>
      </w:pPr>
    </w:p>
    <w:p>
      <w:pPr>
        <w:pStyle w:val="ListParagraph"/>
        <w:numPr>
          <w:ilvl w:val="2"/>
          <w:numId w:val="42"/>
        </w:numPr>
        <w:tabs>
          <w:tab w:pos="1920" w:val="left" w:leader="none"/>
        </w:tabs>
        <w:spacing w:line="240" w:lineRule="auto" w:before="0" w:after="0"/>
        <w:ind w:left="1920" w:right="0" w:hanging="601"/>
        <w:jc w:val="left"/>
        <w:rPr>
          <w:sz w:val="24"/>
        </w:rPr>
      </w:pPr>
      <w:r>
        <w:rPr>
          <w:sz w:val="24"/>
        </w:rPr>
        <w:t>形成相应社会支持体系</w:t>
      </w:r>
    </w:p>
    <w:p>
      <w:pPr>
        <w:pStyle w:val="BodyText"/>
        <w:spacing w:before="7"/>
        <w:rPr>
          <w:sz w:val="35"/>
        </w:rPr>
      </w:pPr>
    </w:p>
    <w:p>
      <w:pPr>
        <w:pStyle w:val="BodyText"/>
        <w:spacing w:line="364" w:lineRule="auto" w:before="1"/>
        <w:ind w:left="1319" w:right="1577" w:firstLine="480"/>
      </w:pPr>
      <w:r>
        <w:rPr>
          <w:spacing w:val="-5"/>
        </w:rPr>
        <w:t>生涯规划教育的实施仅依靠学校的力量是远远不够的，更需要来自家长、社</w:t>
      </w:r>
      <w:r>
        <w:rPr/>
        <w:t>区、企业等社会各方面力量的支持与配合。</w:t>
      </w:r>
    </w:p>
    <w:p>
      <w:pPr>
        <w:pStyle w:val="BodyText"/>
        <w:spacing w:line="364" w:lineRule="auto" w:before="1"/>
        <w:ind w:left="1319" w:right="1577" w:firstLine="480"/>
        <w:jc w:val="both"/>
      </w:pPr>
      <w:r>
        <w:rPr>
          <w:spacing w:val="-5"/>
        </w:rPr>
        <w:t>生涯规划教育开展最重要的一环就是通过生涯体验式活动，让学生获得直观</w:t>
      </w:r>
      <w:r>
        <w:rPr>
          <w:spacing w:val="-11"/>
        </w:rPr>
        <w:t>的生涯感知。因此，企业提供的真实职场环境是模拟情境不可替代的，这就需要</w:t>
      </w:r>
      <w:r>
        <w:rPr>
          <w:spacing w:val="-6"/>
        </w:rPr>
        <w:t>企业为生涯规划教育的开展提供社会实践的平台，面向学校为学生提供观摩与实</w:t>
      </w:r>
      <w:r>
        <w:rPr>
          <w:spacing w:val="-9"/>
        </w:rPr>
        <w:t>习机会，使学生获得对职业的清晰认识。因此，国家应制定相关奖励政策，提高</w:t>
      </w:r>
      <w:r>
        <w:rPr>
          <w:spacing w:val="-7"/>
        </w:rPr>
        <w:t>企业参与学校教育的积极性，鼓励其加强与学校的合作，从而建立校企合作联动</w:t>
      </w:r>
    </w:p>
    <w:p>
      <w:pPr>
        <w:pStyle w:val="BodyText"/>
        <w:spacing w:before="3"/>
        <w:ind w:left="1319"/>
      </w:pPr>
      <w:r>
        <w:rPr/>
        <w:t>机制。</w:t>
      </w:r>
    </w:p>
    <w:p>
      <w:pPr>
        <w:spacing w:after="0"/>
        <w:sectPr>
          <w:pgSz w:w="11910" w:h="16840"/>
          <w:pgMar w:header="878" w:footer="1191" w:top="1300" w:bottom="1380" w:left="480" w:right="220"/>
        </w:sectPr>
      </w:pPr>
    </w:p>
    <w:p>
      <w:pPr>
        <w:pStyle w:val="BodyText"/>
        <w:spacing w:before="3"/>
        <w:rPr>
          <w:sz w:val="11"/>
        </w:rPr>
      </w:pPr>
    </w:p>
    <w:p>
      <w:pPr>
        <w:pStyle w:val="BodyText"/>
        <w:spacing w:line="364" w:lineRule="auto" w:before="66"/>
        <w:ind w:left="1320" w:right="1457" w:firstLine="480"/>
        <w:jc w:val="both"/>
      </w:pPr>
      <w:r>
        <w:rPr>
          <w:spacing w:val="-15"/>
        </w:rPr>
        <w:t>另外，我国应借鉴欧美发达国家的经验，全力推进政府、企业、社区、学校、</w:t>
      </w:r>
      <w:r>
        <w:rPr/>
        <w:t>家庭等多领域、多层次的通力合作，鼓励社会各界人士踊跃参与学校教育活动， 对学校教育改革予以支持。</w:t>
      </w:r>
    </w:p>
    <w:p>
      <w:pPr>
        <w:pStyle w:val="BodyText"/>
        <w:spacing w:line="364" w:lineRule="auto" w:before="2"/>
        <w:ind w:left="1319" w:right="1575" w:firstLine="480"/>
        <w:jc w:val="both"/>
      </w:pPr>
      <w:r>
        <w:rPr>
          <w:spacing w:val="-10"/>
        </w:rPr>
        <w:t>一方面，社会各界为学生的生涯体验活动提供相应平台，比如创建生涯体验</w:t>
      </w:r>
      <w:r>
        <w:rPr>
          <w:spacing w:val="-11"/>
        </w:rPr>
        <w:t>基地；另一方面，学校广邀各领域的专家，及技术人才，适时地加入学校生涯规</w:t>
      </w:r>
      <w:r>
        <w:rPr>
          <w:spacing w:val="-10"/>
        </w:rPr>
        <w:t>划教育。家长也是学校生涯规划教育实施的重要力量。研究表明，大部分学生将</w:t>
      </w:r>
      <w:r>
        <w:rPr>
          <w:spacing w:val="-2"/>
        </w:rPr>
        <w:t>家长视为他们制定生涯计划中的主要支持。</w:t>
      </w:r>
      <w:hyperlink w:history="true" w:anchor="_bookmark285">
        <w:r>
          <w:rPr>
            <w:rFonts w:ascii="Times New Roman" w:eastAsia="Times New Roman"/>
            <w:position w:val="8"/>
            <w:sz w:val="15"/>
          </w:rPr>
          <w:t>[1</w:t>
        </w:r>
      </w:hyperlink>
      <w:r>
        <w:rPr>
          <w:rFonts w:ascii="Times New Roman" w:eastAsia="Times New Roman"/>
          <w:position w:val="8"/>
          <w:sz w:val="15"/>
        </w:rPr>
        <w:t>]</w:t>
      </w:r>
      <w:r>
        <w:rPr>
          <w:spacing w:val="-5"/>
        </w:rPr>
        <w:t>因此，普通高中要加强与家长之间</w:t>
      </w:r>
      <w:r>
        <w:rPr>
          <w:spacing w:val="-10"/>
        </w:rPr>
        <w:t>的沟通与联系。学校可利用家长会，专题讲座，或者邀请家长参与学校生涯规划</w:t>
      </w:r>
      <w:r>
        <w:rPr>
          <w:spacing w:val="-8"/>
        </w:rPr>
        <w:t>教育实践活动等方式，帮助家长树立正确的人才培养理念，形成对生涯规划教育</w:t>
      </w:r>
      <w:r>
        <w:rPr>
          <w:spacing w:val="-10"/>
        </w:rPr>
        <w:t>的正确认识，使其意识到自身在孩子生涯发展中的重要地位，同时提高家长参与</w:t>
      </w:r>
      <w:r>
        <w:rPr>
          <w:spacing w:val="-8"/>
        </w:rPr>
        <w:t>学校教育改革的积极性。最终促使学校和家长对学生的教育形成一股合力，切实</w:t>
      </w:r>
      <w:r>
        <w:rPr/>
        <w:t>推动生涯规划教育的开展。</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2"/>
        <w:rPr>
          <w:sz w:val="15"/>
        </w:rPr>
      </w:pPr>
      <w:r>
        <w:rPr/>
        <w:pict>
          <v:shape style="position:absolute;margin-left:90pt;margin-top:12.178985pt;width:144pt;height:.1pt;mso-position-horizontal-relative:page;mso-position-vertical-relative:paragraph;z-index:-251521024;mso-wrap-distance-left:0;mso-wrap-distance-right:0" coordorigin="1800,244" coordsize="2880,0" path="m1800,244l4680,244e" filled="false" stroked="true" strokeweight="0pt" strokecolor="#000000">
            <v:path arrowok="t"/>
            <v:stroke dashstyle="solid"/>
            <w10:wrap type="topAndBottom"/>
          </v:shape>
        </w:pict>
      </w:r>
    </w:p>
    <w:p>
      <w:pPr>
        <w:spacing w:line="374" w:lineRule="auto" w:before="96"/>
        <w:ind w:left="1320" w:right="1597" w:firstLine="0"/>
        <w:jc w:val="left"/>
        <w:rPr>
          <w:rFonts w:ascii="Times New Roman"/>
          <w:sz w:val="18"/>
        </w:rPr>
      </w:pPr>
      <w:bookmarkStart w:name="_bookmark285" w:id="336"/>
      <w:bookmarkEnd w:id="336"/>
      <w:r>
        <w:rPr/>
      </w:r>
      <w:r>
        <w:rPr>
          <w:rFonts w:ascii="Times New Roman"/>
          <w:position w:val="7"/>
          <w:sz w:val="13"/>
        </w:rPr>
        <w:t>[1] </w:t>
      </w:r>
      <w:r>
        <w:rPr>
          <w:rFonts w:ascii="Times New Roman"/>
          <w:sz w:val="18"/>
        </w:rPr>
        <w:t>The Ontario Public Service.Creating Pathways  to  Success-an  education  and  career/life  planning  program for ontario schools.[EB/OL].</w:t>
      </w:r>
      <w:hyperlink r:id="rId54">
        <w:r>
          <w:rPr>
            <w:rFonts w:ascii="Times New Roman"/>
            <w:sz w:val="18"/>
          </w:rPr>
          <w:t>http://www.edu.gov.on.ca/eng/document/policy/cps/CreatingPathwaysSuccess.pdf.</w:t>
        </w:r>
      </w:hyperlink>
      <w:r>
        <w:rPr>
          <w:rFonts w:ascii="Times New Roman"/>
          <w:sz w:val="18"/>
        </w:rPr>
        <w:t> 2017-2-14.</w:t>
      </w:r>
    </w:p>
    <w:p>
      <w:pPr>
        <w:spacing w:after="0" w:line="374" w:lineRule="auto"/>
        <w:jc w:val="left"/>
        <w:rPr>
          <w:rFonts w:ascii="Times New Roman"/>
          <w:sz w:val="18"/>
        </w:rPr>
        <w:sectPr>
          <w:pgSz w:w="11910" w:h="16840"/>
          <w:pgMar w:header="878" w:footer="1191" w:top="1300" w:bottom="1380" w:left="480" w:right="220"/>
        </w:sectPr>
      </w:pPr>
    </w:p>
    <w:p>
      <w:pPr>
        <w:pStyle w:val="BodyText"/>
        <w:spacing w:before="2"/>
        <w:rPr>
          <w:rFonts w:ascii="Times New Roman"/>
          <w:sz w:val="22"/>
        </w:rPr>
      </w:pPr>
    </w:p>
    <w:p>
      <w:pPr>
        <w:pStyle w:val="Heading1"/>
        <w:spacing w:line="511" w:lineRule="exact"/>
        <w:ind w:left="1320"/>
      </w:pPr>
      <w:bookmarkStart w:name="_bookmark286" w:id="337"/>
      <w:bookmarkEnd w:id="337"/>
      <w:r>
        <w:rPr>
          <w:b w:val="0"/>
        </w:rPr>
      </w:r>
      <w:r>
        <w:rPr/>
        <w:t>主要参考文献</w:t>
      </w:r>
    </w:p>
    <w:p>
      <w:pPr>
        <w:pStyle w:val="BodyText"/>
        <w:spacing w:before="6"/>
        <w:rPr>
          <w:rFonts w:ascii="Microsoft JhengHei"/>
          <w:b/>
          <w:sz w:val="25"/>
        </w:rPr>
      </w:pPr>
    </w:p>
    <w:p>
      <w:pPr>
        <w:spacing w:before="0"/>
        <w:ind w:left="1320" w:right="0" w:firstLine="0"/>
        <w:jc w:val="left"/>
        <w:rPr>
          <w:rFonts w:ascii="Microsoft JhengHei" w:eastAsia="Microsoft JhengHei" w:hint="eastAsia"/>
          <w:b/>
          <w:sz w:val="30"/>
        </w:rPr>
      </w:pPr>
      <w:r>
        <w:rPr>
          <w:rFonts w:ascii="Microsoft JhengHei" w:eastAsia="Microsoft JhengHei" w:hint="eastAsia"/>
          <w:b/>
          <w:sz w:val="30"/>
        </w:rPr>
        <w:t>中文类：</w:t>
      </w:r>
    </w:p>
    <w:p>
      <w:pPr>
        <w:pStyle w:val="ListParagraph"/>
        <w:numPr>
          <w:ilvl w:val="0"/>
          <w:numId w:val="51"/>
        </w:numPr>
        <w:tabs>
          <w:tab w:pos="1719" w:val="left" w:leader="none"/>
        </w:tabs>
        <w:spacing w:line="240" w:lineRule="auto" w:before="54" w:after="0"/>
        <w:ind w:left="1718" w:right="0" w:hanging="399"/>
        <w:jc w:val="left"/>
        <w:rPr>
          <w:rFonts w:ascii="Times New Roman" w:eastAsia="Times New Roman"/>
          <w:sz w:val="24"/>
        </w:rPr>
      </w:pPr>
      <w:r>
        <w:rPr>
          <w:sz w:val="24"/>
        </w:rPr>
        <w:t>钟启泉</w:t>
      </w:r>
      <w:r>
        <w:rPr>
          <w:rFonts w:ascii="Times New Roman" w:eastAsia="Times New Roman"/>
          <w:sz w:val="24"/>
        </w:rPr>
        <w:t>.</w:t>
      </w:r>
      <w:r>
        <w:rPr>
          <w:sz w:val="24"/>
        </w:rPr>
        <w:t>普通高中新课程方案导读</w:t>
      </w:r>
      <w:r>
        <w:rPr>
          <w:rFonts w:ascii="Times New Roman" w:eastAsia="Times New Roman"/>
          <w:sz w:val="24"/>
        </w:rPr>
        <w:t>[M].</w:t>
      </w:r>
      <w:r>
        <w:rPr>
          <w:sz w:val="24"/>
        </w:rPr>
        <w:t>上海：华东师范大学出版社，</w:t>
      </w:r>
      <w:r>
        <w:rPr>
          <w:rFonts w:ascii="Times New Roman" w:eastAsia="Times New Roman"/>
          <w:sz w:val="24"/>
        </w:rPr>
        <w:t>2003.</w:t>
      </w:r>
    </w:p>
    <w:p>
      <w:pPr>
        <w:pStyle w:val="BodyText"/>
        <w:spacing w:before="7"/>
        <w:rPr>
          <w:rFonts w:ascii="Times New Roman"/>
          <w:sz w:val="20"/>
        </w:rPr>
      </w:pPr>
    </w:p>
    <w:p>
      <w:pPr>
        <w:pStyle w:val="ListParagraph"/>
        <w:numPr>
          <w:ilvl w:val="0"/>
          <w:numId w:val="51"/>
        </w:numPr>
        <w:tabs>
          <w:tab w:pos="1719" w:val="left" w:leader="none"/>
        </w:tabs>
        <w:spacing w:line="364" w:lineRule="auto" w:before="0" w:after="0"/>
        <w:ind w:left="1319" w:right="1577" w:firstLine="0"/>
        <w:jc w:val="left"/>
        <w:rPr>
          <w:rFonts w:ascii="Times New Roman" w:eastAsia="Times New Roman"/>
          <w:sz w:val="24"/>
        </w:rPr>
      </w:pPr>
      <w:r>
        <w:rPr>
          <w:sz w:val="24"/>
        </w:rPr>
        <w:t>中华人民共和国教育部</w:t>
      </w:r>
      <w:r>
        <w:rPr>
          <w:rFonts w:ascii="Times New Roman" w:eastAsia="Times New Roman"/>
          <w:sz w:val="24"/>
        </w:rPr>
        <w:t>.</w:t>
      </w:r>
      <w:r>
        <w:rPr>
          <w:spacing w:val="-2"/>
          <w:sz w:val="24"/>
        </w:rPr>
        <w:t>普通高中课程方案</w:t>
      </w:r>
      <w:r>
        <w:rPr>
          <w:sz w:val="24"/>
        </w:rPr>
        <w:t>（实验）</w:t>
      </w:r>
      <w:r>
        <w:rPr>
          <w:rFonts w:ascii="Times New Roman" w:eastAsia="Times New Roman"/>
          <w:sz w:val="24"/>
        </w:rPr>
        <w:t>[M].</w:t>
      </w:r>
      <w:r>
        <w:rPr>
          <w:spacing w:val="-4"/>
          <w:sz w:val="24"/>
        </w:rPr>
        <w:t>北京：人民教育出版</w:t>
      </w:r>
      <w:r>
        <w:rPr>
          <w:sz w:val="24"/>
        </w:rPr>
        <w:t>社，</w:t>
      </w:r>
      <w:r>
        <w:rPr>
          <w:rFonts w:ascii="Times New Roman" w:eastAsia="Times New Roman"/>
          <w:sz w:val="24"/>
        </w:rPr>
        <w:t>2003.</w:t>
      </w:r>
    </w:p>
    <w:p>
      <w:pPr>
        <w:pStyle w:val="ListParagraph"/>
        <w:numPr>
          <w:ilvl w:val="0"/>
          <w:numId w:val="51"/>
        </w:numPr>
        <w:tabs>
          <w:tab w:pos="1719" w:val="left" w:leader="none"/>
        </w:tabs>
        <w:spacing w:line="230" w:lineRule="exact" w:before="0" w:after="0"/>
        <w:ind w:left="1718" w:right="0" w:hanging="400"/>
        <w:jc w:val="left"/>
        <w:rPr>
          <w:rFonts w:ascii="Times New Roman" w:eastAsia="Times New Roman"/>
          <w:sz w:val="24"/>
        </w:rPr>
      </w:pPr>
      <w:r>
        <w:rPr>
          <w:sz w:val="24"/>
        </w:rPr>
        <w:t>沈之菲</w:t>
      </w:r>
      <w:r>
        <w:rPr>
          <w:rFonts w:ascii="Times New Roman" w:eastAsia="Times New Roman"/>
          <w:sz w:val="24"/>
        </w:rPr>
        <w:t>.</w:t>
      </w:r>
      <w:r>
        <w:rPr>
          <w:sz w:val="24"/>
        </w:rPr>
        <w:t>生涯心理辅导</w:t>
      </w:r>
      <w:r>
        <w:rPr>
          <w:rFonts w:ascii="Times New Roman" w:eastAsia="Times New Roman"/>
          <w:sz w:val="24"/>
        </w:rPr>
        <w:t>[M].</w:t>
      </w:r>
      <w:r>
        <w:rPr>
          <w:sz w:val="24"/>
        </w:rPr>
        <w:t>上海</w:t>
      </w:r>
      <w:r>
        <w:rPr>
          <w:rFonts w:ascii="Times New Roman" w:eastAsia="Times New Roman"/>
          <w:sz w:val="24"/>
        </w:rPr>
        <w:t>:</w:t>
      </w:r>
      <w:r>
        <w:rPr>
          <w:sz w:val="24"/>
        </w:rPr>
        <w:t>上海教育出版社，</w:t>
      </w:r>
      <w:r>
        <w:rPr>
          <w:rFonts w:ascii="Times New Roman" w:eastAsia="Times New Roman"/>
          <w:sz w:val="24"/>
        </w:rPr>
        <w:t>2000.</w:t>
      </w:r>
    </w:p>
    <w:p>
      <w:pPr>
        <w:pStyle w:val="ListParagraph"/>
        <w:numPr>
          <w:ilvl w:val="0"/>
          <w:numId w:val="51"/>
        </w:numPr>
        <w:tabs>
          <w:tab w:pos="1719" w:val="left" w:leader="none"/>
        </w:tabs>
        <w:spacing w:line="240" w:lineRule="auto" w:before="160" w:after="0"/>
        <w:ind w:left="1718" w:right="0" w:hanging="400"/>
        <w:jc w:val="left"/>
        <w:rPr>
          <w:rFonts w:ascii="Times New Roman" w:hAnsi="Times New Roman" w:eastAsia="Times New Roman"/>
          <w:sz w:val="24"/>
        </w:rPr>
      </w:pPr>
      <w:r>
        <w:rPr>
          <w:sz w:val="24"/>
        </w:rPr>
        <w:t>钟思嘉等</w:t>
      </w:r>
      <w:r>
        <w:rPr>
          <w:rFonts w:ascii="Times New Roman" w:hAnsi="Times New Roman" w:eastAsia="Times New Roman"/>
          <w:sz w:val="24"/>
        </w:rPr>
        <w:t>.</w:t>
      </w:r>
      <w:r>
        <w:rPr>
          <w:sz w:val="24"/>
        </w:rPr>
        <w:t>咨询与心理治疗</w:t>
      </w:r>
      <w:r>
        <w:rPr>
          <w:rFonts w:ascii="Times New Roman" w:hAnsi="Times New Roman" w:eastAsia="Times New Roman"/>
          <w:sz w:val="24"/>
        </w:rPr>
        <w:t>——</w:t>
      </w:r>
      <w:r>
        <w:rPr>
          <w:sz w:val="24"/>
        </w:rPr>
        <w:t>理论与应用</w:t>
      </w:r>
      <w:r>
        <w:rPr>
          <w:rFonts w:ascii="Times New Roman" w:hAnsi="Times New Roman" w:eastAsia="Times New Roman"/>
          <w:sz w:val="24"/>
        </w:rPr>
        <w:t>[M].</w:t>
      </w:r>
      <w:r>
        <w:rPr>
          <w:sz w:val="24"/>
        </w:rPr>
        <w:t>台北：大洋出版社，</w:t>
      </w:r>
      <w:r>
        <w:rPr>
          <w:rFonts w:ascii="Times New Roman" w:hAnsi="Times New Roman" w:eastAsia="Times New Roman"/>
          <w:sz w:val="24"/>
        </w:rPr>
        <w:t>1985.</w:t>
      </w:r>
    </w:p>
    <w:p>
      <w:pPr>
        <w:pStyle w:val="ListParagraph"/>
        <w:numPr>
          <w:ilvl w:val="0"/>
          <w:numId w:val="51"/>
        </w:numPr>
        <w:tabs>
          <w:tab w:pos="1719" w:val="left" w:leader="none"/>
        </w:tabs>
        <w:spacing w:line="240" w:lineRule="auto" w:before="161" w:after="0"/>
        <w:ind w:left="1718" w:right="0" w:hanging="400"/>
        <w:jc w:val="left"/>
        <w:rPr>
          <w:rFonts w:ascii="Times New Roman" w:hAnsi="Times New Roman" w:eastAsia="Times New Roman"/>
          <w:sz w:val="24"/>
        </w:rPr>
      </w:pPr>
      <w:r>
        <w:rPr>
          <w:sz w:val="24"/>
        </w:rPr>
        <w:t>黄天中</w:t>
      </w:r>
      <w:r>
        <w:rPr>
          <w:rFonts w:ascii="Times New Roman" w:hAnsi="Times New Roman" w:eastAsia="Times New Roman"/>
          <w:sz w:val="24"/>
        </w:rPr>
        <w:t>.</w:t>
      </w:r>
      <w:r>
        <w:rPr>
          <w:sz w:val="24"/>
        </w:rPr>
        <w:t>生涯规划</w:t>
      </w:r>
      <w:r>
        <w:rPr>
          <w:rFonts w:ascii="Times New Roman" w:hAnsi="Times New Roman" w:eastAsia="Times New Roman"/>
          <w:sz w:val="24"/>
        </w:rPr>
        <w:t>——</w:t>
      </w:r>
      <w:r>
        <w:rPr>
          <w:sz w:val="24"/>
        </w:rPr>
        <w:t>体验式学习</w:t>
      </w:r>
      <w:r>
        <w:rPr>
          <w:rFonts w:ascii="Times New Roman" w:hAnsi="Times New Roman" w:eastAsia="Times New Roman"/>
          <w:sz w:val="24"/>
        </w:rPr>
        <w:t>[M].</w:t>
      </w:r>
      <w:r>
        <w:rPr>
          <w:sz w:val="24"/>
        </w:rPr>
        <w:t>北京</w:t>
      </w:r>
      <w:r>
        <w:rPr>
          <w:rFonts w:ascii="Times New Roman" w:hAnsi="Times New Roman" w:eastAsia="Times New Roman"/>
          <w:sz w:val="24"/>
        </w:rPr>
        <w:t>:</w:t>
      </w:r>
      <w:r>
        <w:rPr>
          <w:sz w:val="24"/>
        </w:rPr>
        <w:t>高等教育出版社，</w:t>
      </w:r>
      <w:r>
        <w:rPr>
          <w:rFonts w:ascii="Times New Roman" w:hAnsi="Times New Roman" w:eastAsia="Times New Roman"/>
          <w:sz w:val="24"/>
        </w:rPr>
        <w:t>2009.</w:t>
      </w:r>
    </w:p>
    <w:p>
      <w:pPr>
        <w:pStyle w:val="BodyText"/>
        <w:spacing w:before="7"/>
        <w:rPr>
          <w:rFonts w:ascii="Times New Roman"/>
          <w:sz w:val="20"/>
        </w:rPr>
      </w:pPr>
    </w:p>
    <w:p>
      <w:pPr>
        <w:pStyle w:val="ListParagraph"/>
        <w:numPr>
          <w:ilvl w:val="0"/>
          <w:numId w:val="51"/>
        </w:numPr>
        <w:tabs>
          <w:tab w:pos="1719" w:val="left" w:leader="none"/>
        </w:tabs>
        <w:spacing w:line="240" w:lineRule="auto" w:before="0" w:after="0"/>
        <w:ind w:left="1718" w:right="0" w:hanging="399"/>
        <w:jc w:val="left"/>
        <w:rPr>
          <w:rFonts w:ascii="Times New Roman" w:eastAsia="Times New Roman"/>
          <w:sz w:val="24"/>
        </w:rPr>
      </w:pPr>
      <w:r>
        <w:rPr>
          <w:sz w:val="24"/>
        </w:rPr>
        <w:t>郭兆年等</w:t>
      </w:r>
      <w:r>
        <w:rPr>
          <w:rFonts w:ascii="Times New Roman" w:eastAsia="Times New Roman"/>
          <w:sz w:val="24"/>
        </w:rPr>
        <w:t>.</w:t>
      </w:r>
      <w:r>
        <w:rPr>
          <w:sz w:val="24"/>
        </w:rPr>
        <w:t>高中生涯发展指导</w:t>
      </w:r>
      <w:r>
        <w:rPr>
          <w:rFonts w:ascii="Times New Roman" w:eastAsia="Times New Roman"/>
          <w:sz w:val="24"/>
        </w:rPr>
        <w:t>[M].</w:t>
      </w:r>
      <w:r>
        <w:rPr>
          <w:sz w:val="24"/>
        </w:rPr>
        <w:t>上海：华东师范大学出版社，</w:t>
      </w:r>
      <w:r>
        <w:rPr>
          <w:rFonts w:ascii="Times New Roman" w:eastAsia="Times New Roman"/>
          <w:sz w:val="24"/>
        </w:rPr>
        <w:t>2010.</w:t>
      </w:r>
    </w:p>
    <w:p>
      <w:pPr>
        <w:pStyle w:val="ListParagraph"/>
        <w:numPr>
          <w:ilvl w:val="0"/>
          <w:numId w:val="51"/>
        </w:numPr>
        <w:tabs>
          <w:tab w:pos="1719" w:val="left" w:leader="none"/>
        </w:tabs>
        <w:spacing w:line="240" w:lineRule="auto" w:before="161" w:after="0"/>
        <w:ind w:left="1718" w:right="0" w:hanging="400"/>
        <w:jc w:val="left"/>
        <w:rPr>
          <w:rFonts w:ascii="Times New Roman" w:eastAsia="Times New Roman"/>
          <w:sz w:val="24"/>
        </w:rPr>
      </w:pPr>
      <w:r>
        <w:rPr>
          <w:sz w:val="24"/>
        </w:rPr>
        <w:t>赵楠，施晨越</w:t>
      </w:r>
      <w:r>
        <w:rPr>
          <w:rFonts w:ascii="Times New Roman" w:eastAsia="Times New Roman"/>
          <w:sz w:val="24"/>
        </w:rPr>
        <w:t>.</w:t>
      </w:r>
      <w:r>
        <w:rPr>
          <w:sz w:val="24"/>
        </w:rPr>
        <w:t>职业生涯开发与管理操作手册</w:t>
      </w:r>
      <w:r>
        <w:rPr>
          <w:rFonts w:ascii="Times New Roman" w:eastAsia="Times New Roman"/>
          <w:sz w:val="24"/>
        </w:rPr>
        <w:t>[M].</w:t>
      </w:r>
      <w:r>
        <w:rPr>
          <w:sz w:val="24"/>
        </w:rPr>
        <w:t>北京：经济出版社，</w:t>
      </w:r>
      <w:r>
        <w:rPr>
          <w:rFonts w:ascii="Times New Roman" w:eastAsia="Times New Roman"/>
          <w:sz w:val="24"/>
        </w:rPr>
        <w:t>2006.</w:t>
      </w:r>
    </w:p>
    <w:p>
      <w:pPr>
        <w:pStyle w:val="ListParagraph"/>
        <w:numPr>
          <w:ilvl w:val="0"/>
          <w:numId w:val="51"/>
        </w:numPr>
        <w:tabs>
          <w:tab w:pos="1719" w:val="left" w:leader="none"/>
        </w:tabs>
        <w:spacing w:line="240" w:lineRule="auto" w:before="81" w:after="0"/>
        <w:ind w:left="1718" w:right="0" w:hanging="400"/>
        <w:jc w:val="left"/>
        <w:rPr>
          <w:rFonts w:ascii="Times New Roman" w:eastAsia="Times New Roman"/>
          <w:sz w:val="24"/>
        </w:rPr>
      </w:pPr>
      <w:r>
        <w:rPr>
          <w:sz w:val="24"/>
        </w:rPr>
        <w:t>台湾教育部</w:t>
      </w:r>
      <w:r>
        <w:rPr>
          <w:rFonts w:ascii="Times New Roman" w:eastAsia="Times New Roman"/>
          <w:sz w:val="24"/>
        </w:rPr>
        <w:t>.</w:t>
      </w:r>
      <w:r>
        <w:rPr>
          <w:sz w:val="24"/>
        </w:rPr>
        <w:t>十二年国民基本教育课程总纲</w:t>
      </w:r>
      <w:r>
        <w:rPr>
          <w:rFonts w:ascii="Times New Roman" w:eastAsia="Times New Roman"/>
          <w:sz w:val="24"/>
        </w:rPr>
        <w:t>[M].</w:t>
      </w:r>
      <w:r>
        <w:rPr>
          <w:sz w:val="24"/>
        </w:rPr>
        <w:t>台湾：台湾教育部，</w:t>
      </w:r>
      <w:r>
        <w:rPr>
          <w:rFonts w:ascii="Times New Roman" w:eastAsia="Times New Roman"/>
          <w:sz w:val="24"/>
        </w:rPr>
        <w:t>2014.</w:t>
      </w:r>
    </w:p>
    <w:p>
      <w:pPr>
        <w:pStyle w:val="ListParagraph"/>
        <w:numPr>
          <w:ilvl w:val="0"/>
          <w:numId w:val="51"/>
        </w:numPr>
        <w:tabs>
          <w:tab w:pos="1719" w:val="left" w:leader="none"/>
        </w:tabs>
        <w:spacing w:line="240" w:lineRule="auto" w:before="158" w:after="0"/>
        <w:ind w:left="1718" w:right="0" w:hanging="400"/>
        <w:jc w:val="left"/>
        <w:rPr>
          <w:rFonts w:ascii="Times New Roman" w:eastAsia="Times New Roman"/>
          <w:sz w:val="24"/>
        </w:rPr>
      </w:pPr>
      <w:r>
        <w:rPr>
          <w:sz w:val="24"/>
        </w:rPr>
        <w:t>陈旭远</w:t>
      </w:r>
      <w:r>
        <w:rPr>
          <w:rFonts w:ascii="Times New Roman" w:eastAsia="Times New Roman"/>
          <w:sz w:val="24"/>
        </w:rPr>
        <w:t>.</w:t>
      </w:r>
      <w:r>
        <w:rPr>
          <w:sz w:val="24"/>
        </w:rPr>
        <w:t>理解普通高中新课程</w:t>
      </w:r>
      <w:r>
        <w:rPr>
          <w:rFonts w:ascii="Times New Roman" w:eastAsia="Times New Roman"/>
          <w:sz w:val="24"/>
        </w:rPr>
        <w:t>[M].</w:t>
      </w:r>
      <w:r>
        <w:rPr>
          <w:sz w:val="24"/>
        </w:rPr>
        <w:t>辽宁：东北师范大学出版社，</w:t>
      </w:r>
      <w:r>
        <w:rPr>
          <w:rFonts w:ascii="Times New Roman" w:eastAsia="Times New Roman"/>
          <w:sz w:val="24"/>
        </w:rPr>
        <w:t>2004.</w:t>
      </w:r>
    </w:p>
    <w:p>
      <w:pPr>
        <w:pStyle w:val="ListParagraph"/>
        <w:numPr>
          <w:ilvl w:val="0"/>
          <w:numId w:val="51"/>
        </w:numPr>
        <w:tabs>
          <w:tab w:pos="1839" w:val="left" w:leader="none"/>
        </w:tabs>
        <w:spacing w:line="240" w:lineRule="auto" w:before="161" w:after="0"/>
        <w:ind w:left="1838" w:right="0" w:hanging="520"/>
        <w:jc w:val="left"/>
        <w:rPr>
          <w:rFonts w:ascii="Times New Roman" w:eastAsia="Times New Roman"/>
          <w:sz w:val="24"/>
        </w:rPr>
      </w:pPr>
      <w:r>
        <w:rPr>
          <w:sz w:val="24"/>
        </w:rPr>
        <w:t>钟启泉</w:t>
      </w:r>
      <w:r>
        <w:rPr>
          <w:rFonts w:ascii="Times New Roman" w:eastAsia="Times New Roman"/>
          <w:sz w:val="24"/>
        </w:rPr>
        <w:t>.</w:t>
      </w:r>
      <w:r>
        <w:rPr>
          <w:sz w:val="24"/>
        </w:rPr>
        <w:t>普通高中新课程方案导读</w:t>
      </w:r>
      <w:r>
        <w:rPr>
          <w:rFonts w:ascii="Times New Roman" w:eastAsia="Times New Roman"/>
          <w:sz w:val="24"/>
        </w:rPr>
        <w:t>[M].</w:t>
      </w:r>
      <w:r>
        <w:rPr>
          <w:sz w:val="24"/>
        </w:rPr>
        <w:t>上海：华东师范大学出版社，</w:t>
      </w:r>
      <w:r>
        <w:rPr>
          <w:rFonts w:ascii="Times New Roman" w:eastAsia="Times New Roman"/>
          <w:sz w:val="24"/>
        </w:rPr>
        <w:t>2003.</w:t>
      </w:r>
    </w:p>
    <w:p>
      <w:pPr>
        <w:pStyle w:val="ListParagraph"/>
        <w:numPr>
          <w:ilvl w:val="0"/>
          <w:numId w:val="51"/>
        </w:numPr>
        <w:tabs>
          <w:tab w:pos="1829" w:val="left" w:leader="none"/>
        </w:tabs>
        <w:spacing w:line="240" w:lineRule="auto" w:before="158" w:after="0"/>
        <w:ind w:left="1828" w:right="0" w:hanging="510"/>
        <w:jc w:val="left"/>
        <w:rPr>
          <w:rFonts w:ascii="Times New Roman" w:eastAsia="Times New Roman"/>
          <w:sz w:val="24"/>
        </w:rPr>
      </w:pPr>
      <w:r>
        <w:rPr>
          <w:sz w:val="24"/>
        </w:rPr>
        <w:t>朱益明</w:t>
      </w:r>
      <w:r>
        <w:rPr>
          <w:rFonts w:ascii="Times New Roman" w:eastAsia="Times New Roman"/>
          <w:sz w:val="24"/>
        </w:rPr>
        <w:t>.</w:t>
      </w:r>
      <w:r>
        <w:rPr>
          <w:sz w:val="24"/>
        </w:rPr>
        <w:t>普通高中发展指导研究</w:t>
      </w:r>
      <w:r>
        <w:rPr>
          <w:rFonts w:ascii="Times New Roman" w:eastAsia="Times New Roman"/>
          <w:sz w:val="24"/>
        </w:rPr>
        <w:t>[M].</w:t>
      </w:r>
      <w:r>
        <w:rPr>
          <w:sz w:val="24"/>
        </w:rPr>
        <w:t>上海：华东师范大学出版社，</w:t>
      </w:r>
      <w:r>
        <w:rPr>
          <w:rFonts w:ascii="Times New Roman" w:eastAsia="Times New Roman"/>
          <w:sz w:val="24"/>
        </w:rPr>
        <w:t>2013.</w:t>
      </w:r>
    </w:p>
    <w:p>
      <w:pPr>
        <w:pStyle w:val="ListParagraph"/>
        <w:numPr>
          <w:ilvl w:val="0"/>
          <w:numId w:val="52"/>
        </w:numPr>
        <w:tabs>
          <w:tab w:pos="1829" w:val="left" w:leader="none"/>
        </w:tabs>
        <w:spacing w:line="240" w:lineRule="auto" w:before="160" w:after="0"/>
        <w:ind w:left="1828" w:right="0" w:hanging="510"/>
        <w:jc w:val="left"/>
        <w:rPr>
          <w:rFonts w:ascii="Times New Roman" w:eastAsia="Times New Roman"/>
          <w:sz w:val="24"/>
        </w:rPr>
      </w:pPr>
      <w:r>
        <w:rPr>
          <w:sz w:val="24"/>
        </w:rPr>
        <w:t>林崇德</w:t>
      </w:r>
      <w:r>
        <w:rPr>
          <w:rFonts w:ascii="Times New Roman" w:eastAsia="Times New Roman"/>
          <w:sz w:val="24"/>
        </w:rPr>
        <w:t>.21</w:t>
      </w:r>
      <w:r>
        <w:rPr>
          <w:rFonts w:ascii="Times New Roman" w:eastAsia="Times New Roman"/>
          <w:spacing w:val="-24"/>
          <w:sz w:val="24"/>
        </w:rPr>
        <w:t> </w:t>
      </w:r>
      <w:r>
        <w:rPr>
          <w:sz w:val="24"/>
        </w:rPr>
        <w:t>世纪学生发展核心素养研究</w:t>
      </w:r>
      <w:r>
        <w:rPr>
          <w:rFonts w:ascii="Times New Roman" w:eastAsia="Times New Roman"/>
          <w:sz w:val="24"/>
        </w:rPr>
        <w:t>[M].</w:t>
      </w:r>
      <w:r>
        <w:rPr>
          <w:sz w:val="24"/>
        </w:rPr>
        <w:t>北京</w:t>
      </w:r>
      <w:r>
        <w:rPr>
          <w:rFonts w:ascii="Times New Roman" w:eastAsia="Times New Roman"/>
          <w:spacing w:val="29"/>
          <w:sz w:val="24"/>
        </w:rPr>
        <w:t>: </w:t>
      </w:r>
      <w:r>
        <w:rPr>
          <w:sz w:val="24"/>
        </w:rPr>
        <w:t>北京师范大学出版社</w:t>
      </w:r>
      <w:r>
        <w:rPr>
          <w:rFonts w:ascii="Times New Roman" w:eastAsia="Times New Roman"/>
          <w:sz w:val="24"/>
        </w:rPr>
        <w:t>,2016.</w:t>
      </w:r>
    </w:p>
    <w:p>
      <w:pPr>
        <w:pStyle w:val="ListParagraph"/>
        <w:numPr>
          <w:ilvl w:val="0"/>
          <w:numId w:val="52"/>
        </w:numPr>
        <w:tabs>
          <w:tab w:pos="1839" w:val="left" w:leader="none"/>
        </w:tabs>
        <w:spacing w:line="240" w:lineRule="auto" w:before="161" w:after="0"/>
        <w:ind w:left="1838" w:right="0" w:hanging="520"/>
        <w:jc w:val="left"/>
        <w:rPr>
          <w:rFonts w:ascii="Times New Roman" w:hAnsi="Times New Roman" w:eastAsia="Times New Roman"/>
          <w:sz w:val="24"/>
        </w:rPr>
      </w:pPr>
      <w:r>
        <w:rPr>
          <w:rFonts w:ascii="Times New Roman" w:hAnsi="Times New Roman" w:eastAsia="Times New Roman"/>
          <w:sz w:val="24"/>
        </w:rPr>
        <w:t>[</w:t>
      </w:r>
      <w:r>
        <w:rPr>
          <w:sz w:val="24"/>
        </w:rPr>
        <w:t>美</w:t>
      </w:r>
      <w:r>
        <w:rPr>
          <w:rFonts w:ascii="Times New Roman" w:hAnsi="Times New Roman" w:eastAsia="Times New Roman"/>
          <w:sz w:val="24"/>
        </w:rPr>
        <w:t>].</w:t>
      </w:r>
      <w:r>
        <w:rPr>
          <w:sz w:val="24"/>
        </w:rPr>
        <w:t>库伯著，王灿明等译</w:t>
      </w:r>
      <w:r>
        <w:rPr>
          <w:rFonts w:ascii="Times New Roman" w:hAnsi="Times New Roman" w:eastAsia="Times New Roman"/>
          <w:sz w:val="24"/>
        </w:rPr>
        <w:t>.</w:t>
      </w:r>
      <w:r>
        <w:rPr>
          <w:sz w:val="24"/>
        </w:rPr>
        <w:t>体验学习</w:t>
      </w:r>
      <w:r>
        <w:rPr>
          <w:rFonts w:ascii="Times New Roman" w:hAnsi="Times New Roman" w:eastAsia="Times New Roman"/>
          <w:sz w:val="24"/>
        </w:rPr>
        <w:t>——</w:t>
      </w:r>
      <w:r>
        <w:rPr>
          <w:sz w:val="24"/>
        </w:rPr>
        <w:t>让体验成为学习和发展的源泉</w:t>
      </w:r>
      <w:r>
        <w:rPr>
          <w:rFonts w:ascii="Times New Roman" w:hAnsi="Times New Roman" w:eastAsia="Times New Roman"/>
          <w:sz w:val="24"/>
        </w:rPr>
        <w:t>[M].</w:t>
      </w:r>
    </w:p>
    <w:p>
      <w:pPr>
        <w:pStyle w:val="BodyText"/>
        <w:spacing w:before="158"/>
        <w:ind w:left="1319"/>
        <w:rPr>
          <w:rFonts w:ascii="Times New Roman" w:eastAsia="Times New Roman"/>
        </w:rPr>
      </w:pPr>
      <w:r>
        <w:rPr/>
        <w:t>上海：华东师范大学出版社，</w:t>
      </w:r>
      <w:r>
        <w:rPr>
          <w:rFonts w:ascii="Times New Roman" w:eastAsia="Times New Roman"/>
        </w:rPr>
        <w:t>2008.</w:t>
      </w:r>
    </w:p>
    <w:p>
      <w:pPr>
        <w:pStyle w:val="ListParagraph"/>
        <w:numPr>
          <w:ilvl w:val="0"/>
          <w:numId w:val="52"/>
        </w:numPr>
        <w:tabs>
          <w:tab w:pos="1839" w:val="left" w:leader="none"/>
        </w:tabs>
        <w:spacing w:line="240" w:lineRule="auto" w:before="160" w:after="0"/>
        <w:ind w:left="1838" w:right="0" w:hanging="520"/>
        <w:jc w:val="left"/>
        <w:rPr>
          <w:rFonts w:ascii="Times New Roman" w:eastAsia="Times New Roman"/>
          <w:sz w:val="24"/>
        </w:rPr>
      </w:pPr>
      <w:r>
        <w:rPr>
          <w:sz w:val="24"/>
        </w:rPr>
        <w:t>邓宏宝</w:t>
      </w:r>
      <w:r>
        <w:rPr>
          <w:rFonts w:ascii="Times New Roman" w:eastAsia="Times New Roman"/>
          <w:sz w:val="24"/>
        </w:rPr>
        <w:t>.</w:t>
      </w:r>
      <w:r>
        <w:rPr>
          <w:sz w:val="24"/>
        </w:rPr>
        <w:t>国外中学生生涯教育课程实施</w:t>
      </w:r>
      <w:r>
        <w:rPr>
          <w:rFonts w:ascii="Times New Roman" w:eastAsia="Times New Roman"/>
          <w:sz w:val="24"/>
        </w:rPr>
        <w:t>:</w:t>
      </w:r>
      <w:r>
        <w:rPr>
          <w:sz w:val="24"/>
        </w:rPr>
        <w:t>经验与启示</w:t>
      </w:r>
      <w:r>
        <w:rPr>
          <w:rFonts w:ascii="Times New Roman" w:eastAsia="Times New Roman"/>
          <w:sz w:val="24"/>
        </w:rPr>
        <w:t>[J].</w:t>
      </w:r>
      <w:r>
        <w:rPr>
          <w:sz w:val="24"/>
        </w:rPr>
        <w:t>外国中小学教</w:t>
      </w:r>
      <w:r>
        <w:rPr>
          <w:rFonts w:ascii="Times New Roman" w:eastAsia="Times New Roman"/>
          <w:sz w:val="24"/>
        </w:rPr>
        <w:t>,2013.</w:t>
      </w:r>
    </w:p>
    <w:p>
      <w:pPr>
        <w:pStyle w:val="ListParagraph"/>
        <w:numPr>
          <w:ilvl w:val="0"/>
          <w:numId w:val="52"/>
        </w:numPr>
        <w:tabs>
          <w:tab w:pos="1839" w:val="left" w:leader="none"/>
        </w:tabs>
        <w:spacing w:line="240" w:lineRule="auto" w:before="159" w:after="0"/>
        <w:ind w:left="1838" w:right="0" w:hanging="520"/>
        <w:jc w:val="left"/>
        <w:rPr>
          <w:rFonts w:ascii="Times New Roman" w:eastAsia="Times New Roman"/>
          <w:sz w:val="24"/>
        </w:rPr>
      </w:pPr>
      <w:r>
        <w:rPr>
          <w:sz w:val="24"/>
        </w:rPr>
        <w:t>于珍</w:t>
      </w:r>
      <w:r>
        <w:rPr>
          <w:rFonts w:ascii="Times New Roman" w:eastAsia="Times New Roman"/>
          <w:sz w:val="24"/>
        </w:rPr>
        <w:t>.</w:t>
      </w:r>
      <w:r>
        <w:rPr>
          <w:sz w:val="24"/>
        </w:rPr>
        <w:t>中小学生涯教育</w:t>
      </w:r>
      <w:r>
        <w:rPr>
          <w:rFonts w:ascii="Times New Roman" w:eastAsia="Times New Roman"/>
          <w:sz w:val="24"/>
        </w:rPr>
        <w:t>:</w:t>
      </w:r>
      <w:r>
        <w:rPr>
          <w:sz w:val="24"/>
        </w:rPr>
        <w:t>来自美国的经验与启示</w:t>
      </w:r>
      <w:r>
        <w:rPr>
          <w:rFonts w:ascii="Times New Roman" w:eastAsia="Times New Roman"/>
          <w:sz w:val="24"/>
        </w:rPr>
        <w:t>[J].</w:t>
      </w:r>
      <w:r>
        <w:rPr>
          <w:sz w:val="24"/>
        </w:rPr>
        <w:t>外国中小学教育</w:t>
      </w:r>
      <w:r>
        <w:rPr>
          <w:rFonts w:ascii="Times New Roman" w:eastAsia="Times New Roman"/>
          <w:spacing w:val="-7"/>
          <w:sz w:val="24"/>
        </w:rPr>
        <w:t>,2008</w:t>
      </w:r>
      <w:r>
        <w:rPr>
          <w:spacing w:val="-7"/>
          <w:sz w:val="24"/>
        </w:rPr>
        <w:t>（</w:t>
      </w:r>
      <w:r>
        <w:rPr>
          <w:rFonts w:ascii="Times New Roman" w:eastAsia="Times New Roman"/>
          <w:spacing w:val="-7"/>
          <w:sz w:val="24"/>
        </w:rPr>
        <w:t>3</w:t>
      </w:r>
      <w:r>
        <w:rPr>
          <w:spacing w:val="-7"/>
          <w:sz w:val="24"/>
        </w:rPr>
        <w:t>）</w:t>
      </w:r>
      <w:r>
        <w:rPr>
          <w:rFonts w:ascii="Times New Roman" w:eastAsia="Times New Roman"/>
          <w:spacing w:val="-7"/>
          <w:sz w:val="24"/>
        </w:rPr>
        <w:t>.</w:t>
      </w:r>
    </w:p>
    <w:p>
      <w:pPr>
        <w:pStyle w:val="ListParagraph"/>
        <w:numPr>
          <w:ilvl w:val="0"/>
          <w:numId w:val="52"/>
        </w:numPr>
        <w:tabs>
          <w:tab w:pos="1839" w:val="left" w:leader="none"/>
        </w:tabs>
        <w:spacing w:line="240" w:lineRule="auto" w:before="160" w:after="0"/>
        <w:ind w:left="1838" w:right="0" w:hanging="520"/>
        <w:jc w:val="left"/>
        <w:rPr>
          <w:rFonts w:ascii="Times New Roman" w:eastAsia="Times New Roman"/>
          <w:sz w:val="24"/>
        </w:rPr>
      </w:pPr>
      <w:r>
        <w:rPr>
          <w:sz w:val="24"/>
        </w:rPr>
        <w:t>朱凌云</w:t>
      </w:r>
      <w:r>
        <w:rPr>
          <w:rFonts w:ascii="Times New Roman" w:eastAsia="Times New Roman"/>
          <w:sz w:val="24"/>
        </w:rPr>
        <w:t>.</w:t>
      </w:r>
      <w:r>
        <w:rPr>
          <w:sz w:val="24"/>
        </w:rPr>
        <w:t>新西兰中小学生涯教育的特点</w:t>
      </w:r>
      <w:r>
        <w:rPr>
          <w:rFonts w:ascii="Times New Roman" w:eastAsia="Times New Roman"/>
          <w:sz w:val="24"/>
        </w:rPr>
        <w:t>[J].</w:t>
      </w:r>
      <w:r>
        <w:rPr>
          <w:sz w:val="24"/>
        </w:rPr>
        <w:t>外国教育研究，</w:t>
      </w:r>
      <w:r>
        <w:rPr>
          <w:rFonts w:ascii="Times New Roman" w:eastAsia="Times New Roman"/>
          <w:sz w:val="24"/>
        </w:rPr>
        <w:t>2013</w:t>
      </w:r>
      <w:r>
        <w:rPr>
          <w:sz w:val="24"/>
        </w:rPr>
        <w:t>（</w:t>
      </w:r>
      <w:r>
        <w:rPr>
          <w:rFonts w:ascii="Times New Roman" w:eastAsia="Times New Roman"/>
          <w:sz w:val="24"/>
        </w:rPr>
        <w:t>8</w:t>
      </w:r>
      <w:r>
        <w:rPr>
          <w:sz w:val="24"/>
        </w:rPr>
        <w:t>）</w:t>
      </w:r>
      <w:r>
        <w:rPr>
          <w:rFonts w:ascii="Times New Roman" w:eastAsia="Times New Roman"/>
          <w:sz w:val="24"/>
        </w:rPr>
        <w:t>.</w:t>
      </w:r>
    </w:p>
    <w:p>
      <w:pPr>
        <w:pStyle w:val="ListParagraph"/>
        <w:numPr>
          <w:ilvl w:val="0"/>
          <w:numId w:val="52"/>
        </w:numPr>
        <w:tabs>
          <w:tab w:pos="1839" w:val="left" w:leader="none"/>
        </w:tabs>
        <w:spacing w:line="240" w:lineRule="auto" w:before="158" w:after="0"/>
        <w:ind w:left="1838" w:right="0" w:hanging="520"/>
        <w:jc w:val="left"/>
        <w:rPr>
          <w:rFonts w:ascii="Times New Roman" w:eastAsia="Times New Roman"/>
          <w:sz w:val="24"/>
        </w:rPr>
      </w:pPr>
      <w:r>
        <w:rPr>
          <w:sz w:val="24"/>
        </w:rPr>
        <w:t>刘晓倩</w:t>
      </w:r>
      <w:r>
        <w:rPr>
          <w:rFonts w:ascii="Times New Roman" w:eastAsia="Times New Roman"/>
          <w:sz w:val="24"/>
        </w:rPr>
        <w:t>.</w:t>
      </w:r>
      <w:r>
        <w:rPr>
          <w:sz w:val="24"/>
        </w:rPr>
        <w:t>英国中学生涯教育述评</w:t>
      </w:r>
      <w:r>
        <w:rPr>
          <w:rFonts w:ascii="Times New Roman" w:eastAsia="Times New Roman"/>
          <w:sz w:val="24"/>
        </w:rPr>
        <w:t>[J].</w:t>
      </w:r>
      <w:r>
        <w:rPr>
          <w:sz w:val="24"/>
        </w:rPr>
        <w:t>外国中小学教育，</w:t>
      </w:r>
      <w:r>
        <w:rPr>
          <w:rFonts w:ascii="Times New Roman" w:eastAsia="Times New Roman"/>
          <w:sz w:val="24"/>
        </w:rPr>
        <w:t>2014</w:t>
      </w:r>
      <w:r>
        <w:rPr>
          <w:sz w:val="24"/>
        </w:rPr>
        <w:t>（</w:t>
      </w:r>
      <w:r>
        <w:rPr>
          <w:rFonts w:ascii="Times New Roman" w:eastAsia="Times New Roman"/>
          <w:sz w:val="24"/>
        </w:rPr>
        <w:t>06</w:t>
      </w:r>
      <w:r>
        <w:rPr>
          <w:sz w:val="24"/>
        </w:rPr>
        <w:t>）</w:t>
      </w:r>
      <w:r>
        <w:rPr>
          <w:rFonts w:ascii="Times New Roman" w:eastAsia="Times New Roman"/>
          <w:sz w:val="24"/>
        </w:rPr>
        <w:t>.</w:t>
      </w:r>
    </w:p>
    <w:p>
      <w:pPr>
        <w:pStyle w:val="ListParagraph"/>
        <w:numPr>
          <w:ilvl w:val="0"/>
          <w:numId w:val="52"/>
        </w:numPr>
        <w:tabs>
          <w:tab w:pos="1839" w:val="left" w:leader="none"/>
        </w:tabs>
        <w:spacing w:line="240" w:lineRule="auto" w:before="161" w:after="0"/>
        <w:ind w:left="1838" w:right="0" w:hanging="520"/>
        <w:jc w:val="left"/>
        <w:rPr>
          <w:rFonts w:ascii="Times New Roman" w:eastAsia="Times New Roman"/>
          <w:sz w:val="24"/>
        </w:rPr>
      </w:pPr>
      <w:r>
        <w:rPr>
          <w:sz w:val="24"/>
        </w:rPr>
        <w:t>尤敬党</w:t>
      </w:r>
      <w:r>
        <w:rPr>
          <w:rFonts w:ascii="Times New Roman" w:eastAsia="Times New Roman"/>
          <w:sz w:val="24"/>
        </w:rPr>
        <w:t>,</w:t>
      </w:r>
      <w:r>
        <w:rPr>
          <w:sz w:val="24"/>
        </w:rPr>
        <w:t>吴大同</w:t>
      </w:r>
      <w:r>
        <w:rPr>
          <w:rFonts w:ascii="Times New Roman" w:eastAsia="Times New Roman"/>
          <w:sz w:val="24"/>
        </w:rPr>
        <w:t>.</w:t>
      </w:r>
      <w:r>
        <w:rPr>
          <w:sz w:val="24"/>
        </w:rPr>
        <w:t>生涯教育论</w:t>
      </w:r>
      <w:r>
        <w:rPr>
          <w:rFonts w:ascii="Times New Roman" w:eastAsia="Times New Roman"/>
          <w:sz w:val="24"/>
        </w:rPr>
        <w:t>[J].</w:t>
      </w:r>
      <w:r>
        <w:rPr>
          <w:sz w:val="24"/>
        </w:rPr>
        <w:t>江苏教育学院</w:t>
      </w:r>
      <w:r>
        <w:rPr>
          <w:rFonts w:ascii="Times New Roman" w:eastAsia="Times New Roman"/>
          <w:sz w:val="24"/>
        </w:rPr>
        <w:t>(</w:t>
      </w:r>
      <w:r>
        <w:rPr>
          <w:sz w:val="24"/>
        </w:rPr>
        <w:t>社会科学版</w:t>
      </w:r>
      <w:r>
        <w:rPr>
          <w:rFonts w:ascii="Times New Roman" w:eastAsia="Times New Roman"/>
          <w:sz w:val="24"/>
        </w:rPr>
        <w:t>)</w:t>
      </w:r>
      <w:r>
        <w:rPr>
          <w:sz w:val="24"/>
        </w:rPr>
        <w:t>，</w:t>
      </w:r>
      <w:r>
        <w:rPr>
          <w:rFonts w:ascii="Times New Roman" w:eastAsia="Times New Roman"/>
          <w:sz w:val="24"/>
        </w:rPr>
        <w:t>20</w:t>
      </w:r>
      <w:r>
        <w:rPr>
          <w:sz w:val="24"/>
        </w:rPr>
        <w:t>（</w:t>
      </w:r>
      <w:r>
        <w:rPr>
          <w:rFonts w:ascii="Times New Roman" w:eastAsia="Times New Roman"/>
          <w:sz w:val="24"/>
        </w:rPr>
        <w:t>1</w:t>
      </w:r>
      <w:r>
        <w:rPr>
          <w:sz w:val="24"/>
        </w:rPr>
        <w:t>）</w:t>
      </w:r>
      <w:r>
        <w:rPr>
          <w:rFonts w:ascii="Times New Roman" w:eastAsia="Times New Roman"/>
          <w:sz w:val="24"/>
        </w:rPr>
        <w:t>.</w:t>
      </w:r>
    </w:p>
    <w:p>
      <w:pPr>
        <w:pStyle w:val="ListParagraph"/>
        <w:numPr>
          <w:ilvl w:val="0"/>
          <w:numId w:val="52"/>
        </w:numPr>
        <w:tabs>
          <w:tab w:pos="1839" w:val="left" w:leader="none"/>
        </w:tabs>
        <w:spacing w:line="240" w:lineRule="auto" w:before="158" w:after="0"/>
        <w:ind w:left="1838" w:right="0" w:hanging="520"/>
        <w:jc w:val="left"/>
        <w:rPr>
          <w:rFonts w:ascii="Times New Roman" w:eastAsia="Times New Roman"/>
          <w:sz w:val="24"/>
        </w:rPr>
      </w:pPr>
      <w:r>
        <w:rPr>
          <w:sz w:val="24"/>
        </w:rPr>
        <w:t>刘静</w:t>
      </w:r>
      <w:r>
        <w:rPr>
          <w:rFonts w:ascii="Times New Roman" w:eastAsia="Times New Roman"/>
          <w:sz w:val="24"/>
        </w:rPr>
        <w:t>.</w:t>
      </w:r>
      <w:r>
        <w:rPr>
          <w:sz w:val="24"/>
        </w:rPr>
        <w:t>高考改革背景下高中生涯规划教育的重新审视</w:t>
      </w:r>
      <w:r>
        <w:rPr>
          <w:rFonts w:ascii="Times New Roman" w:eastAsia="Times New Roman"/>
          <w:sz w:val="24"/>
        </w:rPr>
        <w:t>[J].</w:t>
      </w:r>
      <w:r>
        <w:rPr>
          <w:spacing w:val="-1"/>
          <w:sz w:val="24"/>
        </w:rPr>
        <w:t>教育发展研究，</w:t>
      </w:r>
      <w:r>
        <w:rPr>
          <w:rFonts w:ascii="Times New Roman" w:eastAsia="Times New Roman"/>
          <w:spacing w:val="-6"/>
          <w:sz w:val="24"/>
        </w:rPr>
        <w:t>2015</w:t>
      </w:r>
    </w:p>
    <w:p>
      <w:pPr>
        <w:pStyle w:val="BodyText"/>
        <w:spacing w:before="160"/>
        <w:ind w:left="1319"/>
        <w:rPr>
          <w:rFonts w:ascii="Times New Roman" w:eastAsia="Times New Roman"/>
        </w:rPr>
      </w:pPr>
      <w:r>
        <w:rPr/>
        <w:t>（</w:t>
      </w:r>
      <w:r>
        <w:rPr>
          <w:rFonts w:ascii="Times New Roman" w:eastAsia="Times New Roman"/>
        </w:rPr>
        <w:t>20</w:t>
      </w:r>
      <w:r>
        <w:rPr/>
        <w:t>）</w:t>
      </w:r>
      <w:r>
        <w:rPr>
          <w:rFonts w:ascii="Times New Roman" w:eastAsia="Times New Roman"/>
        </w:rPr>
        <w:t>.</w:t>
      </w:r>
    </w:p>
    <w:p>
      <w:pPr>
        <w:pStyle w:val="ListParagraph"/>
        <w:numPr>
          <w:ilvl w:val="0"/>
          <w:numId w:val="52"/>
        </w:numPr>
        <w:tabs>
          <w:tab w:pos="1839" w:val="left" w:leader="none"/>
        </w:tabs>
        <w:spacing w:line="240" w:lineRule="auto" w:before="158" w:after="0"/>
        <w:ind w:left="1838" w:right="0" w:hanging="520"/>
        <w:jc w:val="left"/>
        <w:rPr>
          <w:rFonts w:ascii="Times New Roman" w:eastAsia="Times New Roman"/>
          <w:sz w:val="24"/>
        </w:rPr>
      </w:pPr>
      <w:r>
        <w:rPr>
          <w:sz w:val="24"/>
        </w:rPr>
        <w:t>李金碧</w:t>
      </w:r>
      <w:r>
        <w:rPr>
          <w:rFonts w:ascii="Times New Roman" w:eastAsia="Times New Roman"/>
          <w:sz w:val="24"/>
        </w:rPr>
        <w:t>.</w:t>
      </w:r>
      <w:r>
        <w:rPr>
          <w:sz w:val="24"/>
        </w:rPr>
        <w:t>生涯教育</w:t>
      </w:r>
      <w:r>
        <w:rPr>
          <w:rFonts w:ascii="Times New Roman" w:eastAsia="Times New Roman"/>
          <w:sz w:val="24"/>
        </w:rPr>
        <w:t>:</w:t>
      </w:r>
      <w:r>
        <w:rPr>
          <w:sz w:val="24"/>
        </w:rPr>
        <w:t>基础教育不可或缺的领域</w:t>
      </w:r>
      <w:r>
        <w:rPr>
          <w:rFonts w:ascii="Times New Roman" w:eastAsia="Times New Roman"/>
          <w:sz w:val="24"/>
        </w:rPr>
        <w:t>[J].</w:t>
      </w:r>
      <w:r>
        <w:rPr>
          <w:sz w:val="24"/>
        </w:rPr>
        <w:t>教育理论与实践</w:t>
      </w:r>
      <w:r>
        <w:rPr>
          <w:rFonts w:ascii="Times New Roman" w:eastAsia="Times New Roman"/>
          <w:sz w:val="24"/>
        </w:rPr>
        <w:t>,2005</w:t>
      </w:r>
      <w:r>
        <w:rPr>
          <w:sz w:val="24"/>
        </w:rPr>
        <w:t>（</w:t>
      </w:r>
      <w:r>
        <w:rPr>
          <w:rFonts w:ascii="Times New Roman" w:eastAsia="Times New Roman"/>
          <w:sz w:val="24"/>
        </w:rPr>
        <w:t>25</w:t>
      </w:r>
      <w:r>
        <w:rPr>
          <w:sz w:val="24"/>
        </w:rPr>
        <w:t>）</w:t>
      </w:r>
      <w:r>
        <w:rPr>
          <w:rFonts w:ascii="Times New Roman" w:eastAsia="Times New Roman"/>
          <w:sz w:val="24"/>
        </w:rPr>
        <w:t>.</w:t>
      </w:r>
    </w:p>
    <w:p>
      <w:pPr>
        <w:pStyle w:val="ListParagraph"/>
        <w:numPr>
          <w:ilvl w:val="0"/>
          <w:numId w:val="52"/>
        </w:numPr>
        <w:tabs>
          <w:tab w:pos="1839" w:val="left" w:leader="none"/>
        </w:tabs>
        <w:spacing w:line="362" w:lineRule="auto" w:before="161" w:after="0"/>
        <w:ind w:left="1319" w:right="1611" w:firstLine="0"/>
        <w:jc w:val="left"/>
        <w:rPr>
          <w:rFonts w:ascii="Times New Roman" w:hAnsi="Times New Roman" w:eastAsia="Times New Roman"/>
          <w:sz w:val="24"/>
        </w:rPr>
      </w:pPr>
      <w:r>
        <w:rPr>
          <w:sz w:val="24"/>
        </w:rPr>
        <w:t>刘新阳</w:t>
      </w:r>
      <w:r>
        <w:rPr>
          <w:rFonts w:ascii="Times New Roman" w:hAnsi="Times New Roman" w:eastAsia="Times New Roman"/>
          <w:sz w:val="24"/>
        </w:rPr>
        <w:t>,</w:t>
      </w:r>
      <w:r>
        <w:rPr>
          <w:sz w:val="24"/>
        </w:rPr>
        <w:t>裴新宁</w:t>
      </w:r>
      <w:r>
        <w:rPr>
          <w:rFonts w:ascii="Times New Roman" w:hAnsi="Times New Roman" w:eastAsia="Times New Roman"/>
          <w:sz w:val="24"/>
        </w:rPr>
        <w:t>.</w:t>
      </w:r>
      <w:r>
        <w:rPr>
          <w:spacing w:val="-30"/>
          <w:sz w:val="24"/>
        </w:rPr>
        <w:t>为 </w:t>
      </w:r>
      <w:r>
        <w:rPr>
          <w:rFonts w:ascii="Times New Roman" w:hAnsi="Times New Roman" w:eastAsia="Times New Roman"/>
          <w:sz w:val="24"/>
        </w:rPr>
        <w:t>21 </w:t>
      </w:r>
      <w:r>
        <w:rPr>
          <w:sz w:val="24"/>
        </w:rPr>
        <w:t>世纪重建教育</w:t>
      </w:r>
      <w:r>
        <w:rPr>
          <w:rFonts w:ascii="Times New Roman" w:hAnsi="Times New Roman" w:eastAsia="Times New Roman"/>
          <w:sz w:val="24"/>
        </w:rPr>
        <w:t>——</w:t>
      </w:r>
      <w:r>
        <w:rPr>
          <w:sz w:val="24"/>
        </w:rPr>
        <w:t>欧盟核心素养的确立</w:t>
      </w:r>
      <w:r>
        <w:rPr>
          <w:rFonts w:ascii="Times New Roman" w:hAnsi="Times New Roman" w:eastAsia="Times New Roman"/>
          <w:sz w:val="24"/>
        </w:rPr>
        <w:t>[J].</w:t>
      </w:r>
      <w:hyperlink r:id="rId21">
        <w:r>
          <w:rPr>
            <w:spacing w:val="-3"/>
            <w:sz w:val="24"/>
          </w:rPr>
          <w:t>全球教育展</w:t>
        </w:r>
      </w:hyperlink>
      <w:hyperlink r:id="rId21">
        <w:r>
          <w:rPr>
            <w:sz w:val="24"/>
          </w:rPr>
          <w:t>望，</w:t>
        </w:r>
      </w:hyperlink>
      <w:r>
        <w:rPr>
          <w:rFonts w:ascii="Times New Roman" w:hAnsi="Times New Roman" w:eastAsia="Times New Roman"/>
          <w:sz w:val="24"/>
        </w:rPr>
        <w:t>2013 </w:t>
      </w:r>
      <w:r>
        <w:rPr>
          <w:sz w:val="24"/>
        </w:rPr>
        <w:t>（</w:t>
      </w:r>
      <w:r>
        <w:rPr>
          <w:rFonts w:ascii="Times New Roman" w:hAnsi="Times New Roman" w:eastAsia="Times New Roman"/>
          <w:sz w:val="24"/>
        </w:rPr>
        <w:t>12</w:t>
      </w:r>
      <w:r>
        <w:rPr>
          <w:sz w:val="24"/>
        </w:rPr>
        <w:t>）</w:t>
      </w:r>
      <w:r>
        <w:rPr>
          <w:rFonts w:ascii="Times New Roman" w:hAnsi="Times New Roman" w:eastAsia="Times New Roman"/>
          <w:sz w:val="24"/>
        </w:rPr>
        <w:t>.</w:t>
      </w:r>
    </w:p>
    <w:p>
      <w:pPr>
        <w:pStyle w:val="ListParagraph"/>
        <w:numPr>
          <w:ilvl w:val="0"/>
          <w:numId w:val="52"/>
        </w:numPr>
        <w:tabs>
          <w:tab w:pos="1839" w:val="left" w:leader="none"/>
        </w:tabs>
        <w:spacing w:line="240" w:lineRule="auto" w:before="5" w:after="0"/>
        <w:ind w:left="1838" w:right="0" w:hanging="520"/>
        <w:jc w:val="left"/>
        <w:rPr>
          <w:sz w:val="24"/>
        </w:rPr>
      </w:pPr>
      <w:r>
        <w:rPr>
          <w:sz w:val="24"/>
        </w:rPr>
        <w:t>辛涛等</w:t>
      </w:r>
      <w:r>
        <w:rPr>
          <w:rFonts w:ascii="Times New Roman" w:eastAsia="Times New Roman"/>
          <w:sz w:val="24"/>
        </w:rPr>
        <w:t>.</w:t>
      </w:r>
      <w:r>
        <w:rPr>
          <w:sz w:val="24"/>
        </w:rPr>
        <w:t>基于学生核心素养的课程体系建构</w:t>
      </w:r>
      <w:r>
        <w:rPr>
          <w:rFonts w:ascii="Times New Roman" w:eastAsia="Times New Roman"/>
          <w:sz w:val="24"/>
        </w:rPr>
        <w:t>[J].</w:t>
      </w:r>
      <w:r>
        <w:rPr>
          <w:sz w:val="24"/>
        </w:rPr>
        <w:t>北京师范大学学报</w:t>
      </w:r>
      <w:r>
        <w:rPr>
          <w:rFonts w:ascii="Times New Roman" w:eastAsia="Times New Roman"/>
          <w:sz w:val="24"/>
        </w:rPr>
        <w:t>(</w:t>
      </w:r>
      <w:r>
        <w:rPr>
          <w:sz w:val="24"/>
        </w:rPr>
        <w:t>社会科学</w:t>
      </w:r>
    </w:p>
    <w:p>
      <w:pPr>
        <w:spacing w:after="0" w:line="240" w:lineRule="auto"/>
        <w:jc w:val="left"/>
        <w:rPr>
          <w:sz w:val="24"/>
        </w:rPr>
        <w:sectPr>
          <w:pgSz w:w="11910" w:h="16840"/>
          <w:pgMar w:header="878" w:footer="1191" w:top="1300" w:bottom="1380" w:left="480" w:right="220"/>
        </w:sectPr>
      </w:pPr>
    </w:p>
    <w:p>
      <w:pPr>
        <w:pStyle w:val="BodyText"/>
        <w:spacing w:before="131"/>
        <w:ind w:left="1320"/>
        <w:rPr>
          <w:rFonts w:ascii="Times New Roman" w:eastAsia="Times New Roman"/>
        </w:rPr>
      </w:pPr>
      <w:r>
        <w:rPr/>
        <w:t>版</w:t>
      </w:r>
      <w:r>
        <w:rPr>
          <w:rFonts w:ascii="Times New Roman" w:eastAsia="Times New Roman"/>
        </w:rPr>
        <w:t>)</w:t>
      </w:r>
      <w:r>
        <w:rPr/>
        <w:t>，</w:t>
      </w:r>
      <w:r>
        <w:rPr>
          <w:rFonts w:ascii="Times New Roman" w:eastAsia="Times New Roman"/>
        </w:rPr>
        <w:t>2014</w:t>
      </w:r>
      <w:r>
        <w:rPr/>
        <w:t>（</w:t>
      </w:r>
      <w:r>
        <w:rPr>
          <w:rFonts w:ascii="Times New Roman" w:eastAsia="Times New Roman"/>
        </w:rPr>
        <w:t>1</w:t>
      </w:r>
      <w:r>
        <w:rPr/>
        <w:t>）</w:t>
      </w:r>
      <w:r>
        <w:rPr>
          <w:rFonts w:ascii="Times New Roman" w:eastAsia="Times New Roman"/>
        </w:rPr>
        <w:t>.</w:t>
      </w:r>
    </w:p>
    <w:p>
      <w:pPr>
        <w:pStyle w:val="ListParagraph"/>
        <w:numPr>
          <w:ilvl w:val="0"/>
          <w:numId w:val="52"/>
        </w:numPr>
        <w:tabs>
          <w:tab w:pos="1839" w:val="left" w:leader="none"/>
        </w:tabs>
        <w:spacing w:line="240" w:lineRule="auto" w:before="160" w:after="0"/>
        <w:ind w:left="1838" w:right="0" w:hanging="519"/>
        <w:jc w:val="left"/>
        <w:rPr>
          <w:rFonts w:ascii="Times New Roman" w:eastAsia="Times New Roman"/>
          <w:sz w:val="24"/>
        </w:rPr>
      </w:pPr>
      <w:r>
        <w:rPr>
          <w:sz w:val="24"/>
        </w:rPr>
        <w:t>张华</w:t>
      </w:r>
      <w:r>
        <w:rPr>
          <w:rFonts w:ascii="Times New Roman" w:eastAsia="Times New Roman"/>
          <w:sz w:val="24"/>
        </w:rPr>
        <w:t>.</w:t>
      </w:r>
      <w:r>
        <w:rPr>
          <w:sz w:val="24"/>
        </w:rPr>
        <w:t>论核心素养</w:t>
      </w:r>
      <w:r>
        <w:rPr>
          <w:rFonts w:ascii="Times New Roman" w:eastAsia="Times New Roman"/>
          <w:sz w:val="24"/>
        </w:rPr>
        <w:t>[J].</w:t>
      </w:r>
      <w:r>
        <w:rPr>
          <w:sz w:val="24"/>
        </w:rPr>
        <w:t>全球教育展望，</w:t>
      </w:r>
      <w:r>
        <w:rPr>
          <w:rFonts w:ascii="Times New Roman" w:eastAsia="Times New Roman"/>
          <w:sz w:val="24"/>
        </w:rPr>
        <w:t>2016</w:t>
      </w:r>
      <w:r>
        <w:rPr>
          <w:sz w:val="24"/>
        </w:rPr>
        <w:t>（</w:t>
      </w:r>
      <w:r>
        <w:rPr>
          <w:rFonts w:ascii="Times New Roman" w:eastAsia="Times New Roman"/>
          <w:sz w:val="24"/>
        </w:rPr>
        <w:t>4</w:t>
      </w:r>
      <w:r>
        <w:rPr>
          <w:sz w:val="24"/>
        </w:rPr>
        <w:t>）</w:t>
      </w:r>
      <w:r>
        <w:rPr>
          <w:rFonts w:ascii="Times New Roman" w:eastAsia="Times New Roman"/>
          <w:sz w:val="24"/>
        </w:rPr>
        <w:t>.</w:t>
      </w:r>
    </w:p>
    <w:p>
      <w:pPr>
        <w:pStyle w:val="ListParagraph"/>
        <w:numPr>
          <w:ilvl w:val="0"/>
          <w:numId w:val="52"/>
        </w:numPr>
        <w:tabs>
          <w:tab w:pos="1839" w:val="left" w:leader="none"/>
        </w:tabs>
        <w:spacing w:line="240" w:lineRule="auto" w:before="158" w:after="0"/>
        <w:ind w:left="1838" w:right="0" w:hanging="520"/>
        <w:jc w:val="left"/>
        <w:rPr>
          <w:rFonts w:ascii="Times New Roman" w:eastAsia="Times New Roman"/>
          <w:sz w:val="24"/>
        </w:rPr>
      </w:pPr>
      <w:r>
        <w:rPr>
          <w:sz w:val="24"/>
        </w:rPr>
        <w:t>崔允漷</w:t>
      </w:r>
      <w:r>
        <w:rPr>
          <w:rFonts w:ascii="Times New Roman" w:eastAsia="Times New Roman"/>
          <w:sz w:val="24"/>
        </w:rPr>
        <w:t>.</w:t>
      </w:r>
      <w:r>
        <w:rPr>
          <w:spacing w:val="-11"/>
          <w:sz w:val="24"/>
        </w:rPr>
        <w:t>素养：一个让人欢喜让人忧的概念</w:t>
      </w:r>
      <w:r>
        <w:rPr>
          <w:rFonts w:ascii="Times New Roman" w:eastAsia="Times New Roman"/>
          <w:sz w:val="24"/>
        </w:rPr>
        <w:t>[J].</w:t>
      </w:r>
      <w:r>
        <w:rPr>
          <w:sz w:val="24"/>
        </w:rPr>
        <w:t>华东师范大学学报</w:t>
      </w:r>
      <w:r>
        <w:rPr>
          <w:rFonts w:ascii="Times New Roman" w:eastAsia="Times New Roman"/>
          <w:sz w:val="24"/>
        </w:rPr>
        <w:t>(</w:t>
      </w:r>
      <w:r>
        <w:rPr>
          <w:sz w:val="24"/>
        </w:rPr>
        <w:t>教育科学版</w:t>
      </w:r>
      <w:r>
        <w:rPr>
          <w:rFonts w:ascii="Times New Roman" w:eastAsia="Times New Roman"/>
          <w:sz w:val="24"/>
        </w:rPr>
        <w:t>)</w:t>
      </w:r>
    </w:p>
    <w:p>
      <w:pPr>
        <w:pStyle w:val="BodyText"/>
        <w:spacing w:before="161"/>
        <w:ind w:left="1319"/>
        <w:rPr>
          <w:rFonts w:ascii="Times New Roman" w:eastAsia="Times New Roman"/>
        </w:rPr>
      </w:pPr>
      <w:r>
        <w:rPr/>
        <w:t>，</w:t>
      </w:r>
      <w:r>
        <w:rPr>
          <w:rFonts w:ascii="Times New Roman" w:eastAsia="Times New Roman"/>
        </w:rPr>
        <w:t>2016</w:t>
      </w:r>
      <w:r>
        <w:rPr/>
        <w:t>（</w:t>
      </w:r>
      <w:r>
        <w:rPr>
          <w:rFonts w:ascii="Times New Roman" w:eastAsia="Times New Roman"/>
        </w:rPr>
        <w:t>1</w:t>
      </w:r>
      <w:r>
        <w:rPr/>
        <w:t>）</w:t>
      </w:r>
      <w:r>
        <w:rPr>
          <w:rFonts w:ascii="Times New Roman" w:eastAsia="Times New Roman"/>
        </w:rPr>
        <w:t>5.</w:t>
      </w:r>
    </w:p>
    <w:p>
      <w:pPr>
        <w:pStyle w:val="ListParagraph"/>
        <w:numPr>
          <w:ilvl w:val="0"/>
          <w:numId w:val="52"/>
        </w:numPr>
        <w:tabs>
          <w:tab w:pos="1839" w:val="left" w:leader="none"/>
        </w:tabs>
        <w:spacing w:line="240" w:lineRule="auto" w:before="158" w:after="0"/>
        <w:ind w:left="1838" w:right="0" w:hanging="520"/>
        <w:jc w:val="left"/>
        <w:rPr>
          <w:rFonts w:ascii="Times New Roman" w:eastAsia="Times New Roman"/>
          <w:sz w:val="24"/>
        </w:rPr>
      </w:pPr>
      <w:r>
        <w:rPr>
          <w:sz w:val="24"/>
        </w:rPr>
        <w:t>王灿明</w:t>
      </w:r>
      <w:r>
        <w:rPr>
          <w:rFonts w:ascii="Times New Roman" w:eastAsia="Times New Roman"/>
          <w:sz w:val="24"/>
        </w:rPr>
        <w:t>.</w:t>
      </w:r>
      <w:r>
        <w:rPr>
          <w:sz w:val="24"/>
        </w:rPr>
        <w:t>体验学习解读</w:t>
      </w:r>
      <w:r>
        <w:rPr>
          <w:rFonts w:ascii="Times New Roman" w:eastAsia="Times New Roman"/>
          <w:sz w:val="24"/>
        </w:rPr>
        <w:t>[J].</w:t>
      </w:r>
      <w:r>
        <w:rPr>
          <w:sz w:val="24"/>
        </w:rPr>
        <w:t>全球教育展望，</w:t>
      </w:r>
      <w:r>
        <w:rPr>
          <w:rFonts w:ascii="Times New Roman" w:eastAsia="Times New Roman"/>
          <w:sz w:val="24"/>
        </w:rPr>
        <w:t>2005</w:t>
      </w:r>
      <w:r>
        <w:rPr>
          <w:sz w:val="24"/>
        </w:rPr>
        <w:t>（</w:t>
      </w:r>
      <w:r>
        <w:rPr>
          <w:rFonts w:ascii="Times New Roman" w:eastAsia="Times New Roman"/>
          <w:sz w:val="24"/>
        </w:rPr>
        <w:t>12</w:t>
      </w:r>
      <w:r>
        <w:rPr>
          <w:sz w:val="24"/>
        </w:rPr>
        <w:t>）</w:t>
      </w:r>
      <w:r>
        <w:rPr>
          <w:rFonts w:ascii="Times New Roman" w:eastAsia="Times New Roman"/>
          <w:sz w:val="24"/>
        </w:rPr>
        <w:t>.</w:t>
      </w:r>
    </w:p>
    <w:p>
      <w:pPr>
        <w:pStyle w:val="ListParagraph"/>
        <w:numPr>
          <w:ilvl w:val="0"/>
          <w:numId w:val="52"/>
        </w:numPr>
        <w:tabs>
          <w:tab w:pos="1839" w:val="left" w:leader="none"/>
        </w:tabs>
        <w:spacing w:line="240" w:lineRule="auto" w:before="160" w:after="0"/>
        <w:ind w:left="1838" w:right="0" w:hanging="520"/>
        <w:jc w:val="left"/>
        <w:rPr>
          <w:rFonts w:ascii="Times New Roman" w:eastAsia="Times New Roman"/>
          <w:sz w:val="24"/>
        </w:rPr>
      </w:pPr>
      <w:r>
        <w:rPr>
          <w:sz w:val="24"/>
        </w:rPr>
        <w:t>王嘉毅</w:t>
      </w:r>
      <w:r>
        <w:rPr>
          <w:rFonts w:ascii="Times New Roman" w:eastAsia="Times New Roman"/>
          <w:sz w:val="24"/>
        </w:rPr>
        <w:t>,</w:t>
      </w:r>
      <w:r>
        <w:rPr>
          <w:sz w:val="24"/>
        </w:rPr>
        <w:t>李志厚</w:t>
      </w:r>
      <w:r>
        <w:rPr>
          <w:rFonts w:ascii="Times New Roman" w:eastAsia="Times New Roman"/>
          <w:sz w:val="24"/>
        </w:rPr>
        <w:t>.</w:t>
      </w:r>
      <w:r>
        <w:rPr>
          <w:sz w:val="24"/>
        </w:rPr>
        <w:t>论体验学习</w:t>
      </w:r>
      <w:r>
        <w:rPr>
          <w:rFonts w:ascii="Times New Roman" w:eastAsia="Times New Roman"/>
          <w:sz w:val="24"/>
        </w:rPr>
        <w:t>[J].</w:t>
      </w:r>
      <w:r>
        <w:rPr>
          <w:sz w:val="24"/>
        </w:rPr>
        <w:t>教育理论与实践，</w:t>
      </w:r>
      <w:r>
        <w:rPr>
          <w:rFonts w:ascii="Times New Roman" w:eastAsia="Times New Roman"/>
          <w:sz w:val="24"/>
        </w:rPr>
        <w:t>2004</w:t>
      </w:r>
      <w:r>
        <w:rPr>
          <w:sz w:val="24"/>
        </w:rPr>
        <w:t>（</w:t>
      </w:r>
      <w:r>
        <w:rPr>
          <w:rFonts w:ascii="Times New Roman" w:eastAsia="Times New Roman"/>
          <w:sz w:val="24"/>
        </w:rPr>
        <w:t>12</w:t>
      </w:r>
      <w:r>
        <w:rPr>
          <w:sz w:val="24"/>
        </w:rPr>
        <w:t>）</w:t>
      </w:r>
      <w:r>
        <w:rPr>
          <w:rFonts w:ascii="Times New Roman" w:eastAsia="Times New Roman"/>
          <w:sz w:val="24"/>
        </w:rPr>
        <w:t>.</w:t>
      </w:r>
    </w:p>
    <w:p>
      <w:pPr>
        <w:pStyle w:val="ListParagraph"/>
        <w:numPr>
          <w:ilvl w:val="0"/>
          <w:numId w:val="52"/>
        </w:numPr>
        <w:tabs>
          <w:tab w:pos="1839" w:val="left" w:leader="none"/>
        </w:tabs>
        <w:spacing w:line="240" w:lineRule="auto" w:before="159" w:after="0"/>
        <w:ind w:left="1838" w:right="0" w:hanging="520"/>
        <w:jc w:val="left"/>
        <w:rPr>
          <w:rFonts w:ascii="Times New Roman" w:eastAsia="Times New Roman"/>
          <w:sz w:val="24"/>
        </w:rPr>
      </w:pPr>
      <w:r>
        <w:rPr>
          <w:sz w:val="24"/>
        </w:rPr>
        <w:t>陈焕章</w:t>
      </w:r>
      <w:r>
        <w:rPr>
          <w:rFonts w:ascii="Times New Roman" w:eastAsia="Times New Roman"/>
          <w:sz w:val="24"/>
        </w:rPr>
        <w:t>.</w:t>
      </w:r>
      <w:r>
        <w:rPr>
          <w:sz w:val="24"/>
        </w:rPr>
        <w:t>日本中学开展的职场体验活动观略</w:t>
      </w:r>
      <w:r>
        <w:rPr>
          <w:rFonts w:ascii="Times New Roman" w:eastAsia="Times New Roman"/>
          <w:sz w:val="24"/>
        </w:rPr>
        <w:t>[J].</w:t>
      </w:r>
      <w:r>
        <w:rPr>
          <w:sz w:val="24"/>
        </w:rPr>
        <w:t>外国中小学教育，</w:t>
      </w:r>
      <w:r>
        <w:rPr>
          <w:rFonts w:ascii="Times New Roman" w:eastAsia="Times New Roman"/>
          <w:sz w:val="24"/>
        </w:rPr>
        <w:t>2008</w:t>
      </w:r>
      <w:r>
        <w:rPr>
          <w:sz w:val="24"/>
        </w:rPr>
        <w:t>（</w:t>
      </w:r>
      <w:r>
        <w:rPr>
          <w:rFonts w:ascii="Times New Roman" w:eastAsia="Times New Roman"/>
          <w:sz w:val="24"/>
        </w:rPr>
        <w:t>8</w:t>
      </w:r>
      <w:r>
        <w:rPr>
          <w:sz w:val="24"/>
        </w:rPr>
        <w:t>）</w:t>
      </w:r>
      <w:r>
        <w:rPr>
          <w:rFonts w:ascii="Times New Roman" w:eastAsia="Times New Roman"/>
          <w:sz w:val="24"/>
        </w:rPr>
        <w:t>.</w:t>
      </w:r>
    </w:p>
    <w:p>
      <w:pPr>
        <w:pStyle w:val="ListParagraph"/>
        <w:numPr>
          <w:ilvl w:val="0"/>
          <w:numId w:val="52"/>
        </w:numPr>
        <w:tabs>
          <w:tab w:pos="1839" w:val="left" w:leader="none"/>
        </w:tabs>
        <w:spacing w:line="240" w:lineRule="auto" w:before="160" w:after="0"/>
        <w:ind w:left="1838" w:right="0" w:hanging="520"/>
        <w:jc w:val="left"/>
        <w:rPr>
          <w:rFonts w:ascii="Times New Roman" w:eastAsia="Times New Roman"/>
          <w:sz w:val="24"/>
        </w:rPr>
      </w:pPr>
      <w:r>
        <w:rPr>
          <w:sz w:val="24"/>
        </w:rPr>
        <w:t>张元等</w:t>
      </w:r>
      <w:r>
        <w:rPr>
          <w:rFonts w:ascii="Times New Roman" w:eastAsia="Times New Roman"/>
          <w:sz w:val="24"/>
        </w:rPr>
        <w:t>.</w:t>
      </w:r>
      <w:r>
        <w:rPr>
          <w:sz w:val="24"/>
        </w:rPr>
        <w:t>论职业指导概念的形成与发展</w:t>
      </w:r>
      <w:r>
        <w:rPr>
          <w:rFonts w:ascii="Times New Roman" w:eastAsia="Times New Roman"/>
          <w:sz w:val="24"/>
        </w:rPr>
        <w:t>[J].</w:t>
      </w:r>
      <w:r>
        <w:rPr>
          <w:sz w:val="24"/>
        </w:rPr>
        <w:t>教育与职业，</w:t>
      </w:r>
      <w:r>
        <w:rPr>
          <w:rFonts w:ascii="Times New Roman" w:eastAsia="Times New Roman"/>
          <w:sz w:val="24"/>
        </w:rPr>
        <w:t>2008</w:t>
      </w:r>
      <w:r>
        <w:rPr>
          <w:sz w:val="24"/>
        </w:rPr>
        <w:t>（</w:t>
      </w:r>
      <w:r>
        <w:rPr>
          <w:rFonts w:ascii="Times New Roman" w:eastAsia="Times New Roman"/>
          <w:sz w:val="24"/>
        </w:rPr>
        <w:t>21</w:t>
      </w:r>
      <w:r>
        <w:rPr>
          <w:sz w:val="24"/>
        </w:rPr>
        <w:t>）</w:t>
      </w:r>
      <w:r>
        <w:rPr>
          <w:rFonts w:ascii="Times New Roman" w:eastAsia="Times New Roman"/>
          <w:sz w:val="24"/>
        </w:rPr>
        <w:t>.</w:t>
      </w:r>
    </w:p>
    <w:p>
      <w:pPr>
        <w:pStyle w:val="ListParagraph"/>
        <w:numPr>
          <w:ilvl w:val="0"/>
          <w:numId w:val="52"/>
        </w:numPr>
        <w:tabs>
          <w:tab w:pos="1839" w:val="left" w:leader="none"/>
        </w:tabs>
        <w:spacing w:line="240" w:lineRule="auto" w:before="161" w:after="0"/>
        <w:ind w:left="1838" w:right="0" w:hanging="520"/>
        <w:jc w:val="left"/>
        <w:rPr>
          <w:rFonts w:ascii="Times New Roman" w:eastAsia="Times New Roman"/>
          <w:sz w:val="24"/>
        </w:rPr>
      </w:pPr>
      <w:r>
        <w:rPr>
          <w:sz w:val="24"/>
        </w:rPr>
        <w:t>石中英</w:t>
      </w:r>
      <w:r>
        <w:rPr>
          <w:rFonts w:ascii="Times New Roman" w:eastAsia="Times New Roman"/>
          <w:sz w:val="24"/>
        </w:rPr>
        <w:t>.</w:t>
      </w:r>
      <w:r>
        <w:rPr>
          <w:sz w:val="24"/>
        </w:rPr>
        <w:t>关于现阶段普通高中教育性质的再认识</w:t>
      </w:r>
      <w:r>
        <w:rPr>
          <w:rFonts w:ascii="Times New Roman" w:eastAsia="Times New Roman"/>
          <w:sz w:val="24"/>
        </w:rPr>
        <w:t>[J].</w:t>
      </w:r>
      <w:r>
        <w:rPr>
          <w:sz w:val="24"/>
        </w:rPr>
        <w:t>教育研究，</w:t>
      </w:r>
      <w:r>
        <w:rPr>
          <w:rFonts w:ascii="Times New Roman" w:eastAsia="Times New Roman"/>
          <w:sz w:val="24"/>
        </w:rPr>
        <w:t>2014</w:t>
      </w:r>
      <w:r>
        <w:rPr>
          <w:sz w:val="24"/>
        </w:rPr>
        <w:t>（</w:t>
      </w:r>
      <w:r>
        <w:rPr>
          <w:rFonts w:ascii="Times New Roman" w:eastAsia="Times New Roman"/>
          <w:sz w:val="24"/>
        </w:rPr>
        <w:t>10</w:t>
      </w:r>
      <w:r>
        <w:rPr>
          <w:sz w:val="24"/>
        </w:rPr>
        <w:t>）</w:t>
      </w:r>
      <w:r>
        <w:rPr>
          <w:rFonts w:ascii="Times New Roman" w:eastAsia="Times New Roman"/>
          <w:sz w:val="24"/>
        </w:rPr>
        <w:t>.</w:t>
      </w:r>
    </w:p>
    <w:p>
      <w:pPr>
        <w:pStyle w:val="ListParagraph"/>
        <w:numPr>
          <w:ilvl w:val="0"/>
          <w:numId w:val="52"/>
        </w:numPr>
        <w:tabs>
          <w:tab w:pos="1839" w:val="left" w:leader="none"/>
        </w:tabs>
        <w:spacing w:line="240" w:lineRule="auto" w:before="158" w:after="0"/>
        <w:ind w:left="1838" w:right="0" w:hanging="520"/>
        <w:jc w:val="left"/>
        <w:rPr>
          <w:rFonts w:ascii="Times New Roman" w:eastAsia="Times New Roman"/>
          <w:sz w:val="24"/>
        </w:rPr>
      </w:pPr>
      <w:r>
        <w:rPr>
          <w:sz w:val="24"/>
        </w:rPr>
        <w:t>卢现祥等</w:t>
      </w:r>
      <w:r>
        <w:rPr>
          <w:rFonts w:ascii="Times New Roman" w:eastAsia="Times New Roman"/>
          <w:sz w:val="24"/>
        </w:rPr>
        <w:t>.</w:t>
      </w:r>
      <w:r>
        <w:rPr>
          <w:sz w:val="24"/>
        </w:rPr>
        <w:t>中国应试教育的制度分析</w:t>
      </w:r>
      <w:r>
        <w:rPr>
          <w:rFonts w:ascii="Times New Roman" w:eastAsia="Times New Roman"/>
          <w:sz w:val="24"/>
        </w:rPr>
        <w:t>[J].</w:t>
      </w:r>
      <w:r>
        <w:rPr>
          <w:sz w:val="24"/>
        </w:rPr>
        <w:t>湖北经济学院学报，</w:t>
      </w:r>
      <w:r>
        <w:rPr>
          <w:rFonts w:ascii="Times New Roman" w:eastAsia="Times New Roman"/>
          <w:sz w:val="24"/>
        </w:rPr>
        <w:t>2007</w:t>
      </w:r>
      <w:r>
        <w:rPr>
          <w:sz w:val="24"/>
        </w:rPr>
        <w:t>（</w:t>
      </w:r>
      <w:r>
        <w:rPr>
          <w:rFonts w:ascii="Times New Roman" w:eastAsia="Times New Roman"/>
          <w:sz w:val="24"/>
        </w:rPr>
        <w:t>11</w:t>
      </w:r>
      <w:r>
        <w:rPr>
          <w:sz w:val="24"/>
        </w:rPr>
        <w:t>）</w:t>
      </w:r>
      <w:r>
        <w:rPr>
          <w:rFonts w:ascii="Times New Roman" w:eastAsia="Times New Roman"/>
          <w:sz w:val="24"/>
        </w:rPr>
        <w:t>.</w:t>
      </w:r>
    </w:p>
    <w:p>
      <w:pPr>
        <w:pStyle w:val="ListParagraph"/>
        <w:numPr>
          <w:ilvl w:val="0"/>
          <w:numId w:val="52"/>
        </w:numPr>
        <w:tabs>
          <w:tab w:pos="1839" w:val="left" w:leader="none"/>
        </w:tabs>
        <w:spacing w:line="240" w:lineRule="auto" w:before="158" w:after="0"/>
        <w:ind w:left="1838" w:right="0" w:hanging="520"/>
        <w:jc w:val="left"/>
        <w:rPr>
          <w:rFonts w:ascii="Times New Roman" w:eastAsia="Times New Roman"/>
          <w:sz w:val="24"/>
        </w:rPr>
      </w:pPr>
      <w:r>
        <w:rPr>
          <w:sz w:val="24"/>
        </w:rPr>
        <w:t>李荣</w:t>
      </w:r>
      <w:r>
        <w:rPr>
          <w:rFonts w:ascii="Times New Roman" w:eastAsia="Times New Roman"/>
          <w:sz w:val="24"/>
        </w:rPr>
        <w:t>.</w:t>
      </w:r>
      <w:r>
        <w:rPr>
          <w:sz w:val="24"/>
        </w:rPr>
        <w:t>论高中职业生涯规划教育的实施策略</w:t>
      </w:r>
      <w:r>
        <w:rPr>
          <w:rFonts w:ascii="Times New Roman" w:eastAsia="Times New Roman"/>
          <w:sz w:val="24"/>
        </w:rPr>
        <w:t>[D].</w:t>
      </w:r>
      <w:r>
        <w:rPr>
          <w:sz w:val="24"/>
        </w:rPr>
        <w:t>武汉：华中师范大学，</w:t>
      </w:r>
      <w:r>
        <w:rPr>
          <w:rFonts w:ascii="Times New Roman" w:eastAsia="Times New Roman"/>
          <w:sz w:val="24"/>
        </w:rPr>
        <w:t>2014.</w:t>
      </w:r>
    </w:p>
    <w:p>
      <w:pPr>
        <w:pStyle w:val="ListParagraph"/>
        <w:numPr>
          <w:ilvl w:val="0"/>
          <w:numId w:val="52"/>
        </w:numPr>
        <w:tabs>
          <w:tab w:pos="1839" w:val="left" w:leader="none"/>
        </w:tabs>
        <w:spacing w:line="364" w:lineRule="auto" w:before="160" w:after="0"/>
        <w:ind w:left="1319" w:right="1625" w:firstLine="0"/>
        <w:jc w:val="left"/>
        <w:rPr>
          <w:rFonts w:ascii="Times New Roman" w:hAnsi="Times New Roman" w:eastAsia="Times New Roman"/>
          <w:sz w:val="24"/>
        </w:rPr>
      </w:pPr>
      <w:r>
        <w:rPr>
          <w:sz w:val="24"/>
        </w:rPr>
        <w:t>王雅文</w:t>
      </w:r>
      <w:r>
        <w:rPr>
          <w:rFonts w:ascii="Times New Roman" w:hAnsi="Times New Roman" w:eastAsia="Times New Roman"/>
          <w:sz w:val="24"/>
        </w:rPr>
        <w:t>.</w:t>
      </w:r>
      <w:r>
        <w:rPr>
          <w:sz w:val="24"/>
        </w:rPr>
        <w:t>普通高中职业生涯教育现状和对策研究</w:t>
      </w:r>
      <w:r>
        <w:rPr>
          <w:rFonts w:ascii="Times New Roman" w:hAnsi="Times New Roman" w:eastAsia="Times New Roman"/>
          <w:sz w:val="24"/>
        </w:rPr>
        <w:t>——</w:t>
      </w:r>
      <w:r>
        <w:rPr>
          <w:spacing w:val="-11"/>
          <w:sz w:val="24"/>
        </w:rPr>
        <w:t>基于上海市 </w:t>
      </w:r>
      <w:r>
        <w:rPr>
          <w:rFonts w:ascii="Times New Roman" w:hAnsi="Times New Roman" w:eastAsia="Times New Roman"/>
          <w:sz w:val="24"/>
        </w:rPr>
        <w:t>6 </w:t>
      </w:r>
      <w:r>
        <w:rPr>
          <w:spacing w:val="-4"/>
          <w:sz w:val="24"/>
        </w:rPr>
        <w:t>所高中的</w:t>
      </w:r>
      <w:r>
        <w:rPr>
          <w:sz w:val="24"/>
        </w:rPr>
        <w:t>调查</w:t>
      </w:r>
      <w:r>
        <w:rPr>
          <w:rFonts w:ascii="Times New Roman" w:hAnsi="Times New Roman" w:eastAsia="Times New Roman"/>
          <w:sz w:val="24"/>
        </w:rPr>
        <w:t>[D].</w:t>
      </w:r>
      <w:r>
        <w:rPr>
          <w:sz w:val="24"/>
        </w:rPr>
        <w:t>上海：上海师范大学硕士论文，</w:t>
      </w:r>
      <w:r>
        <w:rPr>
          <w:rFonts w:ascii="Times New Roman" w:hAnsi="Times New Roman" w:eastAsia="Times New Roman"/>
          <w:sz w:val="24"/>
        </w:rPr>
        <w:t>2014.</w:t>
      </w:r>
    </w:p>
    <w:p>
      <w:pPr>
        <w:pStyle w:val="ListParagraph"/>
        <w:numPr>
          <w:ilvl w:val="0"/>
          <w:numId w:val="52"/>
        </w:numPr>
        <w:tabs>
          <w:tab w:pos="1839" w:val="left" w:leader="none"/>
        </w:tabs>
        <w:spacing w:line="306" w:lineRule="exact" w:before="0" w:after="0"/>
        <w:ind w:left="1838" w:right="0" w:hanging="520"/>
        <w:jc w:val="left"/>
        <w:rPr>
          <w:sz w:val="24"/>
        </w:rPr>
      </w:pPr>
      <w:r>
        <w:rPr>
          <w:sz w:val="24"/>
        </w:rPr>
        <w:t>郑瑞新</w:t>
      </w:r>
      <w:r>
        <w:rPr>
          <w:rFonts w:ascii="Times New Roman" w:eastAsia="Times New Roman"/>
          <w:sz w:val="24"/>
        </w:rPr>
        <w:t>.</w:t>
      </w:r>
      <w:r>
        <w:rPr>
          <w:sz w:val="24"/>
        </w:rPr>
        <w:t>普通高中职业生涯规划教育研究</w:t>
      </w:r>
      <w:r>
        <w:rPr>
          <w:rFonts w:ascii="Times New Roman" w:eastAsia="Times New Roman"/>
          <w:sz w:val="24"/>
        </w:rPr>
        <w:t>[D].</w:t>
      </w:r>
      <w:r>
        <w:rPr>
          <w:spacing w:val="-11"/>
          <w:sz w:val="24"/>
        </w:rPr>
        <w:t>石家庄：河北师范大学硕士论文</w:t>
      </w:r>
    </w:p>
    <w:p>
      <w:pPr>
        <w:pStyle w:val="BodyText"/>
        <w:spacing w:before="161"/>
        <w:ind w:left="1319"/>
        <w:rPr>
          <w:rFonts w:ascii="Times New Roman" w:eastAsia="Times New Roman"/>
        </w:rPr>
      </w:pPr>
      <w:r>
        <w:rPr/>
        <w:t>，</w:t>
      </w:r>
      <w:r>
        <w:rPr>
          <w:rFonts w:ascii="Times New Roman" w:eastAsia="Times New Roman"/>
        </w:rPr>
        <w:t>2009.</w:t>
      </w:r>
    </w:p>
    <w:p>
      <w:pPr>
        <w:pStyle w:val="ListParagraph"/>
        <w:numPr>
          <w:ilvl w:val="0"/>
          <w:numId w:val="52"/>
        </w:numPr>
        <w:tabs>
          <w:tab w:pos="1839" w:val="left" w:leader="none"/>
        </w:tabs>
        <w:spacing w:line="364" w:lineRule="auto" w:before="158" w:after="0"/>
        <w:ind w:left="1319" w:right="1577" w:firstLine="0"/>
        <w:jc w:val="left"/>
        <w:rPr>
          <w:rFonts w:ascii="Times New Roman" w:eastAsia="Times New Roman"/>
          <w:sz w:val="24"/>
        </w:rPr>
      </w:pPr>
      <w:r>
        <w:rPr>
          <w:sz w:val="24"/>
        </w:rPr>
        <w:t>周羽全</w:t>
      </w:r>
      <w:r>
        <w:rPr>
          <w:rFonts w:ascii="Times New Roman" w:eastAsia="Times New Roman"/>
          <w:sz w:val="24"/>
        </w:rPr>
        <w:t>.</w:t>
      </w:r>
      <w:r>
        <w:rPr>
          <w:sz w:val="24"/>
        </w:rPr>
        <w:t>我国台湾地区中小学生涯教育研究</w:t>
      </w:r>
      <w:r>
        <w:rPr>
          <w:rFonts w:ascii="Times New Roman" w:eastAsia="Times New Roman"/>
          <w:sz w:val="24"/>
        </w:rPr>
        <w:t>[D].</w:t>
      </w:r>
      <w:r>
        <w:rPr>
          <w:spacing w:val="-12"/>
          <w:sz w:val="24"/>
        </w:rPr>
        <w:t>上海：上海师范大学硕士学位</w:t>
      </w:r>
      <w:r>
        <w:rPr>
          <w:sz w:val="24"/>
        </w:rPr>
        <w:t>论文，</w:t>
      </w:r>
      <w:r>
        <w:rPr>
          <w:rFonts w:ascii="Times New Roman" w:eastAsia="Times New Roman"/>
          <w:sz w:val="24"/>
        </w:rPr>
        <w:t>2011.</w:t>
      </w:r>
    </w:p>
    <w:p>
      <w:pPr>
        <w:pStyle w:val="ListParagraph"/>
        <w:numPr>
          <w:ilvl w:val="0"/>
          <w:numId w:val="52"/>
        </w:numPr>
        <w:tabs>
          <w:tab w:pos="1839" w:val="left" w:leader="none"/>
        </w:tabs>
        <w:spacing w:line="306" w:lineRule="exact" w:before="0" w:after="0"/>
        <w:ind w:left="1838" w:right="0" w:hanging="520"/>
        <w:jc w:val="left"/>
        <w:rPr>
          <w:rFonts w:ascii="Times New Roman" w:eastAsia="Times New Roman"/>
          <w:sz w:val="24"/>
        </w:rPr>
      </w:pPr>
      <w:r>
        <w:rPr>
          <w:sz w:val="24"/>
        </w:rPr>
        <w:t>李晓涛</w:t>
      </w:r>
      <w:r>
        <w:rPr>
          <w:rFonts w:ascii="Times New Roman" w:eastAsia="Times New Roman"/>
          <w:sz w:val="24"/>
        </w:rPr>
        <w:t>.</w:t>
      </w:r>
      <w:r>
        <w:rPr>
          <w:sz w:val="24"/>
        </w:rPr>
        <w:t>英国普通中学职业指导研究</w:t>
      </w:r>
      <w:r>
        <w:rPr>
          <w:rFonts w:ascii="Times New Roman" w:eastAsia="Times New Roman"/>
          <w:sz w:val="24"/>
        </w:rPr>
        <w:t>[D].</w:t>
      </w:r>
      <w:r>
        <w:rPr>
          <w:sz w:val="24"/>
        </w:rPr>
        <w:t>重庆：西南大学硕士论文，</w:t>
      </w:r>
      <w:r>
        <w:rPr>
          <w:rFonts w:ascii="Times New Roman" w:eastAsia="Times New Roman"/>
          <w:sz w:val="24"/>
        </w:rPr>
        <w:t>2004.</w:t>
      </w:r>
    </w:p>
    <w:p>
      <w:pPr>
        <w:pStyle w:val="ListParagraph"/>
        <w:numPr>
          <w:ilvl w:val="0"/>
          <w:numId w:val="52"/>
        </w:numPr>
        <w:tabs>
          <w:tab w:pos="1839" w:val="left" w:leader="none"/>
        </w:tabs>
        <w:spacing w:line="362" w:lineRule="auto" w:before="160" w:after="0"/>
        <w:ind w:left="1319" w:right="1577" w:firstLine="0"/>
        <w:jc w:val="left"/>
        <w:rPr>
          <w:rFonts w:ascii="Times New Roman" w:eastAsia="Times New Roman"/>
          <w:sz w:val="24"/>
        </w:rPr>
      </w:pPr>
      <w:r>
        <w:rPr>
          <w:sz w:val="24"/>
        </w:rPr>
        <w:t>张瑜</w:t>
      </w:r>
      <w:r>
        <w:rPr>
          <w:rFonts w:ascii="Times New Roman" w:eastAsia="Times New Roman"/>
          <w:sz w:val="24"/>
        </w:rPr>
        <w:t>.</w:t>
      </w:r>
      <w:r>
        <w:rPr>
          <w:spacing w:val="-8"/>
          <w:sz w:val="24"/>
        </w:rPr>
        <w:t>体验学习：关注学生生命在场的学习方式</w:t>
      </w:r>
      <w:r>
        <w:rPr>
          <w:rFonts w:ascii="Times New Roman" w:eastAsia="Times New Roman"/>
          <w:sz w:val="24"/>
        </w:rPr>
        <w:t>[D].</w:t>
      </w:r>
      <w:r>
        <w:rPr>
          <w:spacing w:val="-9"/>
          <w:sz w:val="24"/>
        </w:rPr>
        <w:t>扬州市：扬州大学硕士论</w:t>
      </w:r>
      <w:r>
        <w:rPr>
          <w:sz w:val="24"/>
        </w:rPr>
        <w:t>文，</w:t>
      </w:r>
      <w:r>
        <w:rPr>
          <w:rFonts w:ascii="Times New Roman" w:eastAsia="Times New Roman"/>
          <w:sz w:val="24"/>
        </w:rPr>
        <w:t>2011.</w:t>
      </w:r>
    </w:p>
    <w:p>
      <w:pPr>
        <w:pStyle w:val="ListParagraph"/>
        <w:numPr>
          <w:ilvl w:val="0"/>
          <w:numId w:val="52"/>
        </w:numPr>
        <w:tabs>
          <w:tab w:pos="1839" w:val="left" w:leader="none"/>
        </w:tabs>
        <w:spacing w:line="240" w:lineRule="auto" w:before="5" w:after="0"/>
        <w:ind w:left="1838" w:right="0" w:hanging="520"/>
        <w:jc w:val="left"/>
        <w:rPr>
          <w:sz w:val="24"/>
        </w:rPr>
      </w:pPr>
      <w:r>
        <w:rPr>
          <w:sz w:val="24"/>
        </w:rPr>
        <w:t>余艳梅</w:t>
      </w:r>
      <w:r>
        <w:rPr>
          <w:rFonts w:ascii="Times New Roman" w:eastAsia="Times New Roman"/>
          <w:sz w:val="24"/>
        </w:rPr>
        <w:t>.</w:t>
      </w:r>
      <w:r>
        <w:rPr>
          <w:sz w:val="24"/>
        </w:rPr>
        <w:t>美国公立高中职业生涯教育研究</w:t>
      </w:r>
      <w:r>
        <w:rPr>
          <w:rFonts w:ascii="Times New Roman" w:eastAsia="Times New Roman"/>
          <w:sz w:val="24"/>
        </w:rPr>
        <w:t>[D].</w:t>
      </w:r>
      <w:r>
        <w:rPr>
          <w:sz w:val="24"/>
        </w:rPr>
        <w:t>上海：上海师范大学硕士论文，</w:t>
      </w:r>
    </w:p>
    <w:p>
      <w:pPr>
        <w:pStyle w:val="BodyText"/>
        <w:spacing w:before="158"/>
        <w:ind w:left="1319"/>
        <w:rPr>
          <w:rFonts w:ascii="Times New Roman"/>
        </w:rPr>
      </w:pPr>
      <w:r>
        <w:rPr>
          <w:rFonts w:ascii="Times New Roman"/>
        </w:rPr>
        <w:t>2015.</w:t>
      </w:r>
    </w:p>
    <w:p>
      <w:pPr>
        <w:pStyle w:val="ListParagraph"/>
        <w:numPr>
          <w:ilvl w:val="0"/>
          <w:numId w:val="52"/>
        </w:numPr>
        <w:tabs>
          <w:tab w:pos="1839" w:val="left" w:leader="none"/>
        </w:tabs>
        <w:spacing w:line="362" w:lineRule="auto" w:before="140" w:after="0"/>
        <w:ind w:left="1319" w:right="1644" w:firstLine="0"/>
        <w:jc w:val="left"/>
        <w:rPr>
          <w:rFonts w:ascii="Times New Roman" w:eastAsia="Times New Roman"/>
          <w:sz w:val="24"/>
        </w:rPr>
      </w:pPr>
      <w:r>
        <w:rPr>
          <w:sz w:val="24"/>
        </w:rPr>
        <w:t>韩晓玥</w:t>
      </w:r>
      <w:r>
        <w:rPr>
          <w:rFonts w:ascii="Times New Roman" w:eastAsia="Times New Roman"/>
          <w:sz w:val="24"/>
        </w:rPr>
        <w:t>.</w:t>
      </w:r>
      <w:r>
        <w:rPr>
          <w:sz w:val="24"/>
        </w:rPr>
        <w:t>日本普通高中学生职业生涯教育研究</w:t>
      </w:r>
      <w:r>
        <w:rPr>
          <w:rFonts w:ascii="Times New Roman" w:eastAsia="Times New Roman"/>
          <w:sz w:val="24"/>
        </w:rPr>
        <w:t>[D].</w:t>
      </w:r>
      <w:r>
        <w:rPr>
          <w:sz w:val="24"/>
        </w:rPr>
        <w:t>大连</w:t>
      </w:r>
      <w:r>
        <w:rPr>
          <w:rFonts w:ascii="Times New Roman" w:eastAsia="Times New Roman"/>
          <w:sz w:val="24"/>
        </w:rPr>
        <w:t>:</w:t>
      </w:r>
      <w:r>
        <w:rPr>
          <w:spacing w:val="-2"/>
          <w:sz w:val="24"/>
        </w:rPr>
        <w:t>辽宁师范大学硕士论</w:t>
      </w:r>
      <w:r>
        <w:rPr>
          <w:sz w:val="24"/>
        </w:rPr>
        <w:t>文，</w:t>
      </w:r>
      <w:r>
        <w:rPr>
          <w:rFonts w:ascii="Times New Roman" w:eastAsia="Times New Roman"/>
          <w:sz w:val="24"/>
        </w:rPr>
        <w:t>2009.</w:t>
      </w:r>
    </w:p>
    <w:p>
      <w:pPr>
        <w:pStyle w:val="ListParagraph"/>
        <w:numPr>
          <w:ilvl w:val="0"/>
          <w:numId w:val="52"/>
        </w:numPr>
        <w:tabs>
          <w:tab w:pos="1839" w:val="left" w:leader="none"/>
        </w:tabs>
        <w:spacing w:line="362" w:lineRule="auto" w:before="5" w:after="0"/>
        <w:ind w:left="1319" w:right="1644" w:firstLine="0"/>
        <w:jc w:val="left"/>
        <w:rPr>
          <w:rFonts w:ascii="Times New Roman" w:eastAsia="Times New Roman"/>
          <w:sz w:val="24"/>
        </w:rPr>
      </w:pPr>
      <w:r>
        <w:rPr>
          <w:sz w:val="24"/>
        </w:rPr>
        <w:t>彭妙</w:t>
      </w:r>
      <w:r>
        <w:rPr>
          <w:rFonts w:ascii="Times New Roman" w:eastAsia="Times New Roman"/>
          <w:sz w:val="24"/>
        </w:rPr>
        <w:t>.</w:t>
      </w:r>
      <w:r>
        <w:rPr>
          <w:sz w:val="24"/>
        </w:rPr>
        <w:t>加拿大中学生生涯辅导实践及对我国的启示</w:t>
      </w:r>
      <w:r>
        <w:rPr>
          <w:rFonts w:ascii="Times New Roman" w:eastAsia="Times New Roman"/>
          <w:sz w:val="24"/>
        </w:rPr>
        <w:t>[D].</w:t>
      </w:r>
      <w:r>
        <w:rPr>
          <w:sz w:val="24"/>
        </w:rPr>
        <w:t>长沙</w:t>
      </w:r>
      <w:r>
        <w:rPr>
          <w:rFonts w:ascii="Times New Roman" w:eastAsia="Times New Roman"/>
          <w:sz w:val="24"/>
        </w:rPr>
        <w:t>:</w:t>
      </w:r>
      <w:r>
        <w:rPr>
          <w:spacing w:val="-2"/>
          <w:sz w:val="24"/>
        </w:rPr>
        <w:t>湖南大学硕士论</w:t>
      </w:r>
      <w:r>
        <w:rPr>
          <w:sz w:val="24"/>
        </w:rPr>
        <w:t>文，</w:t>
      </w:r>
      <w:r>
        <w:rPr>
          <w:rFonts w:ascii="Times New Roman" w:eastAsia="Times New Roman"/>
          <w:sz w:val="24"/>
        </w:rPr>
        <w:t>2010.</w:t>
      </w:r>
    </w:p>
    <w:p>
      <w:pPr>
        <w:pStyle w:val="ListParagraph"/>
        <w:numPr>
          <w:ilvl w:val="0"/>
          <w:numId w:val="52"/>
        </w:numPr>
        <w:tabs>
          <w:tab w:pos="1839" w:val="left" w:leader="none"/>
        </w:tabs>
        <w:spacing w:line="240" w:lineRule="auto" w:before="5" w:after="0"/>
        <w:ind w:left="1838" w:right="0" w:hanging="520"/>
        <w:jc w:val="left"/>
        <w:rPr>
          <w:rFonts w:ascii="Times New Roman" w:eastAsia="Times New Roman"/>
          <w:sz w:val="24"/>
        </w:rPr>
      </w:pPr>
      <w:r>
        <w:rPr>
          <w:sz w:val="24"/>
        </w:rPr>
        <w:t>李彬龙</w:t>
      </w:r>
      <w:r>
        <w:rPr>
          <w:rFonts w:ascii="Times New Roman" w:eastAsia="Times New Roman"/>
          <w:sz w:val="24"/>
        </w:rPr>
        <w:t>.</w:t>
      </w:r>
      <w:r>
        <w:rPr>
          <w:sz w:val="24"/>
        </w:rPr>
        <w:t>新西兰生涯教育标准研究</w:t>
      </w:r>
      <w:r>
        <w:rPr>
          <w:rFonts w:ascii="Times New Roman" w:eastAsia="Times New Roman"/>
          <w:sz w:val="24"/>
        </w:rPr>
        <w:t>[D].</w:t>
      </w:r>
      <w:r>
        <w:rPr>
          <w:sz w:val="24"/>
        </w:rPr>
        <w:t>上海：华东师范大学硕士论文，</w:t>
      </w:r>
      <w:r>
        <w:rPr>
          <w:rFonts w:ascii="Times New Roman" w:eastAsia="Times New Roman"/>
          <w:sz w:val="24"/>
        </w:rPr>
        <w:t>2014.</w:t>
      </w:r>
    </w:p>
    <w:p>
      <w:pPr>
        <w:pStyle w:val="ListParagraph"/>
        <w:numPr>
          <w:ilvl w:val="0"/>
          <w:numId w:val="52"/>
        </w:numPr>
        <w:tabs>
          <w:tab w:pos="1839" w:val="left" w:leader="none"/>
        </w:tabs>
        <w:spacing w:line="240" w:lineRule="auto" w:before="158" w:after="0"/>
        <w:ind w:left="1838" w:right="0" w:hanging="520"/>
        <w:jc w:val="left"/>
        <w:rPr>
          <w:rFonts w:ascii="Times New Roman" w:eastAsia="Times New Roman"/>
          <w:sz w:val="24"/>
        </w:rPr>
      </w:pPr>
      <w:r>
        <w:rPr>
          <w:sz w:val="24"/>
        </w:rPr>
        <w:t>陶倍帆</w:t>
      </w:r>
      <w:r>
        <w:rPr>
          <w:rFonts w:ascii="Times New Roman" w:eastAsia="Times New Roman"/>
          <w:sz w:val="24"/>
        </w:rPr>
        <w:t>.</w:t>
      </w:r>
      <w:r>
        <w:rPr>
          <w:sz w:val="24"/>
        </w:rPr>
        <w:t>澳大利亚职业生涯教育研究</w:t>
      </w:r>
      <w:r>
        <w:rPr>
          <w:rFonts w:ascii="Times New Roman" w:eastAsia="Times New Roman"/>
          <w:sz w:val="24"/>
        </w:rPr>
        <w:t>[D].</w:t>
      </w:r>
      <w:r>
        <w:rPr>
          <w:sz w:val="24"/>
        </w:rPr>
        <w:t>上海：华东师范大学硕士论文</w:t>
      </w:r>
      <w:r>
        <w:rPr>
          <w:rFonts w:ascii="Times New Roman" w:eastAsia="Times New Roman"/>
          <w:sz w:val="24"/>
        </w:rPr>
        <w:t>.2014.</w:t>
      </w:r>
    </w:p>
    <w:p>
      <w:pPr>
        <w:pStyle w:val="ListParagraph"/>
        <w:numPr>
          <w:ilvl w:val="0"/>
          <w:numId w:val="52"/>
        </w:numPr>
        <w:tabs>
          <w:tab w:pos="1839" w:val="left" w:leader="none"/>
        </w:tabs>
        <w:spacing w:line="364" w:lineRule="auto" w:before="160" w:after="0"/>
        <w:ind w:left="1319" w:right="1632" w:firstLine="0"/>
        <w:jc w:val="left"/>
        <w:rPr>
          <w:rFonts w:ascii="Times New Roman" w:eastAsia="Times New Roman"/>
          <w:sz w:val="24"/>
        </w:rPr>
      </w:pPr>
      <w:r>
        <w:rPr>
          <w:sz w:val="24"/>
        </w:rPr>
        <w:t>孙焦</w:t>
      </w:r>
      <w:r>
        <w:rPr>
          <w:rFonts w:ascii="Times New Roman" w:eastAsia="Times New Roman"/>
          <w:sz w:val="24"/>
        </w:rPr>
        <w:t>.</w:t>
      </w:r>
      <w:r>
        <w:rPr>
          <w:sz w:val="24"/>
        </w:rPr>
        <w:t>民国时期普通中学职业指导思想研究（</w:t>
      </w:r>
      <w:r>
        <w:rPr>
          <w:rFonts w:ascii="Times New Roman" w:eastAsia="Times New Roman"/>
          <w:sz w:val="24"/>
        </w:rPr>
        <w:t>1912-1937</w:t>
      </w:r>
      <w:r>
        <w:rPr>
          <w:sz w:val="24"/>
        </w:rPr>
        <w:t>）</w:t>
      </w:r>
      <w:r>
        <w:rPr>
          <w:rFonts w:ascii="Times New Roman" w:eastAsia="Times New Roman"/>
          <w:sz w:val="24"/>
        </w:rPr>
        <w:t>[D].</w:t>
      </w:r>
      <w:r>
        <w:rPr>
          <w:spacing w:val="-2"/>
          <w:sz w:val="24"/>
        </w:rPr>
        <w:t>重庆：西南大</w:t>
      </w:r>
      <w:r>
        <w:rPr>
          <w:sz w:val="24"/>
        </w:rPr>
        <w:t>学硕士论文</w:t>
      </w:r>
      <w:r>
        <w:rPr>
          <w:rFonts w:ascii="Times New Roman" w:eastAsia="Times New Roman"/>
          <w:sz w:val="24"/>
        </w:rPr>
        <w:t>.2014.</w:t>
      </w:r>
    </w:p>
    <w:p>
      <w:pPr>
        <w:spacing w:after="0" w:line="364" w:lineRule="auto"/>
        <w:jc w:val="left"/>
        <w:rPr>
          <w:rFonts w:ascii="Times New Roman" w:eastAsia="Times New Roman"/>
          <w:sz w:val="24"/>
        </w:rPr>
        <w:sectPr>
          <w:pgSz w:w="11910" w:h="16840"/>
          <w:pgMar w:header="878" w:footer="1191" w:top="1300" w:bottom="1380" w:left="480" w:right="220"/>
        </w:sectPr>
      </w:pPr>
    </w:p>
    <w:p>
      <w:pPr>
        <w:pStyle w:val="BodyText"/>
        <w:spacing w:before="6"/>
        <w:rPr>
          <w:rFonts w:ascii="Times New Roman"/>
          <w:sz w:val="17"/>
        </w:rPr>
      </w:pPr>
    </w:p>
    <w:p>
      <w:pPr>
        <w:pStyle w:val="Heading2"/>
        <w:spacing w:line="485" w:lineRule="exact"/>
        <w:ind w:left="1320" w:firstLine="0"/>
      </w:pPr>
      <w:r>
        <w:rPr/>
        <w:t>英文类：</w:t>
      </w:r>
    </w:p>
    <w:p>
      <w:pPr>
        <w:pStyle w:val="ListParagraph"/>
        <w:numPr>
          <w:ilvl w:val="0"/>
          <w:numId w:val="53"/>
        </w:numPr>
        <w:tabs>
          <w:tab w:pos="1719" w:val="left" w:leader="none"/>
        </w:tabs>
        <w:spacing w:line="360" w:lineRule="auto" w:before="68" w:after="0"/>
        <w:ind w:left="1320" w:right="1668" w:firstLine="0"/>
        <w:jc w:val="both"/>
        <w:rPr>
          <w:rFonts w:ascii="Times New Roman"/>
          <w:sz w:val="24"/>
        </w:rPr>
      </w:pPr>
      <w:r>
        <w:rPr>
          <w:rFonts w:ascii="Times New Roman"/>
          <w:spacing w:val="-3"/>
          <w:sz w:val="24"/>
        </w:rPr>
        <w:t>Miller.M.F.Journal </w:t>
      </w:r>
      <w:r>
        <w:rPr>
          <w:rFonts w:ascii="Times New Roman"/>
          <w:sz w:val="24"/>
        </w:rPr>
        <w:t>of </w:t>
      </w:r>
      <w:r>
        <w:rPr>
          <w:rFonts w:ascii="Times New Roman"/>
          <w:spacing w:val="-4"/>
          <w:sz w:val="24"/>
        </w:rPr>
        <w:t>Vocational  </w:t>
      </w:r>
      <w:r>
        <w:rPr>
          <w:rFonts w:ascii="Times New Roman"/>
          <w:sz w:val="24"/>
        </w:rPr>
        <w:t>Behavior.Relationship  of  </w:t>
      </w:r>
      <w:r>
        <w:rPr>
          <w:rFonts w:ascii="Times New Roman"/>
          <w:spacing w:val="-4"/>
          <w:sz w:val="24"/>
        </w:rPr>
        <w:t>Vocational  </w:t>
      </w:r>
      <w:r>
        <w:rPr>
          <w:rFonts w:ascii="Times New Roman"/>
          <w:sz w:val="24"/>
        </w:rPr>
        <w:t>Maturit y </w:t>
      </w:r>
      <w:r>
        <w:rPr>
          <w:rFonts w:ascii="Times New Roman"/>
          <w:spacing w:val="-5"/>
          <w:sz w:val="24"/>
        </w:rPr>
        <w:t>Work</w:t>
      </w:r>
      <w:r>
        <w:rPr>
          <w:rFonts w:ascii="Times New Roman"/>
          <w:spacing w:val="48"/>
          <w:sz w:val="24"/>
        </w:rPr>
        <w:t> </w:t>
      </w:r>
      <w:r>
        <w:rPr>
          <w:rFonts w:ascii="Times New Roman"/>
          <w:sz w:val="24"/>
        </w:rPr>
        <w:t>Values[M].1974.</w:t>
      </w:r>
    </w:p>
    <w:p>
      <w:pPr>
        <w:pStyle w:val="ListParagraph"/>
        <w:numPr>
          <w:ilvl w:val="0"/>
          <w:numId w:val="53"/>
        </w:numPr>
        <w:tabs>
          <w:tab w:pos="1707" w:val="left" w:leader="none"/>
        </w:tabs>
        <w:spacing w:line="360" w:lineRule="auto" w:before="0" w:after="0"/>
        <w:ind w:left="1320" w:right="1622" w:firstLine="0"/>
        <w:jc w:val="both"/>
        <w:rPr>
          <w:rFonts w:ascii="Times New Roman"/>
          <w:sz w:val="24"/>
        </w:rPr>
      </w:pPr>
      <w:r>
        <w:rPr>
          <w:rFonts w:ascii="Times New Roman"/>
          <w:sz w:val="24"/>
        </w:rPr>
        <w:t>A.G.Watts.Career Education for </w:t>
      </w:r>
      <w:r>
        <w:rPr>
          <w:rFonts w:ascii="Times New Roman"/>
          <w:spacing w:val="-5"/>
          <w:sz w:val="24"/>
        </w:rPr>
        <w:t>Young </w:t>
      </w:r>
      <w:r>
        <w:rPr>
          <w:rFonts w:ascii="Times New Roman"/>
          <w:sz w:val="24"/>
        </w:rPr>
        <w:t>People:  Rationale  and  Provision  in  t he UK and Other European Countries.[J]. Educational and </w:t>
      </w:r>
      <w:r>
        <w:rPr>
          <w:rFonts w:ascii="Times New Roman"/>
          <w:spacing w:val="-4"/>
          <w:sz w:val="24"/>
        </w:rPr>
        <w:t>Vocational </w:t>
      </w:r>
      <w:r>
        <w:rPr>
          <w:rFonts w:ascii="Times New Roman"/>
          <w:sz w:val="24"/>
        </w:rPr>
        <w:t>Guidance, 2001(1)</w:t>
      </w:r>
    </w:p>
    <w:p>
      <w:pPr>
        <w:pStyle w:val="ListParagraph"/>
        <w:numPr>
          <w:ilvl w:val="0"/>
          <w:numId w:val="53"/>
        </w:numPr>
        <w:tabs>
          <w:tab w:pos="1719" w:val="left" w:leader="none"/>
        </w:tabs>
        <w:spacing w:line="364" w:lineRule="auto" w:before="0" w:after="0"/>
        <w:ind w:left="1319" w:right="1575" w:firstLine="0"/>
        <w:jc w:val="both"/>
        <w:rPr>
          <w:rFonts w:ascii="Times New Roman" w:eastAsia="Times New Roman"/>
          <w:sz w:val="24"/>
        </w:rPr>
      </w:pPr>
      <w:r>
        <w:rPr>
          <w:rFonts w:ascii="Times New Roman" w:eastAsia="Times New Roman"/>
          <w:sz w:val="24"/>
        </w:rPr>
        <w:t>Crites.J.O.Career </w:t>
      </w:r>
      <w:r>
        <w:rPr>
          <w:rFonts w:ascii="Times New Roman" w:eastAsia="Times New Roman"/>
          <w:spacing w:val="-3"/>
          <w:sz w:val="24"/>
        </w:rPr>
        <w:t>Counseling</w:t>
      </w:r>
      <w:r>
        <w:rPr>
          <w:spacing w:val="-3"/>
          <w:sz w:val="24"/>
        </w:rPr>
        <w:t>：</w:t>
      </w:r>
      <w:r>
        <w:rPr>
          <w:rFonts w:ascii="Times New Roman" w:eastAsia="Times New Roman"/>
          <w:spacing w:val="-3"/>
          <w:sz w:val="24"/>
        </w:rPr>
        <w:t>A </w:t>
      </w:r>
      <w:r>
        <w:rPr>
          <w:rFonts w:ascii="Times New Roman" w:eastAsia="Times New Roman"/>
          <w:sz w:val="24"/>
        </w:rPr>
        <w:t>Review of Major Approaches[J].The Counse ling</w:t>
      </w:r>
      <w:r>
        <w:rPr>
          <w:rFonts w:ascii="Times New Roman" w:eastAsia="Times New Roman"/>
          <w:spacing w:val="56"/>
          <w:sz w:val="24"/>
        </w:rPr>
        <w:t> </w:t>
      </w:r>
      <w:r>
        <w:rPr>
          <w:rFonts w:ascii="Times New Roman" w:eastAsia="Times New Roman"/>
          <w:sz w:val="24"/>
        </w:rPr>
        <w:t>Psychologist.1974(13)..</w:t>
      </w:r>
    </w:p>
    <w:p>
      <w:pPr>
        <w:pStyle w:val="ListParagraph"/>
        <w:numPr>
          <w:ilvl w:val="0"/>
          <w:numId w:val="53"/>
        </w:numPr>
        <w:tabs>
          <w:tab w:pos="1719" w:val="left" w:leader="none"/>
        </w:tabs>
        <w:spacing w:line="362" w:lineRule="auto" w:before="0" w:after="0"/>
        <w:ind w:left="1319" w:right="1624" w:firstLine="0"/>
        <w:jc w:val="both"/>
        <w:rPr>
          <w:rFonts w:ascii="Times New Roman" w:eastAsia="Times New Roman"/>
          <w:sz w:val="24"/>
        </w:rPr>
      </w:pPr>
      <w:r>
        <w:rPr>
          <w:rFonts w:ascii="Times New Roman" w:eastAsia="Times New Roman"/>
          <w:sz w:val="24"/>
        </w:rPr>
        <w:t>Reese, Susan.A Leading Role for Career Guidance Counselors Connecting E ducation and Careers</w:t>
      </w:r>
      <w:r>
        <w:rPr>
          <w:rFonts w:ascii="Times New Roman" w:eastAsia="Times New Roman"/>
          <w:spacing w:val="1"/>
          <w:sz w:val="24"/>
        </w:rPr>
        <w:t> </w:t>
      </w:r>
      <w:r>
        <w:rPr>
          <w:rFonts w:ascii="Times New Roman" w:eastAsia="Times New Roman"/>
          <w:sz w:val="24"/>
        </w:rPr>
        <w:t>[J]</w:t>
      </w:r>
      <w:r>
        <w:rPr>
          <w:sz w:val="24"/>
        </w:rPr>
        <w:t>，</w:t>
      </w:r>
      <w:r>
        <w:rPr>
          <w:rFonts w:ascii="Times New Roman" w:eastAsia="Times New Roman"/>
          <w:sz w:val="24"/>
        </w:rPr>
        <w:t>2010</w:t>
      </w:r>
      <w:r>
        <w:rPr>
          <w:sz w:val="24"/>
        </w:rPr>
        <w:t>（</w:t>
      </w:r>
      <w:r>
        <w:rPr>
          <w:rFonts w:ascii="Times New Roman" w:eastAsia="Times New Roman"/>
          <w:sz w:val="24"/>
        </w:rPr>
        <w:t>10</w:t>
      </w:r>
      <w:r>
        <w:rPr>
          <w:sz w:val="24"/>
        </w:rPr>
        <w:t>）</w:t>
      </w:r>
      <w:r>
        <w:rPr>
          <w:rFonts w:ascii="Times New Roman" w:eastAsia="Times New Roman"/>
          <w:sz w:val="24"/>
        </w:rPr>
        <w:t>.</w:t>
      </w:r>
    </w:p>
    <w:p>
      <w:pPr>
        <w:pStyle w:val="ListParagraph"/>
        <w:numPr>
          <w:ilvl w:val="0"/>
          <w:numId w:val="53"/>
        </w:numPr>
        <w:tabs>
          <w:tab w:pos="1719" w:val="left" w:leader="none"/>
        </w:tabs>
        <w:spacing w:line="362" w:lineRule="auto" w:before="0" w:after="0"/>
        <w:ind w:left="1319" w:right="1464" w:firstLine="0"/>
        <w:jc w:val="both"/>
        <w:rPr>
          <w:rFonts w:ascii="Times New Roman" w:eastAsia="Times New Roman"/>
          <w:sz w:val="24"/>
        </w:rPr>
      </w:pPr>
      <w:r>
        <w:rPr>
          <w:rFonts w:ascii="Times New Roman" w:eastAsia="Times New Roman"/>
          <w:sz w:val="24"/>
        </w:rPr>
        <w:t>Gabor Halasz &amp; Alain Michel. Key  competences  in  Europe:  interpretion,  po licy formulation and implementation[J].European Journal of</w:t>
      </w:r>
      <w:r>
        <w:rPr>
          <w:rFonts w:ascii="Times New Roman" w:eastAsia="Times New Roman"/>
          <w:spacing w:val="57"/>
          <w:sz w:val="24"/>
        </w:rPr>
        <w:t> </w:t>
      </w:r>
      <w:r>
        <w:rPr>
          <w:rFonts w:ascii="Times New Roman" w:eastAsia="Times New Roman"/>
          <w:spacing w:val="-5"/>
          <w:sz w:val="24"/>
        </w:rPr>
        <w:t>Education.2011</w:t>
      </w:r>
      <w:r>
        <w:rPr>
          <w:spacing w:val="-5"/>
          <w:sz w:val="24"/>
        </w:rPr>
        <w:t>（</w:t>
      </w:r>
      <w:r>
        <w:rPr>
          <w:rFonts w:ascii="Times New Roman" w:eastAsia="Times New Roman"/>
          <w:spacing w:val="-5"/>
          <w:sz w:val="24"/>
        </w:rPr>
        <w:t>11</w:t>
      </w:r>
      <w:r>
        <w:rPr>
          <w:spacing w:val="-5"/>
          <w:sz w:val="24"/>
        </w:rPr>
        <w:t>）</w:t>
      </w:r>
      <w:r>
        <w:rPr>
          <w:rFonts w:ascii="Times New Roman" w:eastAsia="Times New Roman"/>
          <w:spacing w:val="-5"/>
          <w:sz w:val="24"/>
        </w:rPr>
        <w:t>.</w:t>
      </w:r>
    </w:p>
    <w:p>
      <w:pPr>
        <w:pStyle w:val="ListParagraph"/>
        <w:numPr>
          <w:ilvl w:val="0"/>
          <w:numId w:val="53"/>
        </w:numPr>
        <w:tabs>
          <w:tab w:pos="1707" w:val="left" w:leader="none"/>
        </w:tabs>
        <w:spacing w:line="362" w:lineRule="auto" w:before="0" w:after="0"/>
        <w:ind w:left="1319" w:right="1579" w:firstLine="0"/>
        <w:jc w:val="left"/>
        <w:rPr>
          <w:sz w:val="24"/>
        </w:rPr>
      </w:pPr>
      <w:r>
        <w:rPr>
          <w:rFonts w:ascii="Times New Roman" w:eastAsia="Times New Roman"/>
          <w:sz w:val="24"/>
        </w:rPr>
        <w:t>Alejandro Tiana, Jose Moya &amp; Florencio Luengo. Implementing Key Comp etences in Basic </w:t>
      </w:r>
      <w:r>
        <w:rPr>
          <w:rFonts w:ascii="Times New Roman" w:eastAsia="Times New Roman"/>
          <w:spacing w:val="-3"/>
          <w:sz w:val="24"/>
        </w:rPr>
        <w:t>Education</w:t>
      </w:r>
      <w:r>
        <w:rPr>
          <w:spacing w:val="-3"/>
          <w:sz w:val="24"/>
        </w:rPr>
        <w:t>：</w:t>
      </w:r>
      <w:r>
        <w:rPr>
          <w:rFonts w:ascii="Times New Roman" w:eastAsia="Times New Roman"/>
          <w:spacing w:val="-3"/>
          <w:sz w:val="24"/>
        </w:rPr>
        <w:t>Reflections  </w:t>
      </w:r>
      <w:r>
        <w:rPr>
          <w:rFonts w:ascii="Times New Roman" w:eastAsia="Times New Roman"/>
          <w:sz w:val="24"/>
        </w:rPr>
        <w:t>on  Curriculum  Design  and  Development in Spain[J]. European Journal of</w:t>
      </w:r>
      <w:r>
        <w:rPr>
          <w:rFonts w:ascii="Times New Roman" w:eastAsia="Times New Roman"/>
          <w:spacing w:val="54"/>
          <w:sz w:val="24"/>
        </w:rPr>
        <w:t> </w:t>
      </w:r>
      <w:r>
        <w:rPr>
          <w:rFonts w:ascii="Times New Roman" w:eastAsia="Times New Roman"/>
          <w:sz w:val="24"/>
        </w:rPr>
        <w:t>Education,2011</w:t>
      </w:r>
      <w:r>
        <w:rPr>
          <w:sz w:val="24"/>
        </w:rPr>
        <w:t>（</w:t>
      </w:r>
      <w:r>
        <w:rPr>
          <w:rFonts w:ascii="Times New Roman" w:eastAsia="Times New Roman"/>
          <w:sz w:val="24"/>
        </w:rPr>
        <w:t>11</w:t>
      </w:r>
      <w:r>
        <w:rPr>
          <w:sz w:val="24"/>
        </w:rPr>
        <w:t>）</w:t>
      </w:r>
    </w:p>
    <w:p>
      <w:pPr>
        <w:pStyle w:val="ListParagraph"/>
        <w:numPr>
          <w:ilvl w:val="0"/>
          <w:numId w:val="53"/>
        </w:numPr>
        <w:tabs>
          <w:tab w:pos="1719" w:val="left" w:leader="none"/>
        </w:tabs>
        <w:spacing w:line="364" w:lineRule="auto" w:before="0" w:after="0"/>
        <w:ind w:left="1320" w:right="1697" w:firstLine="0"/>
        <w:jc w:val="left"/>
        <w:rPr>
          <w:rFonts w:ascii="Times New Roman" w:eastAsia="Times New Roman"/>
          <w:sz w:val="24"/>
        </w:rPr>
      </w:pPr>
      <w:r>
        <w:rPr>
          <w:rFonts w:ascii="Times New Roman" w:eastAsia="Times New Roman"/>
          <w:sz w:val="24"/>
        </w:rPr>
        <w:t>U. S. Department of </w:t>
      </w:r>
      <w:r>
        <w:rPr>
          <w:rFonts w:ascii="Times New Roman" w:eastAsia="Times New Roman"/>
          <w:spacing w:val="-3"/>
          <w:sz w:val="24"/>
        </w:rPr>
        <w:t>Education</w:t>
      </w:r>
      <w:r>
        <w:rPr>
          <w:spacing w:val="-3"/>
          <w:sz w:val="24"/>
        </w:rPr>
        <w:t>，</w:t>
      </w:r>
      <w:r>
        <w:rPr>
          <w:rFonts w:ascii="Times New Roman" w:eastAsia="Times New Roman"/>
          <w:spacing w:val="-3"/>
          <w:sz w:val="24"/>
        </w:rPr>
        <w:t>Office </w:t>
      </w:r>
      <w:r>
        <w:rPr>
          <w:rFonts w:ascii="Times New Roman" w:eastAsia="Times New Roman"/>
          <w:sz w:val="24"/>
        </w:rPr>
        <w:t>of Planning</w:t>
      </w:r>
      <w:r>
        <w:rPr>
          <w:sz w:val="24"/>
        </w:rPr>
        <w:t>，</w:t>
      </w:r>
      <w:r>
        <w:rPr>
          <w:rFonts w:ascii="Times New Roman" w:eastAsia="Times New Roman"/>
          <w:sz w:val="24"/>
        </w:rPr>
        <w:t>Evaluation and Policy Development. ESEA Blueprint for</w:t>
      </w:r>
      <w:r>
        <w:rPr>
          <w:rFonts w:ascii="Times New Roman" w:eastAsia="Times New Roman"/>
          <w:spacing w:val="30"/>
          <w:sz w:val="24"/>
        </w:rPr>
        <w:t> </w:t>
      </w:r>
      <w:r>
        <w:rPr>
          <w:rFonts w:ascii="Times New Roman" w:eastAsia="Times New Roman"/>
          <w:sz w:val="24"/>
        </w:rPr>
        <w:t>Reform[R].Washington</w:t>
      </w:r>
      <w:r>
        <w:rPr>
          <w:sz w:val="24"/>
        </w:rPr>
        <w:t>，</w:t>
      </w:r>
      <w:r>
        <w:rPr>
          <w:rFonts w:ascii="Times New Roman" w:eastAsia="Times New Roman"/>
          <w:sz w:val="24"/>
        </w:rPr>
        <w:t>D.C.</w:t>
      </w:r>
      <w:r>
        <w:rPr>
          <w:sz w:val="24"/>
        </w:rPr>
        <w:t>，</w:t>
      </w:r>
      <w:r>
        <w:rPr>
          <w:rFonts w:ascii="Times New Roman" w:eastAsia="Times New Roman"/>
          <w:sz w:val="24"/>
        </w:rPr>
        <w:t>2010:3.</w:t>
      </w:r>
    </w:p>
    <w:p>
      <w:pPr>
        <w:pStyle w:val="ListParagraph"/>
        <w:numPr>
          <w:ilvl w:val="0"/>
          <w:numId w:val="53"/>
        </w:numPr>
        <w:tabs>
          <w:tab w:pos="1719" w:val="left" w:leader="none"/>
        </w:tabs>
        <w:spacing w:line="360" w:lineRule="auto" w:before="0" w:after="0"/>
        <w:ind w:left="1320" w:right="1597" w:firstLine="0"/>
        <w:jc w:val="left"/>
        <w:rPr>
          <w:rFonts w:ascii="Times New Roman"/>
          <w:sz w:val="24"/>
        </w:rPr>
      </w:pPr>
      <w:r>
        <w:rPr>
          <w:rFonts w:ascii="Times New Roman"/>
          <w:sz w:val="24"/>
        </w:rPr>
        <w:t>Minstry of Education SINGAPORE.21stcentury competencies.[EB/OL].https://</w:t>
      </w:r>
      <w:hyperlink r:id="rId115">
        <w:r>
          <w:rPr>
            <w:rFonts w:ascii="Times New Roman"/>
            <w:sz w:val="24"/>
          </w:rPr>
          <w:t> www.moe.gov.sg/education/education-system/21st-century-competencies.2016-5-18.</w:t>
        </w:r>
      </w:hyperlink>
    </w:p>
    <w:p>
      <w:pPr>
        <w:pStyle w:val="ListParagraph"/>
        <w:numPr>
          <w:ilvl w:val="0"/>
          <w:numId w:val="53"/>
        </w:numPr>
        <w:tabs>
          <w:tab w:pos="1719" w:val="left" w:leader="none"/>
        </w:tabs>
        <w:spacing w:line="360" w:lineRule="auto" w:before="0" w:after="0"/>
        <w:ind w:left="1320" w:right="1580" w:firstLine="0"/>
        <w:jc w:val="both"/>
        <w:rPr>
          <w:rFonts w:ascii="Times New Roman"/>
          <w:sz w:val="24"/>
        </w:rPr>
      </w:pPr>
      <w:r>
        <w:rPr>
          <w:rFonts w:ascii="Times New Roman"/>
          <w:sz w:val="24"/>
        </w:rPr>
        <w:t>P21.Partnership for 21st Century learning .Framework for 21st Century  Lear ning. [EB/OL].</w:t>
      </w:r>
      <w:hyperlink r:id="rId22">
        <w:r>
          <w:rPr>
            <w:rFonts w:ascii="Times New Roman"/>
            <w:sz w:val="24"/>
          </w:rPr>
          <w:t>http://www.p21.org/storage/documents/P21_framework_0515.pdf</w:t>
        </w:r>
      </w:hyperlink>
      <w:r>
        <w:rPr>
          <w:rFonts w:ascii="Times New Roman"/>
          <w:sz w:val="24"/>
        </w:rPr>
        <w:t>.201 6-2-1.</w:t>
      </w:r>
    </w:p>
    <w:p>
      <w:pPr>
        <w:pStyle w:val="ListParagraph"/>
        <w:numPr>
          <w:ilvl w:val="0"/>
          <w:numId w:val="53"/>
        </w:numPr>
        <w:tabs>
          <w:tab w:pos="1839" w:val="left" w:leader="none"/>
        </w:tabs>
        <w:spacing w:line="360" w:lineRule="auto" w:before="0" w:after="0"/>
        <w:ind w:left="1320" w:right="1608" w:firstLine="0"/>
        <w:jc w:val="left"/>
        <w:rPr>
          <w:rFonts w:ascii="Times New Roman"/>
          <w:sz w:val="24"/>
        </w:rPr>
      </w:pPr>
      <w:r>
        <w:rPr>
          <w:rFonts w:ascii="Times New Roman"/>
          <w:sz w:val="24"/>
        </w:rPr>
        <w:t>Miles Morgan Australia, Commonwealth of Australia, CanberraMCEECDY A.2010 The Australian Blueprint for Career Development, [EB/OL].https://docs.e ducation.gov.au/system/files/doc/other/australian_blueprint_for_career_development. pdf,2016-3-5.</w:t>
      </w:r>
    </w:p>
    <w:p>
      <w:pPr>
        <w:pStyle w:val="ListParagraph"/>
        <w:numPr>
          <w:ilvl w:val="0"/>
          <w:numId w:val="53"/>
        </w:numPr>
        <w:tabs>
          <w:tab w:pos="1827" w:val="left" w:leader="none"/>
        </w:tabs>
        <w:spacing w:line="360" w:lineRule="auto" w:before="0" w:after="0"/>
        <w:ind w:left="1320" w:right="1583" w:firstLine="0"/>
        <w:jc w:val="left"/>
        <w:rPr>
          <w:rFonts w:ascii="Times New Roman"/>
          <w:sz w:val="24"/>
        </w:rPr>
      </w:pPr>
      <w:r>
        <w:rPr>
          <w:rFonts w:ascii="Times New Roman"/>
          <w:sz w:val="24"/>
        </w:rPr>
        <w:t>The Canadian Council of Career Development  Associations.Candian  Standa rds and Guidalines for Career Development Practitioners-Core</w:t>
      </w:r>
      <w:r>
        <w:rPr>
          <w:rFonts w:ascii="Times New Roman"/>
          <w:spacing w:val="43"/>
          <w:sz w:val="24"/>
        </w:rPr>
        <w:t> </w:t>
      </w:r>
      <w:r>
        <w:rPr>
          <w:rFonts w:ascii="Times New Roman"/>
          <w:sz w:val="24"/>
        </w:rPr>
        <w:t>Competencies.[EB</w:t>
      </w:r>
    </w:p>
    <w:p>
      <w:pPr>
        <w:pStyle w:val="BodyText"/>
        <w:spacing w:line="360" w:lineRule="auto"/>
        <w:ind w:left="1320" w:right="1587"/>
        <w:rPr>
          <w:rFonts w:ascii="Times New Roman"/>
        </w:rPr>
      </w:pPr>
      <w:r>
        <w:rPr>
          <w:rFonts w:ascii="Times New Roman"/>
        </w:rPr>
        <w:t>/OL]</w:t>
      </w:r>
      <w:hyperlink r:id="rId116">
        <w:r>
          <w:rPr>
            <w:rFonts w:ascii="Times New Roman"/>
          </w:rPr>
          <w:t>.ht</w:t>
        </w:r>
      </w:hyperlink>
      <w:r>
        <w:rPr>
          <w:rFonts w:ascii="Times New Roman"/>
        </w:rPr>
        <w:t>t</w:t>
      </w:r>
      <w:hyperlink r:id="rId116">
        <w:r>
          <w:rPr>
            <w:rFonts w:ascii="Times New Roman"/>
          </w:rPr>
          <w:t>p://career-dev-guidelines.org/career_dev/wp-content/uploads/2015/06/Core-C</w:t>
        </w:r>
      </w:hyperlink>
      <w:r>
        <w:rPr>
          <w:rFonts w:ascii="Times New Roman"/>
        </w:rPr>
        <w:t> ompetencies.pdf,2016-3-5.</w:t>
      </w:r>
    </w:p>
    <w:p>
      <w:pPr>
        <w:pStyle w:val="ListParagraph"/>
        <w:numPr>
          <w:ilvl w:val="0"/>
          <w:numId w:val="53"/>
        </w:numPr>
        <w:tabs>
          <w:tab w:pos="1839" w:val="left" w:leader="none"/>
        </w:tabs>
        <w:spacing w:line="360" w:lineRule="auto" w:before="0" w:after="0"/>
        <w:ind w:left="1440" w:right="1626" w:hanging="120"/>
        <w:jc w:val="left"/>
        <w:rPr>
          <w:rFonts w:ascii="Times New Roman"/>
          <w:sz w:val="24"/>
        </w:rPr>
      </w:pPr>
      <w:r>
        <w:rPr>
          <w:rFonts w:ascii="Times New Roman"/>
          <w:sz w:val="24"/>
        </w:rPr>
        <w:t>New Zealand Government.Career Education and Guidance in New Zealand </w:t>
      </w:r>
      <w:r>
        <w:rPr>
          <w:rFonts w:ascii="Times New Roman"/>
          <w:spacing w:val="-1"/>
          <w:sz w:val="24"/>
        </w:rPr>
        <w:t>Schools[EB/OL]</w:t>
      </w:r>
      <w:hyperlink r:id="rId117">
        <w:r>
          <w:rPr>
            <w:rFonts w:ascii="Times New Roman"/>
            <w:spacing w:val="-1"/>
            <w:sz w:val="24"/>
          </w:rPr>
          <w:t>.ht</w:t>
        </w:r>
      </w:hyperlink>
      <w:r>
        <w:rPr>
          <w:rFonts w:ascii="Times New Roman"/>
          <w:spacing w:val="-1"/>
          <w:sz w:val="24"/>
        </w:rPr>
        <w:t>t</w:t>
      </w:r>
      <w:hyperlink r:id="rId117">
        <w:r>
          <w:rPr>
            <w:rFonts w:ascii="Times New Roman"/>
            <w:spacing w:val="-1"/>
            <w:sz w:val="24"/>
          </w:rPr>
          <w:t>p://nzcurriculum.tki.org.nz/Curriculum-resources/Career-educati</w:t>
        </w:r>
      </w:hyperlink>
    </w:p>
    <w:p>
      <w:pPr>
        <w:spacing w:after="0" w:line="360" w:lineRule="auto"/>
        <w:jc w:val="left"/>
        <w:rPr>
          <w:rFonts w:ascii="Times New Roman"/>
          <w:sz w:val="24"/>
        </w:rPr>
        <w:sectPr>
          <w:pgSz w:w="11910" w:h="16840"/>
          <w:pgMar w:header="878" w:footer="1191" w:top="1300" w:bottom="1380" w:left="480" w:right="220"/>
        </w:sectPr>
      </w:pPr>
    </w:p>
    <w:p>
      <w:pPr>
        <w:pStyle w:val="BodyText"/>
        <w:spacing w:before="130"/>
        <w:ind w:left="1320"/>
        <w:rPr>
          <w:rFonts w:ascii="Times New Roman"/>
        </w:rPr>
      </w:pPr>
      <w:r>
        <w:rPr>
          <w:rFonts w:ascii="Times New Roman"/>
        </w:rPr>
        <w:t>on,2016-3-5.</w:t>
      </w:r>
    </w:p>
    <w:p>
      <w:pPr>
        <w:pStyle w:val="ListParagraph"/>
        <w:numPr>
          <w:ilvl w:val="0"/>
          <w:numId w:val="53"/>
        </w:numPr>
        <w:tabs>
          <w:tab w:pos="1839" w:val="left" w:leader="none"/>
        </w:tabs>
        <w:spacing w:line="360" w:lineRule="auto" w:before="137" w:after="0"/>
        <w:ind w:left="1320" w:right="1631" w:firstLine="0"/>
        <w:jc w:val="left"/>
        <w:rPr>
          <w:rFonts w:ascii="Times New Roman" w:hAnsi="Times New Roman"/>
          <w:sz w:val="24"/>
        </w:rPr>
      </w:pPr>
      <w:r>
        <w:rPr>
          <w:rFonts w:ascii="Times New Roman" w:hAnsi="Times New Roman"/>
          <w:sz w:val="24"/>
        </w:rPr>
        <w:t>OECD.The Survey of Adult Skills (PIAAC) and “Key Competencies”.[EB/ OL].http://www.oecd-ilibrary.org/deliver/8716021ec009.pdf?itemId=/content/chapter</w:t>
      </w:r>
    </w:p>
    <w:p>
      <w:pPr>
        <w:pStyle w:val="BodyText"/>
        <w:ind w:left="1320"/>
        <w:rPr>
          <w:rFonts w:ascii="Times New Roman"/>
        </w:rPr>
      </w:pPr>
      <w:r>
        <w:rPr>
          <w:rFonts w:ascii="Times New Roman"/>
        </w:rPr>
        <w:t>/9789264258075-9-en&amp;mimeType=application/pdf.2017-2-9.</w:t>
      </w:r>
    </w:p>
    <w:p>
      <w:pPr>
        <w:pStyle w:val="ListParagraph"/>
        <w:numPr>
          <w:ilvl w:val="0"/>
          <w:numId w:val="53"/>
        </w:numPr>
        <w:tabs>
          <w:tab w:pos="1839" w:val="left" w:leader="none"/>
        </w:tabs>
        <w:spacing w:line="360" w:lineRule="auto" w:before="137" w:after="0"/>
        <w:ind w:left="1320" w:right="1592" w:firstLine="0"/>
        <w:jc w:val="left"/>
        <w:rPr>
          <w:rFonts w:ascii="Times New Roman"/>
          <w:sz w:val="24"/>
        </w:rPr>
      </w:pPr>
      <w:r>
        <w:rPr>
          <w:rFonts w:ascii="Times New Roman"/>
          <w:sz w:val="24"/>
        </w:rPr>
        <w:t>OECD (2005) The definition and selection of key competencies [Executive Summary]. [EB/OL]</w:t>
      </w:r>
      <w:hyperlink r:id="rId118">
        <w:r>
          <w:rPr>
            <w:rFonts w:ascii="Times New Roman"/>
            <w:sz w:val="24"/>
          </w:rPr>
          <w:t>.ht</w:t>
        </w:r>
      </w:hyperlink>
      <w:r>
        <w:rPr>
          <w:rFonts w:ascii="Times New Roman"/>
          <w:sz w:val="24"/>
        </w:rPr>
        <w:t>t</w:t>
      </w:r>
      <w:hyperlink r:id="rId118">
        <w:r>
          <w:rPr>
            <w:rFonts w:ascii="Times New Roman"/>
            <w:sz w:val="24"/>
          </w:rPr>
          <w:t>p://www.oecd.org/dataoecd/47/61/35070367.pdf.2016-5-18.</w:t>
        </w:r>
      </w:hyperlink>
      <w:r>
        <w:rPr>
          <w:rFonts w:ascii="Times New Roman"/>
          <w:sz w:val="24"/>
        </w:rPr>
        <w:t> http://www.oecd-ilibrary.org/deliver/8716021ec009.pdf?itemId=/content/chapter/978 9264258075-9-en&amp;mimeType=application/pdf.2017-2-9.</w:t>
      </w:r>
    </w:p>
    <w:p>
      <w:pPr>
        <w:pStyle w:val="ListParagraph"/>
        <w:numPr>
          <w:ilvl w:val="0"/>
          <w:numId w:val="53"/>
        </w:numPr>
        <w:tabs>
          <w:tab w:pos="1839" w:val="left" w:leader="none"/>
        </w:tabs>
        <w:spacing w:line="357" w:lineRule="auto" w:before="2" w:after="0"/>
        <w:ind w:left="1320" w:right="1590" w:firstLine="0"/>
        <w:jc w:val="left"/>
        <w:rPr>
          <w:rFonts w:ascii="Times New Roman"/>
          <w:sz w:val="24"/>
        </w:rPr>
      </w:pPr>
      <w:r>
        <w:rPr>
          <w:rFonts w:ascii="Times New Roman"/>
          <w:sz w:val="24"/>
        </w:rPr>
        <w:t>NOICC</w:t>
      </w:r>
      <w:r>
        <w:rPr>
          <w:rFonts w:ascii="Calibri"/>
          <w:sz w:val="21"/>
        </w:rPr>
        <w:t>.</w:t>
      </w:r>
      <w:r>
        <w:rPr>
          <w:rFonts w:ascii="Times New Roman"/>
          <w:sz w:val="24"/>
        </w:rPr>
        <w:t>National Career Development Guideline.[EB/OL].https://www.careero nestop.org/competencymodel/modelFiles/Natl.CareerDev.Guidelines.pdf.2017-2-9.</w:t>
      </w:r>
    </w:p>
    <w:p>
      <w:pPr>
        <w:pStyle w:val="ListParagraph"/>
        <w:numPr>
          <w:ilvl w:val="0"/>
          <w:numId w:val="53"/>
        </w:numPr>
        <w:tabs>
          <w:tab w:pos="1839" w:val="left" w:leader="none"/>
        </w:tabs>
        <w:spacing w:line="360" w:lineRule="auto" w:before="6" w:after="0"/>
        <w:ind w:left="1320" w:right="1642" w:firstLine="0"/>
        <w:jc w:val="left"/>
        <w:rPr>
          <w:rFonts w:ascii="Times New Roman"/>
          <w:sz w:val="24"/>
        </w:rPr>
      </w:pPr>
      <w:r>
        <w:rPr>
          <w:rFonts w:ascii="Times New Roman"/>
          <w:sz w:val="24"/>
        </w:rPr>
        <w:t>Ivan Hodgetts.Rethinking Career Education in  Schools  Foundations  for  a New Zealand framework.[EB/OL].Wellington:Career Services Rapuara.www.caree rs.govt.nz.2016-5-8</w:t>
      </w:r>
    </w:p>
    <w:p>
      <w:pPr>
        <w:pStyle w:val="ListParagraph"/>
        <w:numPr>
          <w:ilvl w:val="0"/>
          <w:numId w:val="53"/>
        </w:numPr>
        <w:tabs>
          <w:tab w:pos="1827" w:val="left" w:leader="none"/>
        </w:tabs>
        <w:spacing w:line="360" w:lineRule="auto" w:before="0" w:after="0"/>
        <w:ind w:left="1320" w:right="1588" w:firstLine="0"/>
        <w:jc w:val="left"/>
        <w:rPr>
          <w:rFonts w:ascii="Times New Roman"/>
          <w:sz w:val="24"/>
        </w:rPr>
      </w:pPr>
      <w:r>
        <w:rPr>
          <w:rFonts w:ascii="Times New Roman"/>
          <w:sz w:val="24"/>
        </w:rPr>
        <w:t>Australian Government.Core Skill For </w:t>
      </w:r>
      <w:r>
        <w:rPr>
          <w:rFonts w:ascii="Times New Roman"/>
          <w:spacing w:val="-5"/>
          <w:sz w:val="24"/>
        </w:rPr>
        <w:t>Work </w:t>
      </w:r>
      <w:r>
        <w:rPr>
          <w:rFonts w:ascii="Times New Roman"/>
          <w:sz w:val="24"/>
        </w:rPr>
        <w:t>Development Framework. [EB/ OL]</w:t>
      </w:r>
      <w:hyperlink r:id="rId119">
        <w:r>
          <w:rPr>
            <w:rFonts w:ascii="Times New Roman"/>
            <w:sz w:val="24"/>
          </w:rPr>
          <w:t>.w</w:t>
        </w:r>
      </w:hyperlink>
      <w:r>
        <w:rPr>
          <w:rFonts w:ascii="Times New Roman"/>
          <w:sz w:val="24"/>
        </w:rPr>
        <w:t>w</w:t>
      </w:r>
      <w:hyperlink r:id="rId119">
        <w:r>
          <w:rPr>
            <w:rFonts w:ascii="Times New Roman"/>
            <w:sz w:val="24"/>
          </w:rPr>
          <w:t>w.innovation.gov.au/csfw.2016-11-9.</w:t>
        </w:r>
      </w:hyperlink>
    </w:p>
    <w:p>
      <w:pPr>
        <w:pStyle w:val="ListParagraph"/>
        <w:numPr>
          <w:ilvl w:val="0"/>
          <w:numId w:val="53"/>
        </w:numPr>
        <w:tabs>
          <w:tab w:pos="1839" w:val="left" w:leader="none"/>
        </w:tabs>
        <w:spacing w:line="360" w:lineRule="auto" w:before="0" w:after="0"/>
        <w:ind w:left="1320" w:right="1647" w:firstLine="0"/>
        <w:jc w:val="left"/>
        <w:rPr>
          <w:rFonts w:ascii="Times New Roman"/>
          <w:sz w:val="24"/>
        </w:rPr>
      </w:pPr>
      <w:r>
        <w:rPr>
          <w:rFonts w:ascii="Times New Roman"/>
          <w:sz w:val="24"/>
        </w:rPr>
        <w:t>Parklands High School.Parklands High School-career.[EB/OL].http://www.pa rklandsacademy.co.uk/careers/.2015-9-7.</w:t>
      </w:r>
    </w:p>
    <w:p>
      <w:pPr>
        <w:pStyle w:val="ListParagraph"/>
        <w:numPr>
          <w:ilvl w:val="0"/>
          <w:numId w:val="53"/>
        </w:numPr>
        <w:tabs>
          <w:tab w:pos="1839" w:val="left" w:leader="none"/>
        </w:tabs>
        <w:spacing w:line="362" w:lineRule="auto" w:before="0" w:after="0"/>
        <w:ind w:left="1320" w:right="1580" w:firstLine="0"/>
        <w:jc w:val="left"/>
        <w:rPr>
          <w:rFonts w:ascii="Times New Roman" w:eastAsia="Times New Roman"/>
          <w:sz w:val="24"/>
        </w:rPr>
      </w:pPr>
      <w:r>
        <w:rPr>
          <w:rFonts w:ascii="Times New Roman" w:eastAsia="Times New Roman"/>
          <w:sz w:val="24"/>
        </w:rPr>
        <w:t>CH </w:t>
      </w:r>
      <w:r>
        <w:rPr>
          <w:rFonts w:ascii="Times New Roman" w:eastAsia="Times New Roman"/>
          <w:spacing w:val="-11"/>
          <w:sz w:val="24"/>
        </w:rPr>
        <w:t>Chiko</w:t>
      </w:r>
      <w:r>
        <w:rPr>
          <w:spacing w:val="-11"/>
          <w:sz w:val="24"/>
        </w:rPr>
        <w:t>，</w:t>
      </w:r>
      <w:r>
        <w:rPr>
          <w:rFonts w:ascii="Times New Roman" w:eastAsia="Times New Roman"/>
          <w:spacing w:val="-11"/>
          <w:sz w:val="24"/>
        </w:rPr>
        <w:t>SE </w:t>
      </w:r>
      <w:r>
        <w:rPr>
          <w:rFonts w:ascii="Times New Roman" w:eastAsia="Times New Roman"/>
          <w:sz w:val="24"/>
        </w:rPr>
        <w:t>Marks.Career Education and Experitential Learning.[EB/OL]. </w:t>
      </w:r>
      <w:hyperlink r:id="rId120">
        <w:r>
          <w:rPr>
            <w:rFonts w:ascii="Times New Roman" w:eastAsia="Times New Roman"/>
            <w:sz w:val="24"/>
          </w:rPr>
          <w:t>http://cjc-rcc.ucalgary.ca/cjc/index.php/rcc/article/view/1961/1808.2017-2-9.</w:t>
        </w:r>
      </w:hyperlink>
    </w:p>
    <w:p>
      <w:pPr>
        <w:pStyle w:val="ListParagraph"/>
        <w:numPr>
          <w:ilvl w:val="0"/>
          <w:numId w:val="53"/>
        </w:numPr>
        <w:tabs>
          <w:tab w:pos="1839" w:val="left" w:leader="none"/>
        </w:tabs>
        <w:spacing w:line="360" w:lineRule="auto" w:before="0" w:after="0"/>
        <w:ind w:left="1320" w:right="1581" w:firstLine="0"/>
        <w:jc w:val="left"/>
        <w:rPr>
          <w:rFonts w:ascii="Times New Roman"/>
          <w:sz w:val="24"/>
        </w:rPr>
      </w:pPr>
      <w:r>
        <w:rPr>
          <w:rFonts w:ascii="Times New Roman"/>
          <w:sz w:val="24"/>
        </w:rPr>
        <w:t>Sidney </w:t>
      </w:r>
      <w:r>
        <w:rPr>
          <w:rFonts w:ascii="Times New Roman"/>
          <w:spacing w:val="-4"/>
          <w:sz w:val="24"/>
        </w:rPr>
        <w:t>P,Marland </w:t>
      </w:r>
      <w:r>
        <w:rPr>
          <w:rFonts w:ascii="Times New Roman"/>
          <w:sz w:val="24"/>
        </w:rPr>
        <w:t>,Jr.Career Educaiton.[EB/OL].</w:t>
      </w:r>
      <w:hyperlink r:id="rId18">
        <w:r>
          <w:rPr>
            <w:rFonts w:ascii="Times New Roman"/>
            <w:sz w:val="24"/>
          </w:rPr>
          <w:t>http://www.eric.ed.gov/conten</w:t>
        </w:r>
      </w:hyperlink>
      <w:hyperlink r:id="rId18">
        <w:r>
          <w:rPr>
            <w:rFonts w:ascii="Times New Roman"/>
            <w:sz w:val="24"/>
          </w:rPr>
          <w:t> tdelivery/servlet/ERICServlet?accno=ED048480</w:t>
        </w:r>
      </w:hyperlink>
      <w:r>
        <w:rPr>
          <w:rFonts w:ascii="Times New Roman"/>
          <w:sz w:val="24"/>
        </w:rPr>
        <w:t>.1971.2016-5-13.</w:t>
      </w:r>
    </w:p>
    <w:p>
      <w:pPr>
        <w:spacing w:after="0" w:line="360" w:lineRule="auto"/>
        <w:jc w:val="left"/>
        <w:rPr>
          <w:rFonts w:ascii="Times New Roman"/>
          <w:sz w:val="24"/>
        </w:rPr>
        <w:sectPr>
          <w:pgSz w:w="11910" w:h="16840"/>
          <w:pgMar w:header="878" w:footer="1191" w:top="1300" w:bottom="1380" w:left="480" w:right="220"/>
        </w:sectPr>
      </w:pPr>
    </w:p>
    <w:p>
      <w:pPr>
        <w:pStyle w:val="BodyText"/>
        <w:spacing w:before="2"/>
        <w:rPr>
          <w:rFonts w:ascii="Times New Roman"/>
          <w:sz w:val="22"/>
        </w:rPr>
      </w:pPr>
    </w:p>
    <w:p>
      <w:pPr>
        <w:pStyle w:val="Heading1"/>
        <w:spacing w:line="511" w:lineRule="exact"/>
        <w:ind w:left="1320"/>
      </w:pPr>
      <w:bookmarkStart w:name="_bookmark287" w:id="338"/>
      <w:bookmarkEnd w:id="338"/>
      <w:r>
        <w:rPr>
          <w:b w:val="0"/>
        </w:rPr>
      </w:r>
      <w:r>
        <w:rPr/>
        <w:t>附录</w:t>
      </w:r>
    </w:p>
    <w:p>
      <w:pPr>
        <w:pStyle w:val="BodyText"/>
        <w:spacing w:before="10"/>
        <w:rPr>
          <w:rFonts w:ascii="Microsoft JhengHei"/>
          <w:b/>
          <w:sz w:val="27"/>
        </w:rPr>
      </w:pPr>
    </w:p>
    <w:p>
      <w:pPr>
        <w:pStyle w:val="Heading2"/>
        <w:spacing w:line="494" w:lineRule="exact"/>
        <w:ind w:left="0" w:right="257" w:firstLine="0"/>
        <w:jc w:val="center"/>
      </w:pPr>
      <w:bookmarkStart w:name="_bookmark288" w:id="339"/>
      <w:bookmarkEnd w:id="339"/>
      <w:r>
        <w:rPr>
          <w:b w:val="0"/>
        </w:rPr>
      </w:r>
      <w:r>
        <w:rPr/>
        <w:t>附录 </w:t>
      </w:r>
      <w:r>
        <w:rPr>
          <w:rFonts w:ascii="Times New Roman" w:eastAsia="Times New Roman"/>
        </w:rPr>
        <w:t>1</w:t>
      </w:r>
      <w:r>
        <w:rPr/>
        <w:t>：教师访谈提纲</w:t>
      </w:r>
    </w:p>
    <w:p>
      <w:pPr>
        <w:pStyle w:val="BodyText"/>
        <w:spacing w:before="4"/>
        <w:rPr>
          <w:rFonts w:ascii="Microsoft JhengHei"/>
          <w:b/>
          <w:sz w:val="22"/>
        </w:rPr>
      </w:pPr>
    </w:p>
    <w:p>
      <w:pPr>
        <w:pStyle w:val="BodyText"/>
        <w:spacing w:line="364" w:lineRule="auto" w:before="1"/>
        <w:ind w:left="1320" w:right="7485"/>
      </w:pPr>
      <w:r>
        <w:rPr>
          <w:spacing w:val="-2"/>
        </w:rPr>
        <w:t>一、教师的基本信息： </w:t>
      </w:r>
      <w:r>
        <w:rPr/>
        <w:t>1.学历</w:t>
      </w:r>
    </w:p>
    <w:p>
      <w:pPr>
        <w:pStyle w:val="BodyText"/>
        <w:spacing w:before="1"/>
        <w:ind w:left="1320"/>
      </w:pPr>
      <w:r>
        <w:rPr/>
        <w:t>2.教龄</w:t>
      </w:r>
    </w:p>
    <w:p>
      <w:pPr>
        <w:pStyle w:val="BodyText"/>
        <w:spacing w:before="160"/>
        <w:ind w:left="1320"/>
      </w:pPr>
      <w:r>
        <w:rPr/>
        <w:t>3.班主任与否</w:t>
      </w:r>
    </w:p>
    <w:p>
      <w:pPr>
        <w:pStyle w:val="BodyText"/>
        <w:spacing w:before="161"/>
        <w:ind w:left="1320"/>
      </w:pPr>
      <w:r>
        <w:rPr/>
        <w:t>4.任教学科</w:t>
      </w:r>
    </w:p>
    <w:p>
      <w:pPr>
        <w:pStyle w:val="BodyText"/>
        <w:spacing w:before="160"/>
        <w:ind w:left="1320"/>
      </w:pPr>
      <w:r>
        <w:rPr/>
        <w:t>5.学校</w:t>
      </w:r>
    </w:p>
    <w:p>
      <w:pPr>
        <w:pStyle w:val="BodyText"/>
        <w:spacing w:line="364" w:lineRule="auto" w:before="161"/>
        <w:ind w:left="1320" w:right="6525"/>
      </w:pPr>
      <w:r>
        <w:rPr/>
        <w:t>二、教师对生涯规划教育的认识1.您如何理解生涯规划教育？</w:t>
      </w:r>
    </w:p>
    <w:p>
      <w:pPr>
        <w:pStyle w:val="BodyText"/>
        <w:spacing w:before="1"/>
        <w:ind w:left="1320"/>
      </w:pPr>
      <w:r>
        <w:rPr/>
        <w:t>2.您认为开展生涯规划教育的主要目的是什么？</w:t>
      </w:r>
    </w:p>
    <w:p>
      <w:pPr>
        <w:pStyle w:val="BodyText"/>
        <w:spacing w:line="364" w:lineRule="auto" w:before="161"/>
        <w:ind w:left="1320" w:right="5565"/>
      </w:pPr>
      <w:r>
        <w:rPr/>
        <w:t>3.您了解哪些有关生涯规划教育的知识？ 三、生涯规划教育的实施情况</w:t>
      </w:r>
    </w:p>
    <w:p>
      <w:pPr>
        <w:pStyle w:val="BodyText"/>
        <w:spacing w:before="1"/>
        <w:ind w:left="1320"/>
      </w:pPr>
      <w:r>
        <w:rPr/>
        <w:t>1.您对学生进行的生涯规划教育应该包括哪些方面？</w:t>
      </w:r>
    </w:p>
    <w:p>
      <w:pPr>
        <w:pStyle w:val="BodyText"/>
        <w:spacing w:before="160"/>
        <w:ind w:left="1320"/>
      </w:pPr>
      <w:r>
        <w:rPr/>
        <w:t>2.您对学生进行生涯规划教育运用了哪些途径、方法？请举例</w:t>
      </w:r>
    </w:p>
    <w:p>
      <w:pPr>
        <w:pStyle w:val="BodyText"/>
        <w:spacing w:line="364" w:lineRule="auto" w:before="161"/>
        <w:ind w:left="1320" w:right="1725"/>
      </w:pPr>
      <w:r>
        <w:rPr/>
        <w:t>3.</w:t>
      </w:r>
      <w:r>
        <w:rPr>
          <w:spacing w:val="-1"/>
        </w:rPr>
        <w:t>您是否担任学生的生涯规划导师？如果是，您对学生的指导主要有哪些方面</w:t>
      </w:r>
      <w:r>
        <w:rPr/>
        <w:t>呢 ？                                                              4.您会根据课程内容适当涉及生涯规划教育的相关内容吗？（学科教师）</w:t>
      </w:r>
    </w:p>
    <w:p>
      <w:pPr>
        <w:pStyle w:val="BodyText"/>
        <w:spacing w:before="2"/>
        <w:ind w:left="1320"/>
      </w:pPr>
      <w:r>
        <w:rPr/>
        <w:t>5.您对学生进行的生涯规划教育的效果如何？</w:t>
      </w:r>
    </w:p>
    <w:p>
      <w:pPr>
        <w:pStyle w:val="BodyText"/>
        <w:spacing w:before="160"/>
        <w:ind w:left="1320"/>
      </w:pPr>
      <w:r>
        <w:rPr/>
        <w:t>6.您在实施生涯规划教育的过程中，遇到了哪些困难和问题？</w:t>
      </w:r>
    </w:p>
    <w:p>
      <w:pPr>
        <w:pStyle w:val="BodyText"/>
        <w:spacing w:before="161"/>
        <w:ind w:left="1320"/>
      </w:pPr>
      <w:r>
        <w:rPr/>
        <w:t>7.请您谈谈您对学校开展生涯规划教育的意见和建议？</w:t>
      </w:r>
    </w:p>
    <w:p>
      <w:pPr>
        <w:pStyle w:val="BodyText"/>
        <w:spacing w:before="160"/>
        <w:ind w:left="1320"/>
      </w:pPr>
      <w:r>
        <w:rPr/>
        <w:t>8.如果您了解核心素养，能谈谈核心素养对高中生涯规划教育的影响吗？</w:t>
      </w:r>
    </w:p>
    <w:p>
      <w:pPr>
        <w:spacing w:after="0"/>
        <w:sectPr>
          <w:pgSz w:w="11910" w:h="16840"/>
          <w:pgMar w:header="878" w:footer="1191" w:top="1300" w:bottom="1380" w:left="480" w:right="220"/>
        </w:sectPr>
      </w:pPr>
    </w:p>
    <w:p>
      <w:pPr>
        <w:pStyle w:val="BodyText"/>
        <w:spacing w:before="11"/>
        <w:rPr>
          <w:sz w:val="14"/>
        </w:rPr>
      </w:pPr>
    </w:p>
    <w:p>
      <w:pPr>
        <w:pStyle w:val="Heading2"/>
        <w:spacing w:line="496" w:lineRule="exact"/>
        <w:ind w:left="0" w:right="260" w:firstLine="0"/>
        <w:jc w:val="center"/>
      </w:pPr>
      <w:bookmarkStart w:name="_bookmark289" w:id="340"/>
      <w:bookmarkEnd w:id="340"/>
      <w:r>
        <w:rPr>
          <w:b w:val="0"/>
        </w:rPr>
      </w:r>
      <w:r>
        <w:rPr/>
        <w:t>附录 </w:t>
      </w:r>
      <w:r>
        <w:rPr>
          <w:rFonts w:ascii="Times New Roman" w:eastAsia="Times New Roman"/>
        </w:rPr>
        <w:t>2</w:t>
      </w:r>
      <w:r>
        <w:rPr/>
        <w:t>：学校领导访谈提纲</w:t>
      </w:r>
    </w:p>
    <w:p>
      <w:pPr>
        <w:pStyle w:val="BodyText"/>
        <w:spacing w:before="4"/>
        <w:rPr>
          <w:rFonts w:ascii="Microsoft JhengHei"/>
          <w:b/>
          <w:sz w:val="22"/>
        </w:rPr>
      </w:pPr>
    </w:p>
    <w:p>
      <w:pPr>
        <w:pStyle w:val="BodyText"/>
        <w:spacing w:before="1"/>
        <w:ind w:left="1320"/>
      </w:pPr>
      <w:r>
        <w:rPr/>
        <w:t>1.学校的基本信息，学校的生涯规划教育教师数量？</w:t>
      </w:r>
    </w:p>
    <w:p>
      <w:pPr>
        <w:pStyle w:val="BodyText"/>
        <w:spacing w:before="160"/>
        <w:ind w:left="1320"/>
      </w:pPr>
      <w:r>
        <w:rPr/>
        <w:t>2.学校的办学理念和指导思想是什么？</w:t>
      </w:r>
    </w:p>
    <w:p>
      <w:pPr>
        <w:pStyle w:val="BodyText"/>
        <w:spacing w:before="161"/>
        <w:ind w:left="1320"/>
      </w:pPr>
      <w:r>
        <w:rPr/>
        <w:t>3.贵校的生涯规划教育是选修课还是必修课？</w:t>
      </w:r>
    </w:p>
    <w:p>
      <w:pPr>
        <w:pStyle w:val="BodyText"/>
        <w:spacing w:before="160"/>
        <w:ind w:left="1320"/>
      </w:pPr>
      <w:r>
        <w:rPr/>
        <w:t>4.您是如何理解生涯规划教育的？</w:t>
      </w:r>
    </w:p>
    <w:p>
      <w:pPr>
        <w:pStyle w:val="BodyText"/>
        <w:spacing w:before="161"/>
        <w:ind w:left="1320"/>
      </w:pPr>
      <w:r>
        <w:rPr/>
        <w:t>5.贵校开展生涯规划教育的主要目的是什么？</w:t>
      </w:r>
    </w:p>
    <w:p>
      <w:pPr>
        <w:pStyle w:val="BodyText"/>
        <w:spacing w:before="160"/>
        <w:ind w:left="1320"/>
      </w:pPr>
      <w:r>
        <w:rPr/>
        <w:t>6.学校是如何开展生涯规划教育的？</w:t>
      </w:r>
    </w:p>
    <w:p>
      <w:pPr>
        <w:pStyle w:val="BodyText"/>
        <w:spacing w:before="161"/>
        <w:ind w:left="1320"/>
      </w:pPr>
      <w:r>
        <w:rPr/>
        <w:t>7.贵校开展生涯规划教育的主要方式有哪些？是如何保证实施的？</w:t>
      </w:r>
    </w:p>
    <w:p>
      <w:pPr>
        <w:pStyle w:val="BodyText"/>
        <w:spacing w:before="160"/>
        <w:ind w:left="1320"/>
      </w:pPr>
      <w:r>
        <w:rPr/>
        <w:t>8.贵校开展生涯规划教育的效果如何？</w:t>
      </w:r>
    </w:p>
    <w:p>
      <w:pPr>
        <w:pStyle w:val="BodyText"/>
        <w:spacing w:before="161"/>
        <w:ind w:left="1320"/>
      </w:pPr>
      <w:r>
        <w:rPr/>
        <w:t>9.您认为学校在开展生涯规划教育中遇到的最大问题是什么？</w:t>
      </w:r>
    </w:p>
    <w:p>
      <w:pPr>
        <w:pStyle w:val="BodyText"/>
        <w:spacing w:before="160"/>
        <w:ind w:left="1320"/>
      </w:pPr>
      <w:r>
        <w:rPr/>
        <w:t>10.贵校关于生涯规划教育的展望？</w:t>
      </w:r>
    </w:p>
    <w:p>
      <w:pPr>
        <w:pStyle w:val="BodyText"/>
        <w:spacing w:before="161"/>
        <w:ind w:left="1320"/>
      </w:pPr>
      <w:r>
        <w:rPr/>
        <w:t>12.如果您了解核心素养，能谈谈核心素养对高中生涯规划教育的影响吗？</w:t>
      </w:r>
    </w:p>
    <w:p>
      <w:pPr>
        <w:spacing w:after="0"/>
        <w:sectPr>
          <w:pgSz w:w="11910" w:h="16840"/>
          <w:pgMar w:header="878" w:footer="1191" w:top="1300" w:bottom="1380" w:left="480" w:right="220"/>
        </w:sectPr>
      </w:pPr>
    </w:p>
    <w:p>
      <w:pPr>
        <w:pStyle w:val="BodyText"/>
        <w:spacing w:before="11"/>
        <w:rPr>
          <w:sz w:val="14"/>
        </w:rPr>
      </w:pPr>
    </w:p>
    <w:p>
      <w:pPr>
        <w:pStyle w:val="Heading2"/>
        <w:spacing w:line="496" w:lineRule="exact"/>
        <w:ind w:left="1855" w:firstLine="0"/>
      </w:pPr>
      <w:bookmarkStart w:name="_bookmark290" w:id="341"/>
      <w:bookmarkEnd w:id="341"/>
      <w:r>
        <w:rPr>
          <w:b w:val="0"/>
        </w:rPr>
      </w:r>
      <w:r>
        <w:rPr/>
        <w:t>附录 </w:t>
      </w:r>
      <w:r>
        <w:rPr>
          <w:rFonts w:ascii="Times New Roman" w:eastAsia="Times New Roman"/>
        </w:rPr>
        <w:t>3</w:t>
      </w:r>
      <w:r>
        <w:rPr/>
        <w:t>：普通高中生涯规划教育实施现状调查问卷（学生）</w:t>
      </w:r>
    </w:p>
    <w:p>
      <w:pPr>
        <w:pStyle w:val="BodyText"/>
        <w:spacing w:before="4"/>
        <w:rPr>
          <w:rFonts w:ascii="Microsoft JhengHei"/>
          <w:b/>
          <w:sz w:val="22"/>
        </w:rPr>
      </w:pPr>
    </w:p>
    <w:p>
      <w:pPr>
        <w:pStyle w:val="BodyText"/>
        <w:spacing w:line="364" w:lineRule="auto" w:before="1"/>
        <w:ind w:left="1320" w:right="8205"/>
      </w:pPr>
      <w:r>
        <w:rPr/>
        <w:pict>
          <v:line style="position:absolute;mso-position-horizontal-relative:page;mso-position-vertical-relative:paragraph;z-index:-257768448" from="81pt,19.359985pt" to="514.7pt,19.359985pt" stroked="true" strokeweight="1.5pt" strokecolor="#000000">
            <v:stroke dashstyle="solid"/>
            <w10:wrap type="none"/>
          </v:line>
        </w:pict>
      </w:r>
      <w:r>
        <w:rPr/>
        <w:t>问卷编号□□□ 亲爱的同学：</w:t>
      </w:r>
    </w:p>
    <w:p>
      <w:pPr>
        <w:pStyle w:val="BodyText"/>
        <w:spacing w:line="364" w:lineRule="auto" w:before="1"/>
        <w:ind w:left="1320" w:right="1577" w:firstLine="360"/>
      </w:pPr>
      <w:r>
        <w:rPr/>
        <w:pict>
          <v:line style="position:absolute;mso-position-horizontal-relative:page;mso-position-vertical-relative:paragraph;z-index:-257767424" from="72pt,113.409996pt" to="505.7pt,113.409996pt" stroked="true" strokeweight="1.5pt" strokecolor="#000000">
            <v:stroke dashstyle="solid"/>
            <w10:wrap type="none"/>
          </v:line>
        </w:pict>
      </w:r>
      <w:r>
        <w:rPr/>
        <w:t>首先十分感谢你对本次调查的大力支持。我们正在做一个关于普通高中生涯</w:t>
      </w:r>
      <w:r>
        <w:rPr>
          <w:spacing w:val="-7"/>
        </w:rPr>
        <w:t>规划教育实施情况的调查。希望通过本问卷调查，从学生层面了解当前普通高中</w:t>
      </w:r>
      <w:r>
        <w:rPr/>
        <w:t>生涯规划教育的实施情况，以期提取用于高中生涯规划教育有关研究的有用信</w:t>
      </w:r>
      <w:r>
        <w:rPr>
          <w:spacing w:val="-10"/>
        </w:rPr>
        <w:t>息。本问卷采取匿名填写的方式，问卷结果仅用于学术研宄，我们将从专业伦理</w:t>
      </w:r>
      <w:r>
        <w:rPr/>
        <w:t>的角度做最严格的保密。请你尽可能按照自己的真实情况填写！</w:t>
      </w:r>
    </w:p>
    <w:p>
      <w:pPr>
        <w:pStyle w:val="BodyText"/>
        <w:spacing w:before="3"/>
        <w:ind w:left="1320"/>
      </w:pPr>
      <w:r>
        <w:rPr/>
        <w:t>1.填写说明：</w:t>
      </w:r>
    </w:p>
    <w:p>
      <w:pPr>
        <w:pStyle w:val="BodyText"/>
        <w:spacing w:line="364" w:lineRule="auto" w:before="160"/>
        <w:ind w:left="1320" w:right="1577" w:firstLine="480"/>
      </w:pPr>
      <w:r>
        <w:rPr/>
        <w:t>生涯规划教育有广义与狭义之分,在这里我们所指的生涯规划教育为在学校内实施的,引导学生认识自我与职业、社会，探索未来，确立（职业）生涯发展</w:t>
      </w:r>
      <w:r>
        <w:rPr>
          <w:spacing w:val="-7"/>
        </w:rPr>
        <w:t>目标并制定最佳发展规划的教育。在一些学校中，生涯规划教育也被称作职业生</w:t>
      </w:r>
      <w:r>
        <w:rPr/>
        <w:t>涯教育，职业指导，生涯发展教育等。                                  2.你的个人观点将会对我们十分重要,请认真填写。</w:t>
      </w:r>
    </w:p>
    <w:p>
      <w:pPr>
        <w:pStyle w:val="ListParagraph"/>
        <w:numPr>
          <w:ilvl w:val="0"/>
          <w:numId w:val="54"/>
        </w:numPr>
        <w:tabs>
          <w:tab w:pos="1739" w:val="left" w:leader="none"/>
          <w:tab w:pos="1740" w:val="left" w:leader="none"/>
        </w:tabs>
        <w:spacing w:line="240" w:lineRule="auto" w:before="3" w:after="0"/>
        <w:ind w:left="1740" w:right="0" w:hanging="420"/>
        <w:jc w:val="left"/>
        <w:rPr>
          <w:sz w:val="24"/>
        </w:rPr>
      </w:pPr>
      <w:r>
        <w:rPr>
          <w:sz w:val="24"/>
        </w:rPr>
        <w:t>您所就读学校</w:t>
      </w:r>
    </w:p>
    <w:p>
      <w:pPr>
        <w:pStyle w:val="ListParagraph"/>
        <w:numPr>
          <w:ilvl w:val="0"/>
          <w:numId w:val="54"/>
        </w:numPr>
        <w:tabs>
          <w:tab w:pos="1739" w:val="left" w:leader="none"/>
          <w:tab w:pos="1740" w:val="left" w:leader="none"/>
          <w:tab w:pos="3419" w:val="left" w:leader="none"/>
          <w:tab w:pos="4859" w:val="left" w:leader="none"/>
        </w:tabs>
        <w:spacing w:line="240" w:lineRule="auto" w:before="161" w:after="0"/>
        <w:ind w:left="1740" w:right="0" w:hanging="420"/>
        <w:jc w:val="left"/>
        <w:rPr>
          <w:sz w:val="24"/>
        </w:rPr>
      </w:pPr>
      <w:r>
        <w:rPr>
          <w:sz w:val="24"/>
        </w:rPr>
        <w:t>您的性别：</w:t>
        <w:tab/>
        <w:t>□男</w:t>
        <w:tab/>
        <w:t>□女</w:t>
      </w:r>
    </w:p>
    <w:p>
      <w:pPr>
        <w:pStyle w:val="ListParagraph"/>
        <w:numPr>
          <w:ilvl w:val="0"/>
          <w:numId w:val="54"/>
        </w:numPr>
        <w:tabs>
          <w:tab w:pos="1739" w:val="left" w:leader="none"/>
          <w:tab w:pos="1740" w:val="left" w:leader="none"/>
          <w:tab w:pos="4019" w:val="left" w:leader="none"/>
          <w:tab w:pos="5219" w:val="left" w:leader="none"/>
        </w:tabs>
        <w:spacing w:line="240" w:lineRule="auto" w:before="160" w:after="0"/>
        <w:ind w:left="1740" w:right="0" w:hanging="420"/>
        <w:jc w:val="left"/>
        <w:rPr>
          <w:sz w:val="24"/>
        </w:rPr>
      </w:pPr>
      <w:r>
        <w:rPr>
          <w:sz w:val="24"/>
        </w:rPr>
        <w:t>所在年级：□高一</w:t>
        <w:tab/>
        <w:t>□高二</w:t>
        <w:tab/>
        <w:t>□高三</w:t>
      </w:r>
    </w:p>
    <w:p>
      <w:pPr>
        <w:pStyle w:val="ListParagraph"/>
        <w:numPr>
          <w:ilvl w:val="0"/>
          <w:numId w:val="54"/>
        </w:numPr>
        <w:tabs>
          <w:tab w:pos="1739" w:val="left" w:leader="none"/>
          <w:tab w:pos="1740" w:val="left" w:leader="none"/>
          <w:tab w:pos="5219" w:val="left" w:leader="none"/>
          <w:tab w:pos="6299" w:val="left" w:leader="none"/>
          <w:tab w:pos="7259" w:val="left" w:leader="none"/>
          <w:tab w:pos="8219" w:val="left" w:leader="none"/>
        </w:tabs>
        <w:spacing w:line="240" w:lineRule="auto" w:before="161" w:after="0"/>
        <w:ind w:left="1740" w:right="0" w:hanging="420"/>
        <w:jc w:val="left"/>
        <w:rPr>
          <w:sz w:val="24"/>
        </w:rPr>
      </w:pPr>
      <w:r>
        <w:rPr>
          <w:sz w:val="24"/>
        </w:rPr>
        <w:t>高考选考科目：□历史 □地理</w:t>
        <w:tab/>
        <w:t>□政治</w:t>
        <w:tab/>
        <w:t>□生物</w:t>
        <w:tab/>
        <w:t>□物理</w:t>
        <w:tab/>
        <w:t>□化学</w:t>
      </w:r>
    </w:p>
    <w:p>
      <w:pPr>
        <w:pStyle w:val="BodyText"/>
        <w:tabs>
          <w:tab w:pos="3659" w:val="left" w:leader="none"/>
        </w:tabs>
        <w:spacing w:before="160"/>
        <w:ind w:left="1740"/>
      </w:pPr>
      <w:r>
        <w:rPr/>
        <w:t>□技术</w:t>
        <w:tab/>
        <w:t>□未选择</w:t>
      </w:r>
    </w:p>
    <w:p>
      <w:pPr>
        <w:pStyle w:val="BodyText"/>
        <w:rPr>
          <w:sz w:val="20"/>
        </w:rPr>
      </w:pPr>
    </w:p>
    <w:p>
      <w:pPr>
        <w:pStyle w:val="BodyText"/>
        <w:spacing w:before="8" w:after="1"/>
        <w:rPr>
          <w:sz w:val="25"/>
        </w:rPr>
      </w:pPr>
    </w:p>
    <w:tbl>
      <w:tblPr>
        <w:tblW w:w="0" w:type="auto"/>
        <w:jc w:val="left"/>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633"/>
        <w:gridCol w:w="795"/>
        <w:gridCol w:w="752"/>
        <w:gridCol w:w="930"/>
        <w:gridCol w:w="870"/>
      </w:tblGrid>
      <w:tr>
        <w:trPr>
          <w:trHeight w:val="748" w:hRule="atLeast"/>
        </w:trPr>
        <w:tc>
          <w:tcPr>
            <w:tcW w:w="7633" w:type="dxa"/>
            <w:tcBorders>
              <w:left w:val="dotted" w:sz="4" w:space="0" w:color="000000"/>
              <w:bottom w:val="dotted" w:sz="4" w:space="0" w:color="000000"/>
              <w:right w:val="dotted" w:sz="4" w:space="0" w:color="000000"/>
            </w:tcBorders>
          </w:tcPr>
          <w:p>
            <w:pPr>
              <w:pStyle w:val="TableParagraph"/>
              <w:rPr>
                <w:rFonts w:ascii="Times New Roman"/>
                <w:sz w:val="22"/>
              </w:rPr>
            </w:pPr>
          </w:p>
        </w:tc>
        <w:tc>
          <w:tcPr>
            <w:tcW w:w="795" w:type="dxa"/>
            <w:tcBorders>
              <w:left w:val="dotted" w:sz="4" w:space="0" w:color="000000"/>
              <w:bottom w:val="dotted" w:sz="4" w:space="0" w:color="000000"/>
              <w:right w:val="dotted" w:sz="4" w:space="0" w:color="000000"/>
            </w:tcBorders>
          </w:tcPr>
          <w:p>
            <w:pPr>
              <w:pStyle w:val="TableParagraph"/>
              <w:spacing w:line="363" w:lineRule="exact"/>
              <w:ind w:left="106"/>
              <w:rPr>
                <w:rFonts w:ascii="Microsoft JhengHei" w:eastAsia="Microsoft JhengHei" w:hint="eastAsia"/>
                <w:b/>
                <w:sz w:val="24"/>
              </w:rPr>
            </w:pPr>
            <w:r>
              <w:rPr>
                <w:rFonts w:ascii="Microsoft JhengHei" w:eastAsia="Microsoft JhengHei" w:hint="eastAsia"/>
                <w:b/>
                <w:sz w:val="24"/>
              </w:rPr>
              <w:t>完全</w:t>
            </w:r>
          </w:p>
          <w:p>
            <w:pPr>
              <w:pStyle w:val="TableParagraph"/>
              <w:spacing w:line="366" w:lineRule="exact"/>
              <w:ind w:left="106"/>
              <w:rPr>
                <w:rFonts w:ascii="Microsoft JhengHei" w:eastAsia="Microsoft JhengHei" w:hint="eastAsia"/>
                <w:b/>
                <w:sz w:val="24"/>
              </w:rPr>
            </w:pPr>
            <w:r>
              <w:rPr>
                <w:rFonts w:ascii="Microsoft JhengHei" w:eastAsia="Microsoft JhengHei" w:hint="eastAsia"/>
                <w:b/>
                <w:sz w:val="24"/>
              </w:rPr>
              <w:t>符合</w:t>
            </w:r>
          </w:p>
        </w:tc>
        <w:tc>
          <w:tcPr>
            <w:tcW w:w="752" w:type="dxa"/>
            <w:tcBorders>
              <w:left w:val="dotted" w:sz="4" w:space="0" w:color="000000"/>
              <w:bottom w:val="dotted" w:sz="4" w:space="0" w:color="000000"/>
              <w:right w:val="dotted" w:sz="4" w:space="0" w:color="000000"/>
            </w:tcBorders>
          </w:tcPr>
          <w:p>
            <w:pPr>
              <w:pStyle w:val="TableParagraph"/>
              <w:spacing w:line="363" w:lineRule="exact"/>
              <w:ind w:left="108"/>
              <w:rPr>
                <w:rFonts w:ascii="Microsoft JhengHei" w:eastAsia="Microsoft JhengHei" w:hint="eastAsia"/>
                <w:b/>
                <w:sz w:val="24"/>
              </w:rPr>
            </w:pPr>
            <w:r>
              <w:rPr>
                <w:rFonts w:ascii="Microsoft JhengHei" w:eastAsia="Microsoft JhengHei" w:hint="eastAsia"/>
                <w:b/>
                <w:sz w:val="24"/>
              </w:rPr>
              <w:t>比较</w:t>
            </w:r>
          </w:p>
          <w:p>
            <w:pPr>
              <w:pStyle w:val="TableParagraph"/>
              <w:spacing w:line="366" w:lineRule="exact"/>
              <w:ind w:left="108"/>
              <w:rPr>
                <w:rFonts w:ascii="Microsoft JhengHei" w:eastAsia="Microsoft JhengHei" w:hint="eastAsia"/>
                <w:b/>
                <w:sz w:val="24"/>
              </w:rPr>
            </w:pPr>
            <w:r>
              <w:rPr>
                <w:rFonts w:ascii="Microsoft JhengHei" w:eastAsia="Microsoft JhengHei" w:hint="eastAsia"/>
                <w:b/>
                <w:sz w:val="24"/>
              </w:rPr>
              <w:t>符合</w:t>
            </w:r>
          </w:p>
        </w:tc>
        <w:tc>
          <w:tcPr>
            <w:tcW w:w="930" w:type="dxa"/>
            <w:tcBorders>
              <w:left w:val="dotted" w:sz="4" w:space="0" w:color="000000"/>
              <w:bottom w:val="dotted" w:sz="4" w:space="0" w:color="000000"/>
              <w:right w:val="dotted" w:sz="4" w:space="0" w:color="000000"/>
            </w:tcBorders>
          </w:tcPr>
          <w:p>
            <w:pPr>
              <w:pStyle w:val="TableParagraph"/>
              <w:spacing w:line="363" w:lineRule="exact"/>
              <w:ind w:left="107"/>
              <w:rPr>
                <w:rFonts w:ascii="Microsoft JhengHei" w:eastAsia="Microsoft JhengHei" w:hint="eastAsia"/>
                <w:b/>
                <w:sz w:val="24"/>
              </w:rPr>
            </w:pPr>
            <w:r>
              <w:rPr>
                <w:rFonts w:ascii="Microsoft JhengHei" w:eastAsia="Microsoft JhengHei" w:hint="eastAsia"/>
                <w:b/>
                <w:sz w:val="24"/>
              </w:rPr>
              <w:t>不太</w:t>
            </w:r>
          </w:p>
          <w:p>
            <w:pPr>
              <w:pStyle w:val="TableParagraph"/>
              <w:spacing w:line="366" w:lineRule="exact"/>
              <w:ind w:left="107"/>
              <w:rPr>
                <w:rFonts w:ascii="Microsoft JhengHei" w:eastAsia="Microsoft JhengHei" w:hint="eastAsia"/>
                <w:b/>
                <w:sz w:val="24"/>
              </w:rPr>
            </w:pPr>
            <w:r>
              <w:rPr>
                <w:rFonts w:ascii="Microsoft JhengHei" w:eastAsia="Microsoft JhengHei" w:hint="eastAsia"/>
                <w:b/>
                <w:sz w:val="24"/>
              </w:rPr>
              <w:t>符合</w:t>
            </w:r>
          </w:p>
        </w:tc>
        <w:tc>
          <w:tcPr>
            <w:tcW w:w="870" w:type="dxa"/>
            <w:tcBorders>
              <w:left w:val="dotted" w:sz="4" w:space="0" w:color="000000"/>
              <w:bottom w:val="dotted" w:sz="4" w:space="0" w:color="000000"/>
              <w:right w:val="dotted" w:sz="4" w:space="0" w:color="000000"/>
            </w:tcBorders>
          </w:tcPr>
          <w:p>
            <w:pPr>
              <w:pStyle w:val="TableParagraph"/>
              <w:spacing w:line="363" w:lineRule="exact"/>
              <w:ind w:left="108"/>
              <w:rPr>
                <w:rFonts w:ascii="Microsoft JhengHei" w:eastAsia="Microsoft JhengHei" w:hint="eastAsia"/>
                <w:b/>
                <w:sz w:val="24"/>
              </w:rPr>
            </w:pPr>
            <w:r>
              <w:rPr>
                <w:rFonts w:ascii="Microsoft JhengHei" w:eastAsia="Microsoft JhengHei" w:hint="eastAsia"/>
                <w:b/>
                <w:sz w:val="24"/>
              </w:rPr>
              <w:t>完全</w:t>
            </w:r>
          </w:p>
          <w:p>
            <w:pPr>
              <w:pStyle w:val="TableParagraph"/>
              <w:spacing w:line="366" w:lineRule="exact"/>
              <w:ind w:left="108"/>
              <w:rPr>
                <w:rFonts w:ascii="Microsoft JhengHei" w:eastAsia="Microsoft JhengHei" w:hint="eastAsia"/>
                <w:b/>
                <w:sz w:val="24"/>
              </w:rPr>
            </w:pPr>
            <w:r>
              <w:rPr>
                <w:rFonts w:ascii="Microsoft JhengHei" w:eastAsia="Microsoft JhengHei" w:hint="eastAsia"/>
                <w:b/>
                <w:sz w:val="24"/>
              </w:rPr>
              <w:t>不符</w:t>
            </w:r>
          </w:p>
        </w:tc>
      </w:tr>
      <w:tr>
        <w:trPr>
          <w:trHeight w:val="374"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3"/>
              <w:ind w:left="107"/>
              <w:rPr>
                <w:sz w:val="24"/>
              </w:rPr>
            </w:pPr>
            <w:r>
              <w:rPr>
                <w:sz w:val="24"/>
              </w:rPr>
              <w:t>1.你了解自己的能力</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5"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3"/>
              <w:ind w:left="107"/>
              <w:rPr>
                <w:sz w:val="24"/>
              </w:rPr>
            </w:pPr>
            <w:r>
              <w:rPr>
                <w:sz w:val="24"/>
              </w:rPr>
              <w:t>2.你了解自己的个性</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3"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2"/>
              <w:ind w:left="107"/>
              <w:rPr>
                <w:sz w:val="24"/>
              </w:rPr>
            </w:pPr>
            <w:r>
              <w:rPr>
                <w:sz w:val="24"/>
              </w:rPr>
              <w:t>3.你了解自己的兴趣爱好</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4"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5"/>
              <w:ind w:left="107"/>
              <w:rPr>
                <w:sz w:val="24"/>
              </w:rPr>
            </w:pPr>
            <w:r>
              <w:rPr>
                <w:sz w:val="24"/>
              </w:rPr>
              <w:t>4.你了解自己将来想要成为什么样的人，过什么样的生活</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5"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5"/>
              <w:ind w:left="107"/>
              <w:rPr>
                <w:sz w:val="24"/>
              </w:rPr>
            </w:pPr>
            <w:r>
              <w:rPr>
                <w:sz w:val="24"/>
              </w:rPr>
              <w:t>5.你能够处理好与同学、朋友之间的人际关系</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4"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3"/>
              <w:ind w:left="107"/>
              <w:rPr>
                <w:sz w:val="24"/>
              </w:rPr>
            </w:pPr>
            <w:r>
              <w:rPr>
                <w:sz w:val="24"/>
              </w:rPr>
              <w:t>6.你能够应对来自学习和生活上的压力</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2" w:hRule="atLeast"/>
        </w:trPr>
        <w:tc>
          <w:tcPr>
            <w:tcW w:w="7633" w:type="dxa"/>
            <w:tcBorders>
              <w:top w:val="dotted" w:sz="4" w:space="0" w:color="000000"/>
              <w:left w:val="dotted" w:sz="4" w:space="0" w:color="000000"/>
              <w:right w:val="dotted" w:sz="4" w:space="0" w:color="000000"/>
            </w:tcBorders>
          </w:tcPr>
          <w:p>
            <w:pPr>
              <w:pStyle w:val="TableParagraph"/>
              <w:spacing w:before="34"/>
              <w:ind w:left="107"/>
              <w:rPr>
                <w:sz w:val="24"/>
              </w:rPr>
            </w:pPr>
            <w:r>
              <w:rPr>
                <w:sz w:val="24"/>
              </w:rPr>
              <w:t>7.你认为你能合理分配时间</w:t>
            </w:r>
          </w:p>
        </w:tc>
        <w:tc>
          <w:tcPr>
            <w:tcW w:w="795" w:type="dxa"/>
            <w:tcBorders>
              <w:top w:val="dotted" w:sz="4" w:space="0" w:color="000000"/>
              <w:left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right w:val="dotted" w:sz="4" w:space="0" w:color="000000"/>
            </w:tcBorders>
          </w:tcPr>
          <w:p>
            <w:pPr>
              <w:pStyle w:val="TableParagraph"/>
              <w:rPr>
                <w:rFonts w:ascii="Times New Roman"/>
                <w:sz w:val="22"/>
              </w:rPr>
            </w:pPr>
          </w:p>
        </w:tc>
      </w:tr>
    </w:tbl>
    <w:p>
      <w:pPr>
        <w:spacing w:after="0"/>
        <w:rPr>
          <w:rFonts w:ascii="Times New Roman"/>
          <w:sz w:val="22"/>
        </w:rPr>
        <w:sectPr>
          <w:pgSz w:w="11910" w:h="16840"/>
          <w:pgMar w:header="878" w:footer="1191" w:top="1300" w:bottom="1380" w:left="480" w:right="220"/>
        </w:sectPr>
      </w:pPr>
    </w:p>
    <w:p>
      <w:pPr>
        <w:pStyle w:val="BodyText"/>
        <w:spacing w:before="1" w:after="1"/>
        <w:rPr>
          <w:sz w:val="10"/>
        </w:rPr>
      </w:pPr>
    </w:p>
    <w:tbl>
      <w:tblPr>
        <w:tblW w:w="0" w:type="auto"/>
        <w:jc w:val="left"/>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633"/>
        <w:gridCol w:w="795"/>
        <w:gridCol w:w="752"/>
        <w:gridCol w:w="930"/>
        <w:gridCol w:w="870"/>
      </w:tblGrid>
      <w:tr>
        <w:trPr>
          <w:trHeight w:val="748" w:hRule="atLeast"/>
        </w:trPr>
        <w:tc>
          <w:tcPr>
            <w:tcW w:w="7633" w:type="dxa"/>
            <w:tcBorders>
              <w:left w:val="dotted" w:sz="4" w:space="0" w:color="000000"/>
              <w:bottom w:val="dotted" w:sz="4" w:space="0" w:color="000000"/>
              <w:right w:val="dotted" w:sz="4" w:space="0" w:color="000000"/>
            </w:tcBorders>
          </w:tcPr>
          <w:p>
            <w:pPr>
              <w:pStyle w:val="TableParagraph"/>
              <w:spacing w:before="34"/>
              <w:ind w:left="107"/>
              <w:rPr>
                <w:sz w:val="24"/>
              </w:rPr>
            </w:pPr>
            <w:r>
              <w:rPr>
                <w:sz w:val="24"/>
              </w:rPr>
              <w:t>8.你已经了解关于职业相关的知识，如职业分类，职业环境，相关职业</w:t>
            </w:r>
          </w:p>
          <w:p>
            <w:pPr>
              <w:pStyle w:val="TableParagraph"/>
              <w:spacing w:before="67"/>
              <w:ind w:left="107"/>
              <w:rPr>
                <w:sz w:val="24"/>
              </w:rPr>
            </w:pPr>
            <w:r>
              <w:rPr>
                <w:sz w:val="24"/>
              </w:rPr>
              <w:t>的能力要求等。</w:t>
            </w:r>
          </w:p>
        </w:tc>
        <w:tc>
          <w:tcPr>
            <w:tcW w:w="795" w:type="dxa"/>
            <w:tcBorders>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left w:val="dotted" w:sz="4" w:space="0" w:color="000000"/>
              <w:bottom w:val="dotted" w:sz="4" w:space="0" w:color="000000"/>
              <w:right w:val="dotted" w:sz="4" w:space="0" w:color="000000"/>
            </w:tcBorders>
          </w:tcPr>
          <w:p>
            <w:pPr>
              <w:pStyle w:val="TableParagraph"/>
              <w:rPr>
                <w:rFonts w:ascii="Times New Roman"/>
                <w:sz w:val="22"/>
              </w:rPr>
            </w:pPr>
          </w:p>
        </w:tc>
      </w:tr>
      <w:tr>
        <w:trPr>
          <w:trHeight w:val="374"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3"/>
              <w:ind w:left="107"/>
              <w:rPr>
                <w:sz w:val="24"/>
              </w:rPr>
            </w:pPr>
            <w:r>
              <w:rPr>
                <w:sz w:val="24"/>
              </w:rPr>
              <w:t>9.你了解关于升学的信息，比如大学院校的信息，相关专业的信息等</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5"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3"/>
              <w:ind w:left="107"/>
              <w:rPr>
                <w:sz w:val="24"/>
              </w:rPr>
            </w:pPr>
            <w:r>
              <w:rPr>
                <w:sz w:val="24"/>
              </w:rPr>
              <w:t>10.你能够将各种有关生涯规划的资料加以分类整理</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4"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3"/>
              <w:ind w:left="107"/>
              <w:rPr>
                <w:sz w:val="24"/>
              </w:rPr>
            </w:pPr>
            <w:r>
              <w:rPr>
                <w:sz w:val="24"/>
              </w:rPr>
              <w:t>11.你了解当前的社会环境及其对人才标准的要求</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3"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5"/>
              <w:ind w:left="107"/>
              <w:rPr>
                <w:sz w:val="24"/>
              </w:rPr>
            </w:pPr>
            <w:r>
              <w:rPr>
                <w:sz w:val="24"/>
              </w:rPr>
              <w:t>12.你知道你的条件适合从事的职业</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5"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5"/>
              <w:ind w:left="107"/>
              <w:rPr>
                <w:sz w:val="24"/>
              </w:rPr>
            </w:pPr>
            <w:r>
              <w:rPr>
                <w:sz w:val="24"/>
              </w:rPr>
              <w:t>13.事情决定后，你通常不会轻易后悔</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4"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4"/>
              <w:ind w:left="107"/>
              <w:rPr>
                <w:sz w:val="24"/>
              </w:rPr>
            </w:pPr>
            <w:r>
              <w:rPr>
                <w:sz w:val="24"/>
              </w:rPr>
              <w:t>14.你实在很难决定自己的职业方向</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5"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4"/>
              <w:ind w:left="107"/>
              <w:rPr>
                <w:sz w:val="24"/>
              </w:rPr>
            </w:pPr>
            <w:r>
              <w:rPr>
                <w:sz w:val="24"/>
              </w:rPr>
              <w:t>15.想到选专业，选职业，确定未来的发展方向就让你烦恼</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3"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3"/>
              <w:ind w:left="107"/>
              <w:rPr>
                <w:sz w:val="24"/>
              </w:rPr>
            </w:pPr>
            <w:r>
              <w:rPr>
                <w:sz w:val="24"/>
              </w:rPr>
              <w:t>16.你不清楚你感兴趣的职业需要哪些专业能力</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4" w:hRule="atLeast"/>
        </w:trPr>
        <w:tc>
          <w:tcPr>
            <w:tcW w:w="7633" w:type="dxa"/>
            <w:tcBorders>
              <w:top w:val="dotted" w:sz="4" w:space="0" w:color="000000"/>
              <w:left w:val="dotted" w:sz="4" w:space="0" w:color="000000"/>
              <w:bottom w:val="dotted" w:sz="4" w:space="0" w:color="000000"/>
              <w:right w:val="dotted" w:sz="4" w:space="0" w:color="000000"/>
            </w:tcBorders>
          </w:tcPr>
          <w:p>
            <w:pPr>
              <w:pStyle w:val="TableParagraph"/>
              <w:spacing w:before="33"/>
              <w:ind w:left="107"/>
              <w:rPr>
                <w:sz w:val="24"/>
              </w:rPr>
            </w:pPr>
            <w:r>
              <w:rPr>
                <w:sz w:val="24"/>
              </w:rPr>
              <w:t>17.你不清楚进入你有兴趣的职业应该具备什么条件</w:t>
            </w:r>
          </w:p>
        </w:tc>
        <w:tc>
          <w:tcPr>
            <w:tcW w:w="795"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bottom w:val="dotted" w:sz="4" w:space="0" w:color="000000"/>
              <w:right w:val="dotted" w:sz="4" w:space="0" w:color="000000"/>
            </w:tcBorders>
          </w:tcPr>
          <w:p>
            <w:pPr>
              <w:pStyle w:val="TableParagraph"/>
              <w:rPr>
                <w:rFonts w:ascii="Times New Roman"/>
                <w:sz w:val="22"/>
              </w:rPr>
            </w:pPr>
          </w:p>
        </w:tc>
      </w:tr>
      <w:tr>
        <w:trPr>
          <w:trHeight w:val="375" w:hRule="atLeast"/>
        </w:trPr>
        <w:tc>
          <w:tcPr>
            <w:tcW w:w="7633" w:type="dxa"/>
            <w:tcBorders>
              <w:top w:val="dotted" w:sz="4" w:space="0" w:color="000000"/>
              <w:left w:val="dotted" w:sz="4" w:space="0" w:color="000000"/>
              <w:right w:val="dotted" w:sz="4" w:space="0" w:color="000000"/>
            </w:tcBorders>
          </w:tcPr>
          <w:p>
            <w:pPr>
              <w:pStyle w:val="TableParagraph"/>
              <w:spacing w:before="33"/>
              <w:ind w:left="107"/>
              <w:rPr>
                <w:sz w:val="24"/>
              </w:rPr>
            </w:pPr>
            <w:r>
              <w:rPr>
                <w:sz w:val="24"/>
              </w:rPr>
              <w:t>18.没有家人朋友的支持，你自己实在很难选定一种合适的职业方向</w:t>
            </w:r>
          </w:p>
        </w:tc>
        <w:tc>
          <w:tcPr>
            <w:tcW w:w="795" w:type="dxa"/>
            <w:tcBorders>
              <w:top w:val="dotted" w:sz="4" w:space="0" w:color="000000"/>
              <w:left w:val="dotted" w:sz="4" w:space="0" w:color="000000"/>
              <w:right w:val="dotted" w:sz="4" w:space="0" w:color="000000"/>
            </w:tcBorders>
          </w:tcPr>
          <w:p>
            <w:pPr>
              <w:pStyle w:val="TableParagraph"/>
              <w:rPr>
                <w:rFonts w:ascii="Times New Roman"/>
                <w:sz w:val="22"/>
              </w:rPr>
            </w:pPr>
          </w:p>
        </w:tc>
        <w:tc>
          <w:tcPr>
            <w:tcW w:w="752" w:type="dxa"/>
            <w:tcBorders>
              <w:top w:val="dotted" w:sz="4" w:space="0" w:color="000000"/>
              <w:left w:val="dotted" w:sz="4" w:space="0" w:color="000000"/>
              <w:right w:val="dotted" w:sz="4" w:space="0" w:color="000000"/>
            </w:tcBorders>
          </w:tcPr>
          <w:p>
            <w:pPr>
              <w:pStyle w:val="TableParagraph"/>
              <w:rPr>
                <w:rFonts w:ascii="Times New Roman"/>
                <w:sz w:val="22"/>
              </w:rPr>
            </w:pPr>
          </w:p>
        </w:tc>
        <w:tc>
          <w:tcPr>
            <w:tcW w:w="930" w:type="dxa"/>
            <w:tcBorders>
              <w:top w:val="dotted" w:sz="4" w:space="0" w:color="000000"/>
              <w:left w:val="dotted" w:sz="4" w:space="0" w:color="000000"/>
              <w:right w:val="dotted" w:sz="4" w:space="0" w:color="000000"/>
            </w:tcBorders>
          </w:tcPr>
          <w:p>
            <w:pPr>
              <w:pStyle w:val="TableParagraph"/>
              <w:rPr>
                <w:rFonts w:ascii="Times New Roman"/>
                <w:sz w:val="22"/>
              </w:rPr>
            </w:pPr>
          </w:p>
        </w:tc>
        <w:tc>
          <w:tcPr>
            <w:tcW w:w="870" w:type="dxa"/>
            <w:tcBorders>
              <w:top w:val="dotted" w:sz="4" w:space="0" w:color="000000"/>
              <w:left w:val="dotted" w:sz="4" w:space="0" w:color="000000"/>
              <w:right w:val="dotted" w:sz="4" w:space="0" w:color="000000"/>
            </w:tcBorders>
          </w:tcPr>
          <w:p>
            <w:pPr>
              <w:pStyle w:val="TableParagraph"/>
              <w:rPr>
                <w:rFonts w:ascii="Times New Roman"/>
                <w:sz w:val="22"/>
              </w:rPr>
            </w:pPr>
          </w:p>
        </w:tc>
      </w:tr>
    </w:tbl>
    <w:p>
      <w:pPr>
        <w:pStyle w:val="BodyText"/>
        <w:spacing w:before="9"/>
        <w:rPr>
          <w:sz w:val="26"/>
        </w:rPr>
      </w:pPr>
    </w:p>
    <w:p>
      <w:pPr>
        <w:pStyle w:val="BodyText"/>
        <w:spacing w:line="292" w:lineRule="auto" w:before="67"/>
        <w:ind w:left="1320" w:right="1577"/>
      </w:pPr>
      <w:r>
        <w:rPr/>
        <w:t>（</w:t>
      </w:r>
      <w:r>
        <w:rPr>
          <w:spacing w:val="-10"/>
        </w:rPr>
        <w:t>以下选项，请直接在相应的选项上打√，如果选项中有未列入的其他选项，请</w:t>
      </w:r>
      <w:r>
        <w:rPr/>
        <w:t>补充在相应的横线上）</w:t>
      </w:r>
    </w:p>
    <w:p>
      <w:pPr>
        <w:pStyle w:val="BodyText"/>
        <w:spacing w:before="1"/>
        <w:rPr>
          <w:sz w:val="29"/>
        </w:rPr>
      </w:pPr>
    </w:p>
    <w:p>
      <w:pPr>
        <w:pStyle w:val="BodyText"/>
        <w:ind w:left="1320"/>
      </w:pPr>
      <w:r>
        <w:rPr>
          <w:spacing w:val="-18"/>
        </w:rPr>
        <w:t>19.（</w:t>
      </w:r>
      <w:r>
        <w:rPr/>
        <w:t>可多选</w:t>
      </w:r>
      <w:r>
        <w:rPr>
          <w:spacing w:val="-72"/>
        </w:rPr>
        <w:t>）</w:t>
      </w:r>
      <w:r>
        <w:rPr>
          <w:spacing w:val="-4"/>
        </w:rPr>
        <w:t>你主要通过哪些途径获得关于社会发展、就业或升学方面的信息？</w:t>
      </w:r>
    </w:p>
    <w:p>
      <w:pPr>
        <w:pStyle w:val="BodyText"/>
        <w:spacing w:before="67"/>
        <w:ind w:left="1320"/>
      </w:pPr>
      <w:r>
        <w:rPr/>
        <w:t>（1）学校的生涯规划教育</w:t>
      </w:r>
    </w:p>
    <w:p>
      <w:pPr>
        <w:pStyle w:val="BodyText"/>
        <w:spacing w:before="67"/>
        <w:ind w:left="1320"/>
      </w:pPr>
      <w:r>
        <w:rPr/>
        <w:t>（2）父母、亲戚</w:t>
      </w:r>
    </w:p>
    <w:p>
      <w:pPr>
        <w:pStyle w:val="BodyText"/>
        <w:spacing w:before="67"/>
        <w:ind w:left="1320"/>
      </w:pPr>
      <w:r>
        <w:rPr/>
        <w:t>（3）网络、报刊、杂志等媒体</w:t>
      </w:r>
    </w:p>
    <w:p>
      <w:pPr>
        <w:pStyle w:val="BodyText"/>
        <w:spacing w:before="67"/>
        <w:ind w:left="1320"/>
      </w:pPr>
      <w:r>
        <w:rPr/>
        <w:t>（4）朋友</w:t>
      </w:r>
    </w:p>
    <w:p>
      <w:pPr>
        <w:pStyle w:val="BodyText"/>
        <w:tabs>
          <w:tab w:pos="5699" w:val="left" w:leader="none"/>
        </w:tabs>
        <w:spacing w:line="292" w:lineRule="auto" w:before="67"/>
        <w:ind w:left="1320" w:right="4245"/>
      </w:pPr>
      <w:r>
        <w:rPr/>
        <w:t>（5）其他</w:t>
      </w:r>
      <w:r>
        <w:rPr>
          <w:rFonts w:ascii="Times New Roman" w:eastAsia="Times New Roman"/>
          <w:u w:val="single"/>
        </w:rPr>
        <w:t> </w:t>
        <w:tab/>
      </w:r>
      <w:r>
        <w:rPr>
          <w:rFonts w:ascii="Times New Roman" w:eastAsia="Times New Roman"/>
        </w:rPr>
        <w:t> </w:t>
      </w:r>
      <w:r>
        <w:rPr/>
        <w:t>      20.（单选）你在学习生活中会主动搜集这些信息吗</w:t>
      </w:r>
      <w:r>
        <w:rPr>
          <w:spacing w:val="-19"/>
        </w:rPr>
        <w:t>？ </w:t>
      </w:r>
      <w:r>
        <w:rPr/>
        <w:t>A.经常有意识的关注，并根据需要搜集            B.偶尔主动关注，但不会刻意搜集                C.只在需要的时候才关注和搜集</w:t>
      </w:r>
    </w:p>
    <w:p>
      <w:pPr>
        <w:pStyle w:val="BodyText"/>
        <w:spacing w:line="304" w:lineRule="exact"/>
        <w:ind w:left="1320"/>
      </w:pPr>
      <w:r>
        <w:rPr/>
        <w:t>D.不会主动关注</w:t>
      </w:r>
    </w:p>
    <w:p>
      <w:pPr>
        <w:pStyle w:val="BodyText"/>
        <w:spacing w:line="292" w:lineRule="auto" w:before="66"/>
        <w:ind w:left="1320" w:right="1577"/>
      </w:pPr>
      <w:r>
        <w:rPr/>
        <w:t>21.（单选）你对于未来想要报考的院校专业或者从事的职业是否有了清晰的目标？</w:t>
      </w:r>
    </w:p>
    <w:p>
      <w:pPr>
        <w:pStyle w:val="BodyText"/>
        <w:spacing w:line="292" w:lineRule="auto"/>
        <w:ind w:left="1320" w:right="6045"/>
      </w:pPr>
      <w:r>
        <w:rPr/>
        <w:t>A.明确报考院校专业或职业       B.</w:t>
      </w:r>
      <w:r>
        <w:rPr>
          <w:spacing w:val="-2"/>
        </w:rPr>
        <w:t>明确报考院校专业，但不确定职业</w:t>
      </w:r>
      <w:r>
        <w:rPr/>
        <w:t>C.</w:t>
      </w:r>
      <w:r>
        <w:rPr>
          <w:spacing w:val="-2"/>
        </w:rPr>
        <w:t>明确职业，但不明确报考院校专业</w:t>
      </w:r>
      <w:r>
        <w:rPr/>
        <w:t>D.有大致方向，还在考虑中       E.比较模糊，存在困惑           F.没有考虑过</w:t>
      </w:r>
    </w:p>
    <w:p>
      <w:pPr>
        <w:pStyle w:val="BodyText"/>
        <w:spacing w:line="292" w:lineRule="auto"/>
        <w:ind w:left="1320" w:right="2325"/>
      </w:pPr>
      <w:r>
        <w:rPr/>
        <w:t>22.（单选）你是否已经为自己制定了学习计划或者（职业）</w:t>
      </w:r>
      <w:r>
        <w:rPr>
          <w:spacing w:val="-4"/>
        </w:rPr>
        <w:t>生涯规划？ </w:t>
      </w:r>
      <w:r>
        <w:rPr/>
        <w:t>A.有明确规划</w:t>
      </w:r>
    </w:p>
    <w:p>
      <w:pPr>
        <w:spacing w:after="0" w:line="292" w:lineRule="auto"/>
        <w:sectPr>
          <w:pgSz w:w="11910" w:h="16840"/>
          <w:pgMar w:header="878" w:footer="1191" w:top="1300" w:bottom="1380" w:left="480" w:right="220"/>
        </w:sectPr>
      </w:pPr>
    </w:p>
    <w:p>
      <w:pPr>
        <w:pStyle w:val="BodyText"/>
        <w:spacing w:line="290" w:lineRule="auto" w:before="164"/>
        <w:ind w:left="1320" w:right="6045"/>
      </w:pPr>
      <w:r>
        <w:rPr/>
        <w:t>B.</w:t>
      </w:r>
      <w:r>
        <w:rPr>
          <w:spacing w:val="-2"/>
        </w:rPr>
        <w:t>明确未来发展方向，但未制定规划</w:t>
      </w:r>
      <w:r>
        <w:rPr/>
        <w:t>C.思考过，仍感到困惑           D.目前还未考虑，以后再考虑</w:t>
      </w:r>
    </w:p>
    <w:p>
      <w:pPr>
        <w:pStyle w:val="BodyText"/>
        <w:spacing w:before="7"/>
        <w:ind w:left="1320"/>
      </w:pPr>
      <w:r>
        <w:rPr/>
        <w:t>（如果第 22 选择 A.或 B，请先回答第 23、24 题；选择其它请直接跳至第 25 题）</w:t>
      </w:r>
    </w:p>
    <w:p>
      <w:pPr>
        <w:pStyle w:val="BodyText"/>
        <w:spacing w:before="65"/>
        <w:ind w:left="1320"/>
      </w:pPr>
      <w:r>
        <w:rPr/>
        <w:t>23. 你制定学习计划或个人生涯规划的依据？</w:t>
      </w:r>
    </w:p>
    <w:p>
      <w:pPr>
        <w:pStyle w:val="BodyText"/>
        <w:tabs>
          <w:tab w:pos="7379" w:val="left" w:leader="none"/>
        </w:tabs>
        <w:spacing w:before="69"/>
        <w:ind w:left="1320"/>
        <w:rPr>
          <w:rFonts w:ascii="Times New Roman" w:eastAsia="Times New Roman"/>
        </w:rPr>
      </w:pPr>
      <w:r>
        <w:rPr/>
        <w:t>（请按照重要性排序）</w:t>
      </w:r>
      <w:r>
        <w:rPr>
          <w:rFonts w:ascii="Times New Roman" w:eastAsia="Times New Roman"/>
          <w:u w:val="single"/>
        </w:rPr>
        <w:t> </w:t>
        <w:tab/>
      </w:r>
    </w:p>
    <w:p>
      <w:pPr>
        <w:pStyle w:val="BodyText"/>
        <w:spacing w:before="67"/>
        <w:ind w:left="1320"/>
      </w:pPr>
      <w:r>
        <w:rPr/>
        <w:t>（1）个人的个性、兴趣、能力等</w:t>
      </w:r>
    </w:p>
    <w:p>
      <w:pPr>
        <w:pStyle w:val="BodyText"/>
        <w:spacing w:before="65"/>
        <w:ind w:left="1320"/>
      </w:pPr>
      <w:r>
        <w:rPr/>
        <w:t>（2）社会就业趋势</w:t>
      </w:r>
    </w:p>
    <w:p>
      <w:pPr>
        <w:pStyle w:val="BodyText"/>
        <w:spacing w:before="69"/>
        <w:ind w:left="1320"/>
      </w:pPr>
      <w:r>
        <w:rPr/>
        <w:t>（3）职业的特征，如工资水平、社会地位、工作环境等</w:t>
      </w:r>
    </w:p>
    <w:p>
      <w:pPr>
        <w:pStyle w:val="BodyText"/>
        <w:spacing w:before="64"/>
        <w:ind w:left="1320"/>
      </w:pPr>
      <w:r>
        <w:rPr/>
        <w:t>（4）教师指导</w:t>
      </w:r>
    </w:p>
    <w:p>
      <w:pPr>
        <w:pStyle w:val="BodyText"/>
        <w:spacing w:before="67"/>
        <w:ind w:left="1320"/>
      </w:pPr>
      <w:r>
        <w:rPr/>
        <w:t>（5）父母亲戚影响</w:t>
      </w:r>
    </w:p>
    <w:p>
      <w:pPr>
        <w:pStyle w:val="BodyText"/>
        <w:spacing w:before="70"/>
        <w:ind w:left="1320"/>
      </w:pPr>
      <w:r>
        <w:rPr/>
        <w:t>（6）同学影响</w:t>
      </w:r>
    </w:p>
    <w:p>
      <w:pPr>
        <w:pStyle w:val="BodyText"/>
        <w:tabs>
          <w:tab w:pos="3899" w:val="left" w:leader="none"/>
          <w:tab w:pos="6839" w:val="left" w:leader="none"/>
        </w:tabs>
        <w:spacing w:line="292" w:lineRule="auto" w:before="64"/>
        <w:ind w:left="1320" w:right="3525"/>
      </w:pPr>
      <w:r>
        <w:rPr/>
        <w:t>（7）其他</w:t>
      </w:r>
      <w:r>
        <w:rPr>
          <w:rFonts w:ascii="Times New Roman" w:eastAsia="Times New Roman"/>
          <w:u w:val="single"/>
        </w:rPr>
        <w:t> </w:t>
        <w:tab/>
      </w:r>
      <w:r>
        <w:rPr>
          <w:rFonts w:ascii="Times New Roman" w:eastAsia="Times New Roman"/>
        </w:rPr>
        <w:t> </w:t>
      </w:r>
      <w:r>
        <w:rPr/>
        <w:t>                             24.你对你的学习计划或者（职业）生涯规划进行过调整吗</w:t>
      </w:r>
      <w:r>
        <w:rPr>
          <w:spacing w:val="-19"/>
        </w:rPr>
        <w:t>？ </w:t>
      </w:r>
      <w:r>
        <w:rPr/>
        <w:t>A.是</w:t>
        <w:tab/>
        <w:tab/>
        <w:t>B.否</w:t>
      </w:r>
    </w:p>
    <w:p>
      <w:pPr>
        <w:pStyle w:val="BodyText"/>
        <w:tabs>
          <w:tab w:pos="8699" w:val="left" w:leader="none"/>
        </w:tabs>
        <w:spacing w:line="305" w:lineRule="exact"/>
        <w:ind w:left="1320"/>
        <w:rPr>
          <w:rFonts w:ascii="Times New Roman" w:eastAsia="Times New Roman"/>
        </w:rPr>
      </w:pPr>
      <w:r>
        <w:rPr/>
        <w:t>（1）调整的原因是什么？</w:t>
      </w:r>
      <w:r>
        <w:rPr>
          <w:rFonts w:ascii="Times New Roman" w:eastAsia="Times New Roman"/>
          <w:u w:val="single"/>
        </w:rPr>
        <w:t> </w:t>
        <w:tab/>
      </w:r>
    </w:p>
    <w:p>
      <w:pPr>
        <w:pStyle w:val="BodyText"/>
        <w:tabs>
          <w:tab w:pos="7079" w:val="left" w:leader="none"/>
        </w:tabs>
        <w:spacing w:line="290" w:lineRule="auto" w:before="69"/>
        <w:ind w:left="1320" w:right="3045"/>
      </w:pPr>
      <w:r>
        <w:rPr/>
        <w:t>（2）你是否还会继续调整你的学习计划或者（职业）生涯规划</w:t>
      </w:r>
      <w:r>
        <w:rPr>
          <w:spacing w:val="-19"/>
        </w:rPr>
        <w:t>？ </w:t>
      </w:r>
      <w:r>
        <w:rPr/>
        <w:t>A.是</w:t>
        <w:tab/>
        <w:t>B.否</w:t>
      </w:r>
    </w:p>
    <w:p>
      <w:pPr>
        <w:pStyle w:val="BodyText"/>
        <w:spacing w:before="5"/>
        <w:ind w:left="1320"/>
      </w:pPr>
      <w:r>
        <w:rPr/>
        <w:t>25.（多选）你目前最困惑的问题是什么?</w:t>
      </w:r>
    </w:p>
    <w:p>
      <w:pPr>
        <w:pStyle w:val="BodyText"/>
        <w:spacing w:before="65"/>
        <w:ind w:left="1320"/>
      </w:pPr>
      <w:r>
        <w:rPr/>
        <w:t>（1）不了解社会发展趋势及其对人才标准的要求</w:t>
      </w:r>
    </w:p>
    <w:p>
      <w:pPr>
        <w:pStyle w:val="BodyText"/>
        <w:spacing w:before="66"/>
        <w:ind w:left="1320"/>
      </w:pPr>
      <w:r>
        <w:rPr/>
        <w:t>（2）不知道应如何才能够考上心目中向往的学校和专业</w:t>
      </w:r>
    </w:p>
    <w:p>
      <w:pPr>
        <w:pStyle w:val="BodyText"/>
        <w:spacing w:before="70"/>
        <w:ind w:left="1320"/>
      </w:pPr>
      <w:r>
        <w:rPr/>
        <w:t>（3）不具备向往的职业需要的能力和技能</w:t>
      </w:r>
    </w:p>
    <w:p>
      <w:pPr>
        <w:pStyle w:val="BodyText"/>
        <w:spacing w:before="64"/>
        <w:ind w:left="1320"/>
      </w:pPr>
      <w:r>
        <w:rPr/>
        <w:t>（4）不清楚适不适合这个专业或职业</w:t>
      </w:r>
    </w:p>
    <w:p>
      <w:pPr>
        <w:pStyle w:val="BodyText"/>
        <w:spacing w:before="70"/>
        <w:ind w:left="1320"/>
      </w:pPr>
      <w:r>
        <w:rPr/>
        <w:t>（5）对未来没有总体规划</w:t>
      </w:r>
    </w:p>
    <w:p>
      <w:pPr>
        <w:pStyle w:val="BodyText"/>
        <w:tabs>
          <w:tab w:pos="5939" w:val="left" w:leader="none"/>
        </w:tabs>
        <w:spacing w:line="292" w:lineRule="auto" w:before="64"/>
        <w:ind w:left="1320" w:right="4845"/>
      </w:pPr>
      <w:r>
        <w:rPr/>
        <w:t>（6）其他</w:t>
      </w:r>
      <w:r>
        <w:rPr>
          <w:rFonts w:ascii="Times New Roman" w:eastAsia="Times New Roman"/>
          <w:u w:val="single"/>
        </w:rPr>
        <w:t> </w:t>
        <w:tab/>
      </w:r>
      <w:r>
        <w:rPr>
          <w:rFonts w:ascii="Times New Roman" w:eastAsia="Times New Roman"/>
        </w:rPr>
        <w:t> </w:t>
      </w:r>
      <w:r>
        <w:rPr/>
        <w:t>26.（单选）你将如何解决你自己的困惑的</w:t>
      </w:r>
      <w:r>
        <w:rPr>
          <w:spacing w:val="-7"/>
        </w:rPr>
        <w:t>?（） </w:t>
      </w:r>
      <w:r>
        <w:rPr/>
        <w:t>A.向父母或亲戚咨询         </w:t>
      </w:r>
      <w:r>
        <w:rPr>
          <w:spacing w:val="5"/>
        </w:rPr>
        <w:t> </w:t>
      </w:r>
      <w:r>
        <w:rPr/>
        <w:t>B.向老师咨询C.自己通过网络或书籍等查询</w:t>
      </w:r>
    </w:p>
    <w:p>
      <w:pPr>
        <w:pStyle w:val="BodyText"/>
        <w:spacing w:line="307" w:lineRule="exact"/>
        <w:ind w:left="1320"/>
      </w:pPr>
      <w:r>
        <w:rPr/>
        <w:t>D.求助朋友</w:t>
      </w:r>
    </w:p>
    <w:p>
      <w:pPr>
        <w:pStyle w:val="BodyText"/>
        <w:tabs>
          <w:tab w:pos="5099" w:val="left" w:leader="none"/>
        </w:tabs>
        <w:spacing w:before="65"/>
        <w:ind w:left="1320"/>
        <w:rPr>
          <w:rFonts w:ascii="Times New Roman" w:eastAsia="Times New Roman"/>
        </w:rPr>
      </w:pPr>
      <w:r>
        <w:rPr/>
        <w:t>E.其他</w:t>
      </w:r>
      <w:r>
        <w:rPr>
          <w:rFonts w:ascii="Times New Roman" w:eastAsia="Times New Roman"/>
          <w:u w:val="single"/>
        </w:rPr>
        <w:t> </w:t>
        <w:tab/>
      </w:r>
    </w:p>
    <w:p>
      <w:pPr>
        <w:pStyle w:val="BodyText"/>
        <w:rPr>
          <w:rFonts w:ascii="Times New Roman"/>
          <w:sz w:val="20"/>
        </w:rPr>
      </w:pPr>
    </w:p>
    <w:p>
      <w:pPr>
        <w:pStyle w:val="BodyText"/>
        <w:spacing w:before="213"/>
        <w:ind w:left="1320"/>
      </w:pPr>
      <w:r>
        <w:rPr/>
        <w:t>27.（可多选）你认为学校开展生涯规划教育的目的是什么？</w:t>
      </w:r>
    </w:p>
    <w:p>
      <w:pPr>
        <w:pStyle w:val="BodyText"/>
        <w:spacing w:before="65"/>
        <w:ind w:left="1320"/>
      </w:pPr>
      <w:r>
        <w:rPr/>
        <w:t>（1）指导选课</w:t>
      </w:r>
    </w:p>
    <w:p>
      <w:pPr>
        <w:pStyle w:val="BodyText"/>
        <w:spacing w:before="69"/>
        <w:ind w:left="1320"/>
      </w:pPr>
      <w:r>
        <w:rPr/>
        <w:t>（2）辅导高考志愿填写</w:t>
      </w:r>
    </w:p>
    <w:p>
      <w:pPr>
        <w:pStyle w:val="BodyText"/>
        <w:spacing w:before="65"/>
        <w:ind w:left="1320"/>
      </w:pPr>
      <w:r>
        <w:rPr/>
        <w:t>（3）认识自我、职业和社会</w:t>
      </w:r>
    </w:p>
    <w:p>
      <w:pPr>
        <w:pStyle w:val="BodyText"/>
        <w:spacing w:before="69"/>
        <w:ind w:left="1320"/>
      </w:pPr>
      <w:r>
        <w:rPr/>
        <w:t>（4）进行（职业）生涯规划</w:t>
      </w:r>
    </w:p>
    <w:p>
      <w:pPr>
        <w:pStyle w:val="BodyText"/>
        <w:spacing w:before="67"/>
        <w:ind w:left="1320"/>
      </w:pPr>
      <w:r>
        <w:rPr/>
        <w:t>（5）培养兴趣</w:t>
      </w:r>
    </w:p>
    <w:p>
      <w:pPr>
        <w:spacing w:after="0"/>
        <w:sectPr>
          <w:pgSz w:w="11910" w:h="16840"/>
          <w:pgMar w:header="878" w:footer="1191" w:top="1300" w:bottom="1380" w:left="480" w:right="220"/>
        </w:sectPr>
      </w:pPr>
    </w:p>
    <w:p>
      <w:pPr>
        <w:pStyle w:val="ListParagraph"/>
        <w:numPr>
          <w:ilvl w:val="0"/>
          <w:numId w:val="55"/>
        </w:numPr>
        <w:tabs>
          <w:tab w:pos="1921" w:val="left" w:leader="none"/>
          <w:tab w:pos="5099" w:val="left" w:leader="none"/>
        </w:tabs>
        <w:spacing w:line="292" w:lineRule="auto" w:before="164" w:after="0"/>
        <w:ind w:left="1320" w:right="3765" w:firstLine="0"/>
        <w:jc w:val="left"/>
        <w:rPr>
          <w:sz w:val="24"/>
        </w:rPr>
      </w:pPr>
      <w:r>
        <w:rPr>
          <w:sz w:val="24"/>
        </w:rPr>
        <w:t>其他</w:t>
      </w:r>
      <w:r>
        <w:rPr>
          <w:rFonts w:ascii="Times New Roman" w:eastAsia="Times New Roman"/>
          <w:sz w:val="24"/>
          <w:u w:val="single"/>
        </w:rPr>
        <w:t> </w:t>
        <w:tab/>
      </w:r>
      <w:r>
        <w:rPr>
          <w:rFonts w:ascii="Times New Roman" w:eastAsia="Times New Roman"/>
          <w:sz w:val="24"/>
        </w:rPr>
        <w:t> </w:t>
      </w:r>
      <w:r>
        <w:rPr>
          <w:sz w:val="24"/>
        </w:rPr>
        <w:t>               28.（可多选）学校开展的生涯规划教育主要有哪些方面</w:t>
      </w:r>
      <w:r>
        <w:rPr>
          <w:spacing w:val="-19"/>
          <w:sz w:val="24"/>
        </w:rPr>
        <w:t>？</w:t>
      </w:r>
    </w:p>
    <w:p>
      <w:pPr>
        <w:pStyle w:val="BodyText"/>
        <w:spacing w:line="304" w:lineRule="exact"/>
        <w:ind w:left="1320"/>
      </w:pPr>
      <w:r>
        <w:rPr/>
        <w:t>（1）探索自我、职业和社会</w:t>
      </w:r>
    </w:p>
    <w:p>
      <w:pPr>
        <w:pStyle w:val="BodyText"/>
        <w:spacing w:before="70"/>
        <w:ind w:left="1320"/>
      </w:pPr>
      <w:r>
        <w:rPr/>
        <w:t>（2）选课、选专业、选职业辅导</w:t>
      </w:r>
    </w:p>
    <w:p>
      <w:pPr>
        <w:pStyle w:val="BodyText"/>
        <w:spacing w:before="64"/>
        <w:ind w:left="1320"/>
      </w:pPr>
      <w:r>
        <w:rPr/>
        <w:t>（3）制定和管理生涯规划</w:t>
      </w:r>
    </w:p>
    <w:p>
      <w:pPr>
        <w:pStyle w:val="BodyText"/>
        <w:spacing w:before="69"/>
        <w:ind w:left="1320"/>
      </w:pPr>
      <w:r>
        <w:rPr/>
        <w:t>（4）如何学习</w:t>
      </w:r>
    </w:p>
    <w:p>
      <w:pPr>
        <w:pStyle w:val="BodyText"/>
        <w:spacing w:before="67"/>
        <w:ind w:left="1320"/>
      </w:pPr>
      <w:r>
        <w:rPr/>
        <w:t>（5）如何生活（如人际交往、压力处理、时间管理等等）</w:t>
      </w:r>
    </w:p>
    <w:p>
      <w:pPr>
        <w:pStyle w:val="BodyText"/>
        <w:spacing w:before="65"/>
        <w:ind w:left="1320"/>
      </w:pPr>
      <w:r>
        <w:rPr/>
        <w:t>（6）就业技能培养</w:t>
      </w:r>
    </w:p>
    <w:p>
      <w:pPr>
        <w:pStyle w:val="BodyText"/>
        <w:spacing w:before="69"/>
        <w:ind w:left="1320"/>
      </w:pPr>
      <w:r>
        <w:rPr/>
        <w:t>（7）兴趣培养</w:t>
      </w:r>
    </w:p>
    <w:p>
      <w:pPr>
        <w:pStyle w:val="ListParagraph"/>
        <w:numPr>
          <w:ilvl w:val="0"/>
          <w:numId w:val="55"/>
        </w:numPr>
        <w:tabs>
          <w:tab w:pos="1921" w:val="left" w:leader="none"/>
          <w:tab w:pos="5459" w:val="left" w:leader="none"/>
        </w:tabs>
        <w:spacing w:line="240" w:lineRule="auto" w:before="65" w:after="0"/>
        <w:ind w:left="1921" w:right="0" w:hanging="601"/>
        <w:jc w:val="left"/>
        <w:rPr>
          <w:rFonts w:ascii="Times New Roman" w:eastAsia="Times New Roman"/>
          <w:sz w:val="24"/>
        </w:rPr>
      </w:pPr>
      <w:r>
        <w:rPr>
          <w:sz w:val="24"/>
        </w:rPr>
        <w:t>其他</w:t>
      </w:r>
      <w:r>
        <w:rPr>
          <w:rFonts w:ascii="Times New Roman" w:eastAsia="Times New Roman"/>
          <w:sz w:val="24"/>
          <w:u w:val="single"/>
        </w:rPr>
        <w:t> </w:t>
        <w:tab/>
      </w:r>
    </w:p>
    <w:p>
      <w:pPr>
        <w:pStyle w:val="BodyText"/>
        <w:rPr>
          <w:rFonts w:ascii="Times New Roman"/>
          <w:sz w:val="20"/>
        </w:rPr>
      </w:pPr>
    </w:p>
    <w:p>
      <w:pPr>
        <w:pStyle w:val="BodyText"/>
        <w:spacing w:before="213"/>
        <w:ind w:left="1440"/>
      </w:pPr>
      <w:r>
        <w:rPr/>
        <w:t>你还希望学校为你提供哪些方面的指导？</w:t>
      </w:r>
    </w:p>
    <w:p>
      <w:pPr>
        <w:pStyle w:val="BodyText"/>
        <w:spacing w:before="5"/>
        <w:rPr>
          <w:sz w:val="22"/>
        </w:rPr>
      </w:pPr>
      <w:r>
        <w:rPr/>
        <w:pict>
          <v:shape style="position:absolute;margin-left:96pt;margin-top:16.609329pt;width:409.3pt;height:.1pt;mso-position-horizontal-relative:page;mso-position-vertical-relative:paragraph;z-index:-251517952;mso-wrap-distance-left:0;mso-wrap-distance-right:0" coordorigin="1920,332" coordsize="8186,0" path="m1920,332l10106,332e" filled="false" stroked="true" strokeweight=".6pt" strokecolor="#000000">
            <v:path arrowok="t"/>
            <v:stroke dashstyle="solid"/>
            <w10:wrap type="topAndBottom"/>
          </v:shape>
        </w:pict>
      </w:r>
    </w:p>
    <w:p>
      <w:pPr>
        <w:pStyle w:val="BodyText"/>
        <w:spacing w:before="75"/>
        <w:ind w:left="1320"/>
      </w:pPr>
      <w:r>
        <w:rPr/>
        <w:t>29.你所在的学校开展了哪些形式的生涯规划教育？</w:t>
      </w:r>
    </w:p>
    <w:p>
      <w:pPr>
        <w:pStyle w:val="BodyText"/>
        <w:tabs>
          <w:tab w:pos="9685" w:val="left" w:leader="none"/>
        </w:tabs>
        <w:spacing w:before="64"/>
        <w:ind w:left="1320"/>
        <w:rPr>
          <w:rFonts w:ascii="Times New Roman" w:eastAsia="Times New Roman"/>
        </w:rPr>
      </w:pPr>
      <w:r>
        <w:rPr/>
        <w:t>（请你按照对你帮助的重要程度排序）</w:t>
      </w:r>
      <w:r>
        <w:rPr>
          <w:rFonts w:ascii="Times New Roman" w:eastAsia="Times New Roman"/>
          <w:u w:val="single"/>
        </w:rPr>
        <w:t> </w:t>
        <w:tab/>
      </w:r>
    </w:p>
    <w:p>
      <w:pPr>
        <w:pStyle w:val="BodyText"/>
        <w:spacing w:before="67"/>
        <w:ind w:left="1320"/>
      </w:pPr>
      <w:r>
        <w:rPr/>
        <w:t>（1）生涯规划教育课程</w:t>
      </w:r>
    </w:p>
    <w:p>
      <w:pPr>
        <w:pStyle w:val="BodyText"/>
        <w:spacing w:before="69"/>
        <w:ind w:left="1320"/>
      </w:pPr>
      <w:r>
        <w:rPr/>
        <w:t>（2）专题讲座和主题班会</w:t>
      </w:r>
    </w:p>
    <w:p>
      <w:pPr>
        <w:pStyle w:val="BodyText"/>
        <w:spacing w:before="65"/>
        <w:ind w:left="1320"/>
      </w:pPr>
      <w:r>
        <w:rPr/>
        <w:t>（3）社会实践</w:t>
      </w:r>
    </w:p>
    <w:p>
      <w:pPr>
        <w:pStyle w:val="BodyText"/>
        <w:spacing w:before="69"/>
        <w:ind w:left="1320"/>
      </w:pPr>
      <w:r>
        <w:rPr/>
        <w:t>（4）兴趣社团</w:t>
      </w:r>
    </w:p>
    <w:p>
      <w:pPr>
        <w:pStyle w:val="BodyText"/>
        <w:spacing w:before="65"/>
        <w:ind w:left="1320"/>
      </w:pPr>
      <w:r>
        <w:rPr/>
        <w:t>（5）教师个别辅导</w:t>
      </w:r>
    </w:p>
    <w:p>
      <w:pPr>
        <w:pStyle w:val="BodyText"/>
        <w:spacing w:before="66"/>
        <w:ind w:left="1320"/>
      </w:pPr>
      <w:r>
        <w:rPr/>
        <w:t>（6）心理测验</w:t>
      </w:r>
    </w:p>
    <w:p>
      <w:pPr>
        <w:pStyle w:val="BodyText"/>
        <w:spacing w:before="70"/>
        <w:ind w:left="1320"/>
      </w:pPr>
      <w:r>
        <w:rPr/>
        <w:t>（7）企业参观</w:t>
      </w:r>
    </w:p>
    <w:p>
      <w:pPr>
        <w:pStyle w:val="ListParagraph"/>
        <w:numPr>
          <w:ilvl w:val="0"/>
          <w:numId w:val="55"/>
        </w:numPr>
        <w:tabs>
          <w:tab w:pos="1921" w:val="left" w:leader="none"/>
          <w:tab w:pos="5219" w:val="left" w:leader="none"/>
        </w:tabs>
        <w:spacing w:line="240" w:lineRule="auto" w:before="64" w:after="0"/>
        <w:ind w:left="1921" w:right="0" w:hanging="601"/>
        <w:jc w:val="left"/>
        <w:rPr>
          <w:rFonts w:ascii="Times New Roman" w:eastAsia="Times New Roman"/>
          <w:sz w:val="24"/>
        </w:rPr>
      </w:pPr>
      <w:r>
        <w:rPr>
          <w:sz w:val="24"/>
        </w:rPr>
        <w:t>其他</w:t>
      </w:r>
      <w:r>
        <w:rPr>
          <w:rFonts w:ascii="Times New Roman" w:eastAsia="Times New Roman"/>
          <w:sz w:val="24"/>
          <w:u w:val="single"/>
        </w:rPr>
        <w:t> </w:t>
        <w:tab/>
      </w:r>
    </w:p>
    <w:p>
      <w:pPr>
        <w:pStyle w:val="BodyText"/>
        <w:spacing w:line="290" w:lineRule="auto" w:before="70"/>
        <w:ind w:left="1320" w:right="1577"/>
      </w:pPr>
      <w:r>
        <w:rPr/>
        <w:t>30.（单选）除了生涯规划教育之外，教师在其他学科课程中会涉及到生涯规划教育的相关内容吗？</w:t>
      </w:r>
    </w:p>
    <w:p>
      <w:pPr>
        <w:pStyle w:val="BodyText"/>
        <w:tabs>
          <w:tab w:pos="2759" w:val="left" w:leader="none"/>
          <w:tab w:pos="4199" w:val="left" w:leader="none"/>
          <w:tab w:pos="5879" w:val="left" w:leader="none"/>
        </w:tabs>
        <w:spacing w:before="4"/>
        <w:ind w:left="1320"/>
      </w:pPr>
      <w:r>
        <w:rPr/>
        <w:t>A.经常介绍</w:t>
        <w:tab/>
        <w:t>B.偶尔提及</w:t>
        <w:tab/>
        <w:t>C.没有提到过</w:t>
        <w:tab/>
        <w:t>D.不是很清楚</w:t>
      </w:r>
    </w:p>
    <w:p>
      <w:pPr>
        <w:pStyle w:val="BodyText"/>
        <w:spacing w:line="290" w:lineRule="auto" w:before="67"/>
        <w:ind w:left="1320" w:right="1577"/>
      </w:pPr>
      <w:r>
        <w:rPr/>
        <w:t>32.（单选）你在选课过程中，确定未来报考院校及专业的，以制定生涯规划的过程中，父母对你的帮助大吗？</w:t>
      </w:r>
    </w:p>
    <w:p>
      <w:pPr>
        <w:pStyle w:val="BodyText"/>
        <w:tabs>
          <w:tab w:pos="6479" w:val="left" w:leader="none"/>
        </w:tabs>
        <w:spacing w:before="5"/>
        <w:ind w:left="1320"/>
      </w:pPr>
      <w:r>
        <w:rPr/>
        <w:t>A.帮助很大</w:t>
        <w:tab/>
        <w:t>B.有一定的帮助</w:t>
      </w:r>
    </w:p>
    <w:p>
      <w:pPr>
        <w:pStyle w:val="BodyText"/>
        <w:tabs>
          <w:tab w:pos="6479" w:val="left" w:leader="none"/>
        </w:tabs>
        <w:spacing w:before="64"/>
        <w:ind w:left="1320"/>
      </w:pPr>
      <w:r>
        <w:rPr/>
        <w:t>C.帮助较小</w:t>
        <w:tab/>
        <w:t>D.几乎没有帮助</w:t>
      </w:r>
    </w:p>
    <w:p>
      <w:pPr>
        <w:pStyle w:val="BodyText"/>
        <w:tabs>
          <w:tab w:pos="6359" w:val="left" w:leader="none"/>
        </w:tabs>
        <w:spacing w:line="292" w:lineRule="auto" w:before="69"/>
        <w:ind w:left="1320" w:right="3045"/>
      </w:pPr>
      <w:r>
        <w:rPr/>
        <w:t>33.（单选）你认为学校开展的生涯规划教育对你的帮助大吗？ A.帮助很大</w:t>
        <w:tab/>
        <w:t>B .有一定的帮</w:t>
      </w:r>
      <w:r>
        <w:rPr>
          <w:spacing w:val="-18"/>
        </w:rPr>
        <w:t>助</w:t>
      </w:r>
    </w:p>
    <w:p>
      <w:pPr>
        <w:pStyle w:val="BodyText"/>
        <w:tabs>
          <w:tab w:pos="6359" w:val="left" w:leader="none"/>
        </w:tabs>
        <w:spacing w:line="304" w:lineRule="exact"/>
        <w:ind w:left="1320"/>
      </w:pPr>
      <w:r>
        <w:rPr/>
        <w:t>C.帮助比较小</w:t>
        <w:tab/>
        <w:t>D.几乎没有帮助</w:t>
      </w:r>
    </w:p>
    <w:p>
      <w:pPr>
        <w:pStyle w:val="BodyText"/>
        <w:spacing w:line="290" w:lineRule="auto" w:before="70"/>
        <w:ind w:left="1320" w:right="1577"/>
      </w:pPr>
      <w:r>
        <w:rPr/>
        <w:t>34.你希望学校提供什么样的生涯规划教育，请你谈谈对学校生涯规划教育的意见或建议。（请随意填写）</w:t>
      </w:r>
    </w:p>
    <w:p>
      <w:pPr>
        <w:pStyle w:val="BodyText"/>
        <w:spacing w:before="7"/>
        <w:rPr>
          <w:sz w:val="17"/>
        </w:rPr>
      </w:pPr>
      <w:r>
        <w:rPr/>
        <w:pict>
          <v:shape style="position:absolute;margin-left:90pt;margin-top:13.507493pt;width:415.3pt;height:.1pt;mso-position-horizontal-relative:page;mso-position-vertical-relative:paragraph;z-index:-251516928;mso-wrap-distance-left:0;mso-wrap-distance-right:0" coordorigin="1800,270" coordsize="8306,0" path="m1800,270l10106,270e" filled="false" stroked="true" strokeweight=".6pt" strokecolor="#000000">
            <v:path arrowok="t"/>
            <v:stroke dashstyle="solid"/>
            <w10:wrap type="topAndBottom"/>
          </v:shape>
        </w:pict>
      </w:r>
      <w:r>
        <w:rPr/>
        <w:pict>
          <v:shape style="position:absolute;margin-left:90pt;margin-top:32.307491pt;width:415.3pt;height:.1pt;mso-position-horizontal-relative:page;mso-position-vertical-relative:paragraph;z-index:-251515904;mso-wrap-distance-left:0;mso-wrap-distance-right:0" coordorigin="1800,646" coordsize="8306,0" path="m1800,646l10106,646e" filled="false" stroked="true" strokeweight=".6pt" strokecolor="#000000">
            <v:path arrowok="t"/>
            <v:stroke dashstyle="solid"/>
            <w10:wrap type="topAndBottom"/>
          </v:shape>
        </w:pict>
      </w:r>
    </w:p>
    <w:p>
      <w:pPr>
        <w:pStyle w:val="BodyText"/>
        <w:spacing w:before="1"/>
        <w:rPr>
          <w:sz w:val="23"/>
        </w:rPr>
      </w:pPr>
    </w:p>
    <w:p>
      <w:pPr>
        <w:spacing w:after="0"/>
        <w:rPr>
          <w:sz w:val="23"/>
        </w:rPr>
        <w:sectPr>
          <w:pgSz w:w="11910" w:h="16840"/>
          <w:pgMar w:header="878" w:footer="1191" w:top="1300" w:bottom="1380" w:left="480" w:right="220"/>
        </w:sectPr>
      </w:pPr>
    </w:p>
    <w:p>
      <w:pPr>
        <w:pStyle w:val="BodyText"/>
        <w:rPr>
          <w:sz w:val="20"/>
        </w:rPr>
      </w:pPr>
    </w:p>
    <w:p>
      <w:pPr>
        <w:pStyle w:val="BodyText"/>
        <w:spacing w:before="1"/>
        <w:rPr>
          <w:sz w:val="13"/>
        </w:rPr>
      </w:pPr>
    </w:p>
    <w:p>
      <w:pPr>
        <w:pStyle w:val="BodyText"/>
        <w:spacing w:line="20" w:lineRule="exact"/>
        <w:ind w:left="1314"/>
        <w:rPr>
          <w:sz w:val="2"/>
        </w:rPr>
      </w:pPr>
      <w:r>
        <w:rPr>
          <w:sz w:val="2"/>
        </w:rPr>
        <w:pict>
          <v:group style="width:415.3pt;height:.6pt;mso-position-horizontal-relative:char;mso-position-vertical-relative:line" coordorigin="0,0" coordsize="8306,12">
            <v:line style="position:absolute" from="0,6" to="8306,6" stroked="true" strokeweight=".6pt" strokecolor="#000000">
              <v:stroke dashstyle="solid"/>
            </v:line>
          </v:group>
        </w:pict>
      </w:r>
      <w:r>
        <w:rPr>
          <w:sz w:val="2"/>
        </w:rPr>
      </w:r>
    </w:p>
    <w:p>
      <w:pPr>
        <w:pStyle w:val="BodyText"/>
        <w:spacing w:line="290" w:lineRule="auto" w:before="95"/>
        <w:ind w:left="1320" w:right="1581"/>
      </w:pPr>
      <w:r>
        <w:rPr/>
        <w:t>再次感谢您的支持!如果您对本研究有兴趣或想要了解更详细的信息可以与我联系：</w:t>
      </w:r>
    </w:p>
    <w:p>
      <w:pPr>
        <w:spacing w:after="0" w:line="290" w:lineRule="auto"/>
        <w:sectPr>
          <w:pgSz w:w="11910" w:h="16840"/>
          <w:pgMar w:header="878" w:footer="1191" w:top="1300" w:bottom="1380" w:left="480" w:right="220"/>
        </w:sectPr>
      </w:pPr>
    </w:p>
    <w:p>
      <w:pPr>
        <w:pStyle w:val="BodyText"/>
        <w:spacing w:before="11"/>
        <w:rPr>
          <w:sz w:val="14"/>
        </w:rPr>
      </w:pPr>
    </w:p>
    <w:p>
      <w:pPr>
        <w:pStyle w:val="Heading2"/>
        <w:spacing w:line="496" w:lineRule="exact"/>
        <w:ind w:left="1855" w:firstLine="0"/>
      </w:pPr>
      <w:bookmarkStart w:name="_bookmark291" w:id="342"/>
      <w:bookmarkEnd w:id="342"/>
      <w:r>
        <w:rPr>
          <w:b w:val="0"/>
        </w:rPr>
      </w:r>
      <w:r>
        <w:rPr/>
        <w:t>附录 </w:t>
      </w:r>
      <w:r>
        <w:rPr>
          <w:rFonts w:ascii="Times New Roman" w:eastAsia="Times New Roman"/>
        </w:rPr>
        <w:t>4</w:t>
      </w:r>
      <w:r>
        <w:rPr/>
        <w:t>：普通高中教师生涯规划教育实施现状调查（教师）</w:t>
      </w:r>
    </w:p>
    <w:p>
      <w:pPr>
        <w:pStyle w:val="BodyText"/>
        <w:spacing w:before="4"/>
        <w:rPr>
          <w:rFonts w:ascii="Microsoft JhengHei"/>
          <w:b/>
          <w:sz w:val="22"/>
        </w:rPr>
      </w:pPr>
    </w:p>
    <w:p>
      <w:pPr>
        <w:pStyle w:val="BodyText"/>
        <w:spacing w:before="1"/>
        <w:ind w:left="1320"/>
      </w:pPr>
      <w:r>
        <w:rPr/>
        <w:t>亲爱的老师：</w:t>
      </w:r>
    </w:p>
    <w:p>
      <w:pPr>
        <w:pStyle w:val="BodyText"/>
        <w:spacing w:before="160"/>
        <w:ind w:left="1800"/>
      </w:pPr>
      <w:r>
        <w:rPr/>
        <w:t>您好！</w:t>
      </w:r>
    </w:p>
    <w:p>
      <w:pPr>
        <w:pStyle w:val="BodyText"/>
        <w:spacing w:line="364" w:lineRule="auto" w:before="161"/>
        <w:ind w:left="1320" w:right="1577" w:firstLine="480"/>
      </w:pPr>
      <w:r>
        <w:rPr>
          <w:spacing w:val="-7"/>
        </w:rPr>
        <w:t>首先十分感谢您对本次调查的大力支持。我们正在做一个关于普通高中生涯规划教育实施情况的调查，希望通过本问卷调查，从教师层面了解当前普通高中</w:t>
      </w:r>
      <w:r>
        <w:rPr/>
        <w:t>生涯规划教育的实施情况，以期提取用于高中生涯规划教育有关研究的有用信</w:t>
      </w:r>
      <w:r>
        <w:rPr>
          <w:spacing w:val="-10"/>
        </w:rPr>
        <w:t>息。本问卷采取匿名填写方式，问卷结果仅用于学术研究，我们将从专业伦理的</w:t>
      </w:r>
      <w:r>
        <w:rPr/>
        <w:t>角度做最严格的保密。请您尽可能按照自己的真实情况填写！</w:t>
      </w:r>
    </w:p>
    <w:p>
      <w:pPr>
        <w:pStyle w:val="BodyText"/>
      </w:pPr>
    </w:p>
    <w:p>
      <w:pPr>
        <w:pStyle w:val="ListParagraph"/>
        <w:numPr>
          <w:ilvl w:val="0"/>
          <w:numId w:val="56"/>
        </w:numPr>
        <w:tabs>
          <w:tab w:pos="1680" w:val="left" w:leader="none"/>
          <w:tab w:pos="6419" w:val="left" w:leader="none"/>
        </w:tabs>
        <w:spacing w:line="240" w:lineRule="auto" w:before="163" w:after="0"/>
        <w:ind w:left="1680" w:right="0" w:hanging="360"/>
        <w:jc w:val="left"/>
        <w:rPr>
          <w:rFonts w:ascii="Times New Roman" w:eastAsia="Times New Roman"/>
          <w:sz w:val="24"/>
        </w:rPr>
      </w:pPr>
      <w:r>
        <w:rPr>
          <w:sz w:val="24"/>
        </w:rPr>
        <w:t>您所在学校： </w:t>
      </w:r>
      <w:r>
        <w:rPr>
          <w:rFonts w:ascii="Times New Roman" w:eastAsia="Times New Roman"/>
          <w:sz w:val="24"/>
          <w:u w:val="single"/>
        </w:rPr>
        <w:t> </w:t>
        <w:tab/>
      </w:r>
    </w:p>
    <w:p>
      <w:pPr>
        <w:pStyle w:val="ListParagraph"/>
        <w:numPr>
          <w:ilvl w:val="0"/>
          <w:numId w:val="56"/>
        </w:numPr>
        <w:tabs>
          <w:tab w:pos="1680" w:val="left" w:leader="none"/>
          <w:tab w:pos="6419" w:val="left" w:leader="none"/>
        </w:tabs>
        <w:spacing w:line="240" w:lineRule="auto" w:before="161" w:after="0"/>
        <w:ind w:left="1680" w:right="0" w:hanging="360"/>
        <w:jc w:val="left"/>
        <w:rPr>
          <w:rFonts w:ascii="Times New Roman" w:eastAsia="Times New Roman"/>
          <w:sz w:val="24"/>
        </w:rPr>
      </w:pPr>
      <w:r>
        <w:rPr>
          <w:sz w:val="24"/>
        </w:rPr>
        <w:t>任教年级： </w:t>
      </w:r>
      <w:r>
        <w:rPr>
          <w:rFonts w:ascii="Times New Roman" w:eastAsia="Times New Roman"/>
          <w:sz w:val="24"/>
          <w:u w:val="single"/>
        </w:rPr>
        <w:t> </w:t>
        <w:tab/>
      </w:r>
    </w:p>
    <w:p>
      <w:pPr>
        <w:pStyle w:val="ListParagraph"/>
        <w:numPr>
          <w:ilvl w:val="0"/>
          <w:numId w:val="56"/>
        </w:numPr>
        <w:tabs>
          <w:tab w:pos="1680" w:val="left" w:leader="none"/>
          <w:tab w:pos="6419" w:val="left" w:leader="none"/>
        </w:tabs>
        <w:spacing w:line="240" w:lineRule="auto" w:before="160" w:after="0"/>
        <w:ind w:left="1680" w:right="0" w:hanging="360"/>
        <w:jc w:val="left"/>
        <w:rPr>
          <w:rFonts w:ascii="Times New Roman" w:eastAsia="Times New Roman"/>
          <w:sz w:val="24"/>
        </w:rPr>
      </w:pPr>
      <w:r>
        <w:rPr>
          <w:sz w:val="24"/>
        </w:rPr>
        <w:t>任教学科：</w:t>
      </w:r>
      <w:r>
        <w:rPr>
          <w:rFonts w:ascii="Times New Roman" w:eastAsia="Times New Roman"/>
          <w:sz w:val="24"/>
          <w:u w:val="single"/>
        </w:rPr>
        <w:t> </w:t>
        <w:tab/>
      </w:r>
    </w:p>
    <w:p>
      <w:pPr>
        <w:pStyle w:val="BodyText"/>
        <w:rPr>
          <w:rFonts w:ascii="Times New Roman"/>
          <w:sz w:val="20"/>
        </w:rPr>
      </w:pPr>
    </w:p>
    <w:p>
      <w:pPr>
        <w:pStyle w:val="BodyText"/>
        <w:spacing w:before="8"/>
        <w:rPr>
          <w:rFonts w:ascii="Times New Roman"/>
        </w:rPr>
      </w:pPr>
    </w:p>
    <w:p>
      <w:pPr>
        <w:pStyle w:val="Heading3"/>
        <w:spacing w:line="204" w:lineRule="auto" w:before="35"/>
        <w:ind w:left="1320" w:right="1546"/>
      </w:pPr>
      <w:r>
        <w:rPr/>
        <w:t>（以下选项，请直接在相应的选项上打√，如果选项中有未列入的其他选项， </w:t>
      </w:r>
      <w:r>
        <w:rPr>
          <w:w w:val="105"/>
        </w:rPr>
        <w:t>请补充在相应的横线上）</w:t>
      </w:r>
    </w:p>
    <w:p>
      <w:pPr>
        <w:pStyle w:val="BodyText"/>
        <w:spacing w:before="10"/>
        <w:rPr>
          <w:rFonts w:ascii="Microsoft JhengHei"/>
          <w:b/>
          <w:sz w:val="29"/>
        </w:rPr>
      </w:pPr>
    </w:p>
    <w:p>
      <w:pPr>
        <w:pStyle w:val="ListParagraph"/>
        <w:numPr>
          <w:ilvl w:val="0"/>
          <w:numId w:val="56"/>
        </w:numPr>
        <w:tabs>
          <w:tab w:pos="1680" w:val="left" w:leader="none"/>
        </w:tabs>
        <w:spacing w:line="240" w:lineRule="auto" w:before="1" w:after="0"/>
        <w:ind w:left="1680" w:right="0" w:hanging="360"/>
        <w:jc w:val="left"/>
        <w:rPr>
          <w:sz w:val="24"/>
        </w:rPr>
      </w:pPr>
      <w:r>
        <w:rPr>
          <w:sz w:val="24"/>
        </w:rPr>
        <w:t>您了解生涯规划教育吗？</w:t>
      </w:r>
    </w:p>
    <w:p>
      <w:pPr>
        <w:pStyle w:val="BodyText"/>
        <w:tabs>
          <w:tab w:pos="3239" w:val="left" w:leader="none"/>
          <w:tab w:pos="5039" w:val="left" w:leader="none"/>
          <w:tab w:pos="6839" w:val="left" w:leader="none"/>
        </w:tabs>
        <w:spacing w:before="160"/>
        <w:ind w:left="1440"/>
      </w:pPr>
      <w:r>
        <w:rPr/>
        <w:t>A.非常了解</w:t>
        <w:tab/>
        <w:t>B.大致了解</w:t>
        <w:tab/>
        <w:t>C.不太了解</w:t>
        <w:tab/>
        <w:t>D.完全不知道</w:t>
      </w:r>
    </w:p>
    <w:p>
      <w:pPr>
        <w:pStyle w:val="ListParagraph"/>
        <w:numPr>
          <w:ilvl w:val="0"/>
          <w:numId w:val="56"/>
        </w:numPr>
        <w:tabs>
          <w:tab w:pos="1680" w:val="left" w:leader="none"/>
          <w:tab w:pos="3239" w:val="left" w:leader="none"/>
          <w:tab w:pos="5159" w:val="left" w:leader="none"/>
          <w:tab w:pos="7079" w:val="left" w:leader="none"/>
        </w:tabs>
        <w:spacing w:line="364" w:lineRule="auto" w:before="161" w:after="0"/>
        <w:ind w:left="1320" w:right="2685" w:firstLine="0"/>
        <w:jc w:val="left"/>
        <w:rPr>
          <w:sz w:val="24"/>
        </w:rPr>
      </w:pPr>
      <w:r>
        <w:rPr>
          <w:sz w:val="24"/>
        </w:rPr>
        <w:t>您了解当前各大高校的专业设置情况与未来就业前景吗？      A.非常了解</w:t>
        <w:tab/>
        <w:t>B.大致了解</w:t>
        <w:tab/>
        <w:t>C.不太了解</w:t>
        <w:tab/>
        <w:t>D.完全不了</w:t>
      </w:r>
      <w:r>
        <w:rPr>
          <w:spacing w:val="-18"/>
          <w:sz w:val="24"/>
        </w:rPr>
        <w:t>解</w:t>
      </w:r>
    </w:p>
    <w:p>
      <w:pPr>
        <w:pStyle w:val="ListParagraph"/>
        <w:numPr>
          <w:ilvl w:val="0"/>
          <w:numId w:val="56"/>
        </w:numPr>
        <w:tabs>
          <w:tab w:pos="1680" w:val="left" w:leader="none"/>
        </w:tabs>
        <w:spacing w:line="240" w:lineRule="auto" w:before="1" w:after="0"/>
        <w:ind w:left="1680" w:right="0" w:hanging="360"/>
        <w:jc w:val="left"/>
        <w:rPr>
          <w:sz w:val="24"/>
        </w:rPr>
      </w:pPr>
      <w:r>
        <w:rPr>
          <w:sz w:val="24"/>
        </w:rPr>
        <w:t>您了解当前的职业分类，就业前景及其所需的就业技能吗？</w:t>
      </w:r>
    </w:p>
    <w:p>
      <w:pPr>
        <w:pStyle w:val="BodyText"/>
        <w:spacing w:before="160"/>
        <w:ind w:left="1320"/>
      </w:pPr>
      <w:r>
        <w:rPr/>
        <w:t>A.非常了解 B.只了解部分 C.只了解周围人所从事的几个职业 D.完全不了解</w:t>
      </w:r>
    </w:p>
    <w:p>
      <w:pPr>
        <w:pStyle w:val="ListParagraph"/>
        <w:numPr>
          <w:ilvl w:val="0"/>
          <w:numId w:val="56"/>
        </w:numPr>
        <w:tabs>
          <w:tab w:pos="1680" w:val="left" w:leader="none"/>
          <w:tab w:pos="6119" w:val="left" w:leader="none"/>
        </w:tabs>
        <w:spacing w:line="364" w:lineRule="auto" w:before="161" w:after="0"/>
        <w:ind w:left="1320" w:right="2445" w:firstLine="0"/>
        <w:jc w:val="left"/>
        <w:rPr>
          <w:sz w:val="24"/>
        </w:rPr>
      </w:pPr>
      <w:r>
        <w:rPr>
          <w:sz w:val="24"/>
        </w:rPr>
        <w:t>您认为高中阶段开展生涯规划教育的首要目的是什么？          A.指导学生合理选课</w:t>
        <w:tab/>
        <w:t>B.帮助学生认识自我   C.指导学生规划未来的学习和生活</w:t>
        <w:tab/>
        <w:t>D.挖掘学生的潜能和特</w:t>
      </w:r>
      <w:r>
        <w:rPr>
          <w:spacing w:val="-18"/>
          <w:sz w:val="24"/>
        </w:rPr>
        <w:t>质</w:t>
      </w:r>
      <w:r>
        <w:rPr>
          <w:sz w:val="24"/>
        </w:rPr>
        <w:t>E.培养学生的兴趣</w:t>
      </w:r>
    </w:p>
    <w:p>
      <w:pPr>
        <w:pStyle w:val="ListParagraph"/>
        <w:numPr>
          <w:ilvl w:val="0"/>
          <w:numId w:val="56"/>
        </w:numPr>
        <w:tabs>
          <w:tab w:pos="1680" w:val="left" w:leader="none"/>
          <w:tab w:pos="6119" w:val="left" w:leader="none"/>
        </w:tabs>
        <w:spacing w:line="364" w:lineRule="auto" w:before="2" w:after="0"/>
        <w:ind w:left="1320" w:right="1457" w:firstLine="0"/>
        <w:jc w:val="left"/>
        <w:rPr>
          <w:sz w:val="24"/>
        </w:rPr>
      </w:pPr>
      <w:r>
        <w:rPr>
          <w:sz w:val="24"/>
        </w:rPr>
        <w:t>在平常的授课中</w:t>
      </w:r>
      <w:r>
        <w:rPr>
          <w:spacing w:val="-48"/>
          <w:sz w:val="24"/>
        </w:rPr>
        <w:t>，</w:t>
      </w:r>
      <w:r>
        <w:rPr>
          <w:sz w:val="24"/>
        </w:rPr>
        <w:t>您是否有渗透生涯规划教育相关的内容</w:t>
      </w:r>
      <w:r>
        <w:rPr>
          <w:spacing w:val="-23"/>
          <w:sz w:val="24"/>
        </w:rPr>
        <w:t>？（</w:t>
      </w:r>
      <w:r>
        <w:rPr>
          <w:sz w:val="24"/>
        </w:rPr>
        <w:t>学科教师作答</w:t>
      </w:r>
      <w:r>
        <w:rPr>
          <w:spacing w:val="-17"/>
          <w:sz w:val="24"/>
        </w:rPr>
        <w:t>） </w:t>
      </w:r>
      <w:r>
        <w:rPr>
          <w:sz w:val="24"/>
        </w:rPr>
        <w:t>A.有，经常涉及</w:t>
        <w:tab/>
        <w:t>B.有时有，比较少涉及         C.非常想多教给学生一些，但是挤不出时间</w:t>
        <w:tab/>
        <w:t>D.完全没有</w:t>
      </w:r>
    </w:p>
    <w:p>
      <w:pPr>
        <w:spacing w:after="0" w:line="364" w:lineRule="auto"/>
        <w:jc w:val="left"/>
        <w:rPr>
          <w:sz w:val="24"/>
        </w:rPr>
        <w:sectPr>
          <w:pgSz w:w="11910" w:h="16840"/>
          <w:pgMar w:header="878" w:footer="1191" w:top="1300" w:bottom="1380" w:left="480" w:right="220"/>
        </w:sectPr>
      </w:pPr>
    </w:p>
    <w:p>
      <w:pPr>
        <w:pStyle w:val="BodyText"/>
        <w:spacing w:before="3"/>
        <w:rPr>
          <w:sz w:val="11"/>
        </w:rPr>
      </w:pPr>
    </w:p>
    <w:p>
      <w:pPr>
        <w:pStyle w:val="ListParagraph"/>
        <w:numPr>
          <w:ilvl w:val="0"/>
          <w:numId w:val="56"/>
        </w:numPr>
        <w:tabs>
          <w:tab w:pos="1680" w:val="left" w:leader="none"/>
          <w:tab w:pos="3959" w:val="left" w:leader="none"/>
          <w:tab w:pos="6239" w:val="left" w:leader="none"/>
        </w:tabs>
        <w:spacing w:line="364" w:lineRule="auto" w:before="66" w:after="0"/>
        <w:ind w:left="1320" w:right="3285" w:firstLine="0"/>
        <w:jc w:val="left"/>
        <w:rPr>
          <w:sz w:val="24"/>
        </w:rPr>
      </w:pPr>
      <w:r>
        <w:rPr>
          <w:sz w:val="24"/>
        </w:rPr>
        <w:t>您认为您是否有能力对学生进行生涯规划教育？         A.完全没有问题</w:t>
        <w:tab/>
        <w:t>B.需要进行学习</w:t>
        <w:tab/>
        <w:t>C.没有这个能</w:t>
      </w:r>
      <w:r>
        <w:rPr>
          <w:spacing w:val="-18"/>
          <w:sz w:val="24"/>
        </w:rPr>
        <w:t>力</w:t>
      </w:r>
    </w:p>
    <w:p>
      <w:pPr>
        <w:pStyle w:val="ListParagraph"/>
        <w:numPr>
          <w:ilvl w:val="0"/>
          <w:numId w:val="56"/>
        </w:numPr>
        <w:tabs>
          <w:tab w:pos="1800" w:val="left" w:leader="none"/>
        </w:tabs>
        <w:spacing w:line="240" w:lineRule="auto" w:before="1" w:after="0"/>
        <w:ind w:left="1800" w:right="0" w:hanging="480"/>
        <w:jc w:val="left"/>
        <w:rPr>
          <w:sz w:val="24"/>
        </w:rPr>
      </w:pPr>
      <w:r>
        <w:rPr>
          <w:sz w:val="24"/>
        </w:rPr>
        <w:t>您了解核心素养的概念内涵吗</w:t>
      </w:r>
    </w:p>
    <w:p>
      <w:pPr>
        <w:pStyle w:val="BodyText"/>
        <w:tabs>
          <w:tab w:pos="6119" w:val="left" w:leader="none"/>
        </w:tabs>
        <w:spacing w:before="161"/>
        <w:ind w:left="1320"/>
      </w:pPr>
      <w:r>
        <w:rPr/>
        <w:t>A.非常了解</w:t>
        <w:tab/>
        <w:t>B.大致了解</w:t>
      </w:r>
    </w:p>
    <w:p>
      <w:pPr>
        <w:pStyle w:val="BodyText"/>
        <w:tabs>
          <w:tab w:pos="6119" w:val="left" w:leader="none"/>
        </w:tabs>
        <w:spacing w:line="364" w:lineRule="auto" w:before="160"/>
        <w:ind w:left="1320" w:right="2925"/>
      </w:pPr>
      <w:r>
        <w:rPr/>
        <w:t>C.不太了解，只听说过</w:t>
        <w:tab/>
        <w:t>D.完全不知道   11.(可多选）您所在的学校对学生的生涯规划指导的原则是什么</w:t>
      </w:r>
      <w:r>
        <w:rPr>
          <w:spacing w:val="-19"/>
        </w:rPr>
        <w:t>？</w:t>
      </w:r>
    </w:p>
    <w:p>
      <w:pPr>
        <w:pStyle w:val="BodyText"/>
        <w:spacing w:before="1"/>
        <w:ind w:left="1320"/>
      </w:pPr>
      <w:r>
        <w:rPr/>
        <w:t>（1）学生个人兴趣</w:t>
      </w:r>
    </w:p>
    <w:p>
      <w:pPr>
        <w:pStyle w:val="BodyText"/>
        <w:spacing w:before="161"/>
        <w:ind w:left="1320"/>
      </w:pPr>
      <w:r>
        <w:rPr/>
        <w:t>（2）未来就业前景</w:t>
      </w:r>
    </w:p>
    <w:p>
      <w:pPr>
        <w:pStyle w:val="BodyText"/>
        <w:spacing w:before="160"/>
        <w:ind w:left="1320"/>
      </w:pPr>
      <w:r>
        <w:rPr/>
        <w:t>（3）学生能力</w:t>
      </w:r>
    </w:p>
    <w:p>
      <w:pPr>
        <w:pStyle w:val="BodyText"/>
        <w:spacing w:before="161"/>
        <w:ind w:left="1320"/>
      </w:pPr>
      <w:r>
        <w:rPr/>
        <w:t>（4）学校升学率</w:t>
      </w:r>
    </w:p>
    <w:p>
      <w:pPr>
        <w:pStyle w:val="BodyText"/>
        <w:spacing w:line="364" w:lineRule="auto" w:before="160"/>
        <w:ind w:left="1320" w:right="3045"/>
      </w:pPr>
      <w:r>
        <w:rPr/>
        <w:t>（5）专业发展前景                                    12.（可多选）</w:t>
      </w:r>
      <w:r>
        <w:rPr>
          <w:spacing w:val="-1"/>
        </w:rPr>
        <w:t>在您的理解中，生涯规划教育应该包括哪些方面？</w:t>
      </w:r>
    </w:p>
    <w:p>
      <w:pPr>
        <w:pStyle w:val="BodyText"/>
        <w:spacing w:before="2"/>
        <w:ind w:left="1320"/>
      </w:pPr>
      <w:r>
        <w:rPr/>
        <w:t>（1）认识社会与职业</w:t>
      </w:r>
    </w:p>
    <w:p>
      <w:pPr>
        <w:pStyle w:val="BodyText"/>
        <w:spacing w:before="160"/>
        <w:ind w:left="1320"/>
      </w:pPr>
      <w:r>
        <w:rPr/>
        <w:t>（2）了解自己</w:t>
      </w:r>
    </w:p>
    <w:p>
      <w:pPr>
        <w:pStyle w:val="BodyText"/>
        <w:spacing w:before="161"/>
        <w:ind w:left="1320"/>
      </w:pPr>
      <w:r>
        <w:rPr/>
        <w:t>（3）学会学习</w:t>
      </w:r>
    </w:p>
    <w:p>
      <w:pPr>
        <w:pStyle w:val="BodyText"/>
        <w:spacing w:before="160"/>
        <w:ind w:left="1320"/>
      </w:pPr>
      <w:r>
        <w:rPr/>
        <w:t>（4）培养就业技能</w:t>
      </w:r>
    </w:p>
    <w:p>
      <w:pPr>
        <w:pStyle w:val="BodyText"/>
        <w:spacing w:before="161"/>
        <w:ind w:left="1320"/>
      </w:pPr>
      <w:r>
        <w:rPr/>
        <w:t>（5）制定、管理生涯规划</w:t>
      </w:r>
    </w:p>
    <w:p>
      <w:pPr>
        <w:pStyle w:val="BodyText"/>
        <w:spacing w:before="160"/>
        <w:ind w:left="1320"/>
      </w:pPr>
      <w:r>
        <w:rPr/>
        <w:t>（6）学习人际交往</w:t>
      </w:r>
    </w:p>
    <w:p>
      <w:pPr>
        <w:pStyle w:val="BodyText"/>
        <w:spacing w:before="161"/>
        <w:ind w:left="1320"/>
      </w:pPr>
      <w:r>
        <w:rPr/>
        <w:t>（7）处理压力和挑战</w:t>
      </w:r>
    </w:p>
    <w:p>
      <w:pPr>
        <w:pStyle w:val="BodyText"/>
        <w:tabs>
          <w:tab w:pos="3899" w:val="left" w:leader="none"/>
        </w:tabs>
        <w:spacing w:line="364" w:lineRule="auto" w:before="160"/>
        <w:ind w:left="1320" w:right="4485"/>
      </w:pPr>
      <w:r>
        <w:rPr/>
        <w:t>（8）其他</w:t>
      </w:r>
      <w:r>
        <w:rPr>
          <w:rFonts w:ascii="Times New Roman" w:eastAsia="Times New Roman"/>
          <w:u w:val="single"/>
        </w:rPr>
        <w:t> </w:t>
        <w:tab/>
      </w:r>
      <w:r>
        <w:rPr>
          <w:rFonts w:ascii="Times New Roman" w:eastAsia="Times New Roman"/>
        </w:rPr>
        <w:t> </w:t>
      </w:r>
      <w:r>
        <w:rPr/>
        <w:t>                   13.（可多选）您主要对学生进行哪些方面的指导</w:t>
      </w:r>
      <w:r>
        <w:rPr>
          <w:spacing w:val="-19"/>
        </w:rPr>
        <w:t>？</w:t>
      </w:r>
    </w:p>
    <w:p>
      <w:pPr>
        <w:pStyle w:val="BodyText"/>
        <w:tabs>
          <w:tab w:pos="5159" w:val="left" w:leader="none"/>
        </w:tabs>
        <w:spacing w:line="364" w:lineRule="auto" w:before="1"/>
        <w:ind w:left="1320" w:right="1605" w:firstLine="120"/>
      </w:pPr>
      <w:r>
        <w:rPr/>
        <w:t>（1）选课、选专业、选职业指导</w:t>
        <w:tab/>
        <w:t>（2）对当前的社会环境，就业形势等方</w:t>
      </w:r>
      <w:r>
        <w:rPr>
          <w:spacing w:val="-18"/>
        </w:rPr>
        <w:t>面</w:t>
      </w:r>
      <w:r>
        <w:rPr/>
        <w:t>了解</w:t>
      </w:r>
    </w:p>
    <w:p>
      <w:pPr>
        <w:pStyle w:val="BodyText"/>
        <w:tabs>
          <w:tab w:pos="5159" w:val="left" w:leader="none"/>
        </w:tabs>
        <w:spacing w:before="2"/>
        <w:ind w:left="1440"/>
      </w:pPr>
      <w:r>
        <w:rPr/>
        <w:t>（3）高考志愿填写辅导</w:t>
        <w:tab/>
        <w:t>（4）自我了解</w:t>
      </w:r>
    </w:p>
    <w:p>
      <w:pPr>
        <w:pStyle w:val="BodyText"/>
        <w:tabs>
          <w:tab w:pos="5159" w:val="left" w:leader="none"/>
        </w:tabs>
        <w:spacing w:before="160"/>
        <w:ind w:left="1440"/>
      </w:pPr>
      <w:r>
        <w:rPr/>
        <w:t>（5）高校专业和社会职业介绍</w:t>
        <w:tab/>
        <w:t>（6）人际交往和处理</w:t>
      </w:r>
    </w:p>
    <w:p>
      <w:pPr>
        <w:pStyle w:val="BodyText"/>
        <w:tabs>
          <w:tab w:pos="5159" w:val="left" w:leader="none"/>
        </w:tabs>
        <w:spacing w:before="161"/>
        <w:ind w:left="1440"/>
      </w:pPr>
      <w:r>
        <w:rPr/>
        <w:t>（7）就业技能方面的指导</w:t>
        <w:tab/>
        <w:t>（8）制定生涯规划、管理生涯规划</w:t>
      </w:r>
    </w:p>
    <w:p>
      <w:pPr>
        <w:pStyle w:val="BodyText"/>
        <w:tabs>
          <w:tab w:pos="5159" w:val="left" w:leader="none"/>
        </w:tabs>
        <w:spacing w:before="160"/>
        <w:ind w:left="1440"/>
      </w:pPr>
      <w:r>
        <w:rPr/>
        <w:t>（9）压力处理</w:t>
        <w:tab/>
        <w:t>（10）时间管理</w:t>
      </w:r>
    </w:p>
    <w:p>
      <w:pPr>
        <w:pStyle w:val="BodyText"/>
        <w:tabs>
          <w:tab w:pos="5159" w:val="left" w:leader="none"/>
        </w:tabs>
        <w:spacing w:before="161"/>
        <w:ind w:left="1440"/>
      </w:pPr>
      <w:r>
        <w:rPr/>
        <w:t>（11）心理健康</w:t>
        <w:tab/>
        <w:t>（12）个人理财</w:t>
      </w:r>
    </w:p>
    <w:p>
      <w:pPr>
        <w:pStyle w:val="BodyText"/>
        <w:tabs>
          <w:tab w:pos="5159" w:val="left" w:leader="none"/>
        </w:tabs>
        <w:spacing w:before="160"/>
        <w:ind w:left="1440"/>
      </w:pPr>
      <w:r>
        <w:rPr/>
        <w:t>（13）学生的生活</w:t>
        <w:tab/>
        <w:t>（14）学生的学习情况</w:t>
      </w:r>
    </w:p>
    <w:p>
      <w:pPr>
        <w:spacing w:after="0"/>
        <w:sectPr>
          <w:pgSz w:w="11910" w:h="16840"/>
          <w:pgMar w:header="878" w:footer="1191" w:top="1300" w:bottom="1380" w:left="480" w:right="220"/>
        </w:sectPr>
      </w:pPr>
    </w:p>
    <w:p>
      <w:pPr>
        <w:pStyle w:val="BodyText"/>
        <w:spacing w:before="3"/>
        <w:rPr>
          <w:sz w:val="11"/>
        </w:rPr>
      </w:pPr>
    </w:p>
    <w:p>
      <w:pPr>
        <w:pStyle w:val="BodyText"/>
        <w:spacing w:before="66"/>
        <w:ind w:left="1320"/>
      </w:pPr>
      <w:r>
        <w:rPr/>
        <w:t>14.（可多选）您认为学校应该以何种形式开展职业生涯教育?</w:t>
      </w:r>
    </w:p>
    <w:p>
      <w:pPr>
        <w:pStyle w:val="BodyText"/>
        <w:spacing w:before="161"/>
        <w:ind w:left="1440"/>
      </w:pPr>
      <w:r>
        <w:rPr/>
        <w:t>（1）开设独立的职业生涯指导课程</w:t>
      </w:r>
    </w:p>
    <w:p>
      <w:pPr>
        <w:pStyle w:val="BodyText"/>
        <w:spacing w:before="160"/>
        <w:ind w:left="1440"/>
      </w:pPr>
      <w:r>
        <w:rPr/>
        <w:t>（2）在各类学科中渗透生涯规划教育</w:t>
      </w:r>
    </w:p>
    <w:p>
      <w:pPr>
        <w:pStyle w:val="BodyText"/>
        <w:spacing w:before="161"/>
        <w:ind w:left="1440"/>
      </w:pPr>
      <w:r>
        <w:rPr/>
        <w:t>（3）组织各种类型讲座</w:t>
      </w:r>
    </w:p>
    <w:p>
      <w:pPr>
        <w:pStyle w:val="BodyText"/>
        <w:spacing w:before="160"/>
        <w:ind w:left="1440"/>
      </w:pPr>
      <w:r>
        <w:rPr/>
        <w:t>（4）以主题班会的形式进行</w:t>
      </w:r>
    </w:p>
    <w:p>
      <w:pPr>
        <w:pStyle w:val="BodyText"/>
        <w:spacing w:before="161"/>
        <w:ind w:left="1440"/>
      </w:pPr>
      <w:r>
        <w:rPr/>
        <w:t>（5）通过团体辅导与个体辅导结合的形式</w:t>
      </w:r>
    </w:p>
    <w:p>
      <w:pPr>
        <w:pStyle w:val="ListParagraph"/>
        <w:numPr>
          <w:ilvl w:val="0"/>
          <w:numId w:val="57"/>
        </w:numPr>
        <w:tabs>
          <w:tab w:pos="2041" w:val="left" w:leader="none"/>
          <w:tab w:pos="5459" w:val="left" w:leader="none"/>
        </w:tabs>
        <w:spacing w:line="364" w:lineRule="auto" w:before="160" w:after="0"/>
        <w:ind w:left="1320" w:right="3645" w:firstLine="120"/>
        <w:jc w:val="left"/>
        <w:rPr>
          <w:sz w:val="24"/>
        </w:rPr>
      </w:pPr>
      <w:r>
        <w:rPr>
          <w:sz w:val="24"/>
        </w:rPr>
        <w:t>其他</w:t>
      </w:r>
      <w:r>
        <w:rPr>
          <w:rFonts w:ascii="Times New Roman" w:eastAsia="Times New Roman"/>
          <w:sz w:val="24"/>
          <w:u w:val="single"/>
        </w:rPr>
        <w:t> </w:t>
        <w:tab/>
      </w:r>
      <w:r>
        <w:rPr>
          <w:rFonts w:ascii="Times New Roman" w:eastAsia="Times New Roman"/>
          <w:sz w:val="24"/>
        </w:rPr>
        <w:t> </w:t>
      </w:r>
      <w:r>
        <w:rPr>
          <w:sz w:val="24"/>
        </w:rPr>
        <w:t>             15.（可多选）您认为应该由谁来上生涯规划教育这门课程</w:t>
      </w:r>
      <w:r>
        <w:rPr>
          <w:spacing w:val="-19"/>
          <w:sz w:val="24"/>
        </w:rPr>
        <w:t>?</w:t>
      </w:r>
    </w:p>
    <w:p>
      <w:pPr>
        <w:pStyle w:val="BodyText"/>
        <w:tabs>
          <w:tab w:pos="5399" w:val="left" w:leader="none"/>
        </w:tabs>
        <w:spacing w:before="1"/>
        <w:ind w:left="1680"/>
      </w:pPr>
      <w:r>
        <w:rPr/>
        <w:t>A.班主任</w:t>
        <w:tab/>
        <w:t>B.主课老师</w:t>
      </w:r>
    </w:p>
    <w:p>
      <w:pPr>
        <w:pStyle w:val="BodyText"/>
        <w:tabs>
          <w:tab w:pos="5399" w:val="left" w:leader="none"/>
        </w:tabs>
        <w:spacing w:before="161"/>
        <w:ind w:left="1680"/>
      </w:pPr>
      <w:r>
        <w:rPr/>
        <w:t>C.副课老师</w:t>
        <w:tab/>
        <w:t>D.心理老师</w:t>
      </w:r>
    </w:p>
    <w:p>
      <w:pPr>
        <w:pStyle w:val="BodyText"/>
        <w:tabs>
          <w:tab w:pos="4379" w:val="left" w:leader="none"/>
          <w:tab w:pos="5399" w:val="left" w:leader="none"/>
        </w:tabs>
        <w:spacing w:line="364" w:lineRule="auto" w:before="160"/>
        <w:ind w:left="1680" w:right="1965"/>
        <w:rPr>
          <w:rFonts w:ascii="Times New Roman" w:eastAsia="Times New Roman"/>
        </w:rPr>
      </w:pPr>
      <w:r>
        <w:rPr/>
        <w:t>E.专门的职业生涯指导师</w:t>
        <w:tab/>
        <w:tab/>
        <w:t>F.校外人士(如家长、各领域专家等</w:t>
      </w:r>
      <w:r>
        <w:rPr>
          <w:spacing w:val="-18"/>
        </w:rPr>
        <w:t>) </w:t>
      </w:r>
      <w:r>
        <w:rPr/>
        <w:t>G.其他</w:t>
      </w:r>
      <w:r>
        <w:rPr>
          <w:rFonts w:ascii="Times New Roman" w:eastAsia="Times New Roman"/>
          <w:u w:val="single"/>
        </w:rPr>
        <w:t> </w:t>
        <w:tab/>
      </w:r>
    </w:p>
    <w:p>
      <w:pPr>
        <w:pStyle w:val="BodyText"/>
        <w:tabs>
          <w:tab w:pos="3719" w:val="left" w:leader="none"/>
          <w:tab w:pos="3959" w:val="left" w:leader="none"/>
        </w:tabs>
        <w:spacing w:line="364" w:lineRule="auto" w:before="1"/>
        <w:ind w:left="1560" w:right="4965" w:hanging="240"/>
      </w:pPr>
      <w:r>
        <w:rPr/>
        <w:t>16.您认为学校开展的生涯规划教育效果如何</w:t>
      </w:r>
      <w:r>
        <w:rPr>
          <w:spacing w:val="-19"/>
        </w:rPr>
        <w:t>？ </w:t>
      </w:r>
      <w:r>
        <w:rPr/>
        <w:t>A.效果显著</w:t>
        <w:tab/>
        <w:t>B.效果一般          C.效果不明显</w:t>
        <w:tab/>
        <w:tab/>
        <w:t>D.几乎没有效果</w:t>
      </w:r>
    </w:p>
    <w:p>
      <w:pPr>
        <w:pStyle w:val="BodyText"/>
        <w:spacing w:before="2"/>
        <w:ind w:left="1320"/>
      </w:pPr>
      <w:r>
        <w:rPr/>
        <w:t>17. 您在对学生进行生涯规划教育的过程中遇到了哪些困难和问题？</w:t>
      </w:r>
    </w:p>
    <w:p>
      <w:pPr>
        <w:pStyle w:val="BodyText"/>
        <w:spacing w:before="12"/>
        <w:rPr>
          <w:sz w:val="29"/>
        </w:rPr>
      </w:pPr>
      <w:r>
        <w:rPr/>
        <w:pict>
          <v:shape style="position:absolute;margin-left:90pt;margin-top:21.441484pt;width:415.3pt;height:.1pt;mso-position-horizontal-relative:page;mso-position-vertical-relative:paragraph;z-index:-251513856;mso-wrap-distance-left:0;mso-wrap-distance-right:0" coordorigin="1800,429" coordsize="8306,0" path="m1800,429l10106,429e" filled="false" stroked="true" strokeweight=".6pt" strokecolor="#000000">
            <v:path arrowok="t"/>
            <v:stroke dashstyle="solid"/>
            <w10:wrap type="topAndBottom"/>
          </v:shape>
        </w:pict>
      </w:r>
    </w:p>
    <w:p>
      <w:pPr>
        <w:pStyle w:val="BodyText"/>
        <w:rPr>
          <w:sz w:val="20"/>
        </w:rPr>
      </w:pPr>
    </w:p>
    <w:p>
      <w:pPr>
        <w:pStyle w:val="BodyText"/>
        <w:spacing w:before="3"/>
        <w:rPr>
          <w:sz w:val="10"/>
        </w:rPr>
      </w:pPr>
      <w:r>
        <w:rPr/>
        <w:pict>
          <v:shape style="position:absolute;margin-left:90pt;margin-top:8.8375pt;width:415.3pt;height:.1pt;mso-position-horizontal-relative:page;mso-position-vertical-relative:paragraph;z-index:-251512832;mso-wrap-distance-left:0;mso-wrap-distance-right:0" coordorigin="1800,177" coordsize="8306,0" path="m1800,177l10106,177e" filled="false" stroked="true" strokeweight=".6pt" strokecolor="#000000">
            <v:path arrowok="t"/>
            <v:stroke dashstyle="solid"/>
            <w10:wrap type="topAndBottom"/>
          </v:shape>
        </w:pict>
      </w:r>
    </w:p>
    <w:p>
      <w:pPr>
        <w:pStyle w:val="BodyText"/>
        <w:rPr>
          <w:sz w:val="20"/>
        </w:rPr>
      </w:pPr>
    </w:p>
    <w:p>
      <w:pPr>
        <w:pStyle w:val="BodyText"/>
        <w:spacing w:before="3"/>
      </w:pPr>
    </w:p>
    <w:p>
      <w:pPr>
        <w:pStyle w:val="BodyText"/>
        <w:spacing w:before="66"/>
        <w:ind w:left="1320"/>
      </w:pPr>
      <w:r>
        <w:rPr/>
        <w:t>18.您对学校开展职业生涯教育有什么建议与意见？</w:t>
      </w:r>
    </w:p>
    <w:p>
      <w:pPr>
        <w:pStyle w:val="BodyText"/>
        <w:spacing w:before="12"/>
        <w:rPr>
          <w:sz w:val="29"/>
        </w:rPr>
      </w:pPr>
      <w:r>
        <w:rPr/>
        <w:pict>
          <v:shape style="position:absolute;margin-left:90pt;margin-top:21.4375pt;width:415.3pt;height:.1pt;mso-position-horizontal-relative:page;mso-position-vertical-relative:paragraph;z-index:-251511808;mso-wrap-distance-left:0;mso-wrap-distance-right:0" coordorigin="1800,429" coordsize="8306,0" path="m1800,429l10106,429e" filled="false" stroked="true" strokeweight=".6pt" strokecolor="#000000">
            <v:path arrowok="t"/>
            <v:stroke dashstyle="solid"/>
            <w10:wrap type="topAndBottom"/>
          </v:shape>
        </w:pict>
      </w:r>
    </w:p>
    <w:p>
      <w:pPr>
        <w:pStyle w:val="BodyText"/>
        <w:rPr>
          <w:sz w:val="20"/>
        </w:rPr>
      </w:pPr>
    </w:p>
    <w:p>
      <w:pPr>
        <w:pStyle w:val="BodyText"/>
        <w:spacing w:before="3"/>
        <w:rPr>
          <w:sz w:val="10"/>
        </w:rPr>
      </w:pPr>
      <w:r>
        <w:rPr/>
        <w:pict>
          <v:shape style="position:absolute;margin-left:90pt;margin-top:8.8375pt;width:415.3pt;height:.1pt;mso-position-horizontal-relative:page;mso-position-vertical-relative:paragraph;z-index:-251510784;mso-wrap-distance-left:0;mso-wrap-distance-right:0" coordorigin="1800,177" coordsize="8306,0" path="m1800,177l10106,177e" filled="false" stroked="true" strokeweight=".6pt" strokecolor="#000000">
            <v:path arrowok="t"/>
            <v:stroke dashstyle="solid"/>
            <w10:wrap type="topAndBottom"/>
          </v:shape>
        </w:pict>
      </w:r>
    </w:p>
    <w:p>
      <w:pPr>
        <w:pStyle w:val="BodyText"/>
        <w:rPr>
          <w:sz w:val="20"/>
        </w:rPr>
      </w:pPr>
    </w:p>
    <w:p>
      <w:pPr>
        <w:pStyle w:val="BodyText"/>
        <w:rPr>
          <w:sz w:val="20"/>
        </w:rPr>
      </w:pPr>
    </w:p>
    <w:p>
      <w:pPr>
        <w:pStyle w:val="BodyText"/>
        <w:rPr>
          <w:sz w:val="20"/>
        </w:rPr>
      </w:pPr>
    </w:p>
    <w:p>
      <w:pPr>
        <w:pStyle w:val="BodyText"/>
        <w:spacing w:before="9"/>
        <w:rPr>
          <w:sz w:val="20"/>
        </w:rPr>
      </w:pPr>
    </w:p>
    <w:p>
      <w:pPr>
        <w:pStyle w:val="BodyText"/>
        <w:spacing w:before="67"/>
        <w:ind w:left="1320"/>
      </w:pPr>
      <w:r>
        <w:rPr/>
        <w:t>再次感谢您对本次调查的支持！</w:t>
      </w:r>
    </w:p>
    <w:p>
      <w:pPr>
        <w:spacing w:after="0"/>
        <w:sectPr>
          <w:pgSz w:w="11910" w:h="16840"/>
          <w:pgMar w:header="878" w:footer="1191" w:top="1300" w:bottom="1380" w:left="480" w:right="220"/>
        </w:sectPr>
      </w:pPr>
    </w:p>
    <w:p>
      <w:pPr>
        <w:pStyle w:val="BodyText"/>
        <w:spacing w:before="12"/>
        <w:rPr>
          <w:sz w:val="19"/>
        </w:rPr>
      </w:pPr>
    </w:p>
    <w:p>
      <w:pPr>
        <w:pStyle w:val="Heading1"/>
        <w:spacing w:line="511" w:lineRule="exact"/>
        <w:ind w:right="257"/>
        <w:jc w:val="center"/>
      </w:pPr>
      <w:bookmarkStart w:name="_bookmark292" w:id="343"/>
      <w:bookmarkEnd w:id="343"/>
      <w:r>
        <w:rPr>
          <w:b w:val="0"/>
        </w:rPr>
      </w:r>
      <w:r>
        <w:rPr/>
        <w:t>个人简历</w:t>
      </w:r>
    </w:p>
    <w:p>
      <w:pPr>
        <w:pStyle w:val="BodyText"/>
        <w:spacing w:before="6"/>
        <w:rPr>
          <w:rFonts w:ascii="Microsoft JhengHei"/>
          <w:b/>
        </w:rPr>
      </w:pPr>
    </w:p>
    <w:p>
      <w:pPr>
        <w:pStyle w:val="Heading3"/>
        <w:spacing w:line="240" w:lineRule="auto"/>
        <w:ind w:left="1320"/>
      </w:pPr>
      <w:r>
        <w:rPr/>
        <w:t>个人简历</w:t>
      </w:r>
    </w:p>
    <w:p>
      <w:pPr>
        <w:pStyle w:val="BodyText"/>
        <w:spacing w:before="106"/>
        <w:ind w:left="1320"/>
      </w:pPr>
      <w:r>
        <w:rPr/>
        <w:t>刘龙婷，女，1991 年 8 月出生。</w:t>
      </w:r>
    </w:p>
    <w:p>
      <w:pPr>
        <w:pStyle w:val="BodyText"/>
        <w:spacing w:before="160"/>
        <w:ind w:left="1320"/>
      </w:pPr>
      <w:r>
        <w:rPr/>
        <w:t>2014 年 6 月毕业于江苏师范大学教育科学学院。</w:t>
      </w:r>
    </w:p>
    <w:p>
      <w:pPr>
        <w:pStyle w:val="BodyText"/>
        <w:spacing w:before="161"/>
        <w:ind w:left="1320"/>
      </w:pPr>
      <w:r>
        <w:rPr/>
        <w:t>2014 年 9 月考入杭州师范大学教育学院攻读课程与教学论专业硕士研究生。</w:t>
      </w:r>
    </w:p>
    <w:sectPr>
      <w:pgSz w:w="11910" w:h="16840"/>
      <w:pgMar w:header="878" w:footer="1191" w:top="1300" w:bottom="1380" w:left="480" w:right="2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Calibri">
    <w:altName w:val="Calibri"/>
    <w:charset w:val="0"/>
    <w:family w:val="swiss"/>
    <w:pitch w:val="variable"/>
  </w:font>
  <w:font w:name="宋体">
    <w:altName w:val="宋体"/>
    <w:charset w:val="86"/>
    <w:family w:val="auto"/>
    <w:pitch w:val="variable"/>
  </w:font>
  <w:font w:name="Microsoft JhengHei">
    <w:altName w:val="Microsoft JhengHei"/>
    <w:charset w:val="0"/>
    <w:family w:val="swiss"/>
    <w:pitch w:val="variable"/>
  </w:font>
  <w:font w:name="Wingdings">
    <w:altName w:val="Wingdings"/>
    <w:charset w:val="2"/>
    <w:family w:val="auto"/>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31218pt;margin-top:785.33783pt;width:478.15pt;height:13.1pt;mso-position-horizontal-relative:page;mso-position-vertical-relative:page;z-index:-257906688" type="#_x0000_t202" filled="false" stroked="false">
          <v:textbox inset="0,0,0,0">
            <w:txbxContent>
              <w:p>
                <w:pPr>
                  <w:tabs>
                    <w:tab w:pos="7847" w:val="left" w:leader="none"/>
                  </w:tabs>
                  <w:spacing w:before="11"/>
                  <w:ind w:left="20" w:right="0" w:firstLine="0"/>
                  <w:jc w:val="left"/>
                  <w:rPr>
                    <w:rFonts w:ascii="Times New Roman"/>
                    <w:sz w:val="20"/>
                  </w:rPr>
                </w:pPr>
                <w:r>
                  <w:rPr>
                    <w:rFonts w:ascii="Times New Roman"/>
                    <w:color w:val="A1A1A1"/>
                    <w:sz w:val="20"/>
                  </w:rPr>
                  <w:t>(C)1994-202 I  China  Academic  Journal  Electronic  Publishing  House.  All</w:t>
                </w:r>
                <w:r>
                  <w:rPr>
                    <w:rFonts w:ascii="Times New Roman"/>
                    <w:color w:val="A1A1A1"/>
                    <w:spacing w:val="-21"/>
                    <w:sz w:val="20"/>
                  </w:rPr>
                  <w:t> </w:t>
                </w:r>
                <w:r>
                  <w:rPr>
                    <w:rFonts w:ascii="Times New Roman"/>
                    <w:color w:val="A1A1A1"/>
                    <w:sz w:val="20"/>
                  </w:rPr>
                  <w:t>rights</w:t>
                </w:r>
                <w:r>
                  <w:rPr>
                    <w:rFonts w:ascii="Times New Roman"/>
                    <w:color w:val="A1A1A1"/>
                    <w:spacing w:val="37"/>
                    <w:sz w:val="20"/>
                  </w:rPr>
                  <w:t> </w:t>
                </w:r>
                <w:r>
                  <w:rPr>
                    <w:rFonts w:ascii="Times New Roman"/>
                    <w:color w:val="A1A1A1"/>
                    <w:sz w:val="20"/>
                  </w:rPr>
                  <w:t>reserved.</w:t>
                  <w:tab/>
                  <w:t>http:</w:t>
                </w:r>
                <w:r>
                  <w:rPr>
                    <w:rFonts w:ascii="Times New Roman"/>
                    <w:color w:val="BCBCBC"/>
                    <w:sz w:val="20"/>
                  </w:rPr>
                  <w:t>//</w:t>
                </w:r>
                <w:r>
                  <w:rPr>
                    <w:rFonts w:ascii="Times New Roman"/>
                    <w:color w:val="A1A1A1"/>
                    <w:sz w:val="20"/>
                  </w:rPr>
                  <w:t>www.c </w:t>
                </w:r>
                <w:r>
                  <w:rPr>
                    <w:rFonts w:ascii="Times New Roman"/>
                    <w:color w:val="A1A1A1"/>
                    <w:spacing w:val="5"/>
                    <w:sz w:val="20"/>
                  </w:rPr>
                  <w:t>nki.</w:t>
                </w:r>
                <w:r>
                  <w:rPr>
                    <w:rFonts w:ascii="Times New Roman"/>
                    <w:color w:val="A1A1A1"/>
                    <w:spacing w:val="-42"/>
                    <w:sz w:val="20"/>
                  </w:rPr>
                  <w:t> </w:t>
                </w:r>
                <w:r>
                  <w:rPr>
                    <w:rFonts w:ascii="Times New Roman"/>
                    <w:color w:val="A1A1A1"/>
                    <w:sz w:val="20"/>
                  </w:rPr>
                  <w:t>net</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187611pt;margin-top:784.136536pt;width:478.55pt;height:13.1pt;mso-position-horizontal-relative:page;mso-position-vertical-relative:page;z-index:-257905664" type="#_x0000_t202" filled="false" stroked="false">
          <v:textbox inset="0,0,0,0">
            <w:txbxContent>
              <w:p>
                <w:pPr>
                  <w:tabs>
                    <w:tab w:pos="7852" w:val="left" w:leader="none"/>
                  </w:tabs>
                  <w:spacing w:before="11"/>
                  <w:ind w:left="20" w:right="0" w:firstLine="0"/>
                  <w:jc w:val="left"/>
                  <w:rPr>
                    <w:rFonts w:ascii="Times New Roman"/>
                    <w:sz w:val="20"/>
                  </w:rPr>
                </w:pPr>
                <w:r>
                  <w:rPr>
                    <w:rFonts w:ascii="Times New Roman"/>
                    <w:color w:val="A1A1A1"/>
                    <w:w w:val="105"/>
                    <w:sz w:val="20"/>
                  </w:rPr>
                  <w:t>(C)l 994-2021 China Academic Journal Electronic Publishing House. All  rights</w:t>
                </w:r>
                <w:r>
                  <w:rPr>
                    <w:rFonts w:ascii="Times New Roman"/>
                    <w:color w:val="A1A1A1"/>
                    <w:spacing w:val="12"/>
                    <w:w w:val="105"/>
                    <w:sz w:val="20"/>
                  </w:rPr>
                  <w:t> </w:t>
                </w:r>
                <w:r>
                  <w:rPr>
                    <w:rFonts w:ascii="Times New Roman"/>
                    <w:color w:val="A1A1A1"/>
                    <w:w w:val="105"/>
                    <w:sz w:val="20"/>
                  </w:rPr>
                  <w:t>reserved.</w:t>
                  <w:tab/>
                </w:r>
                <w:hyperlink r:id="rId1">
                  <w:r>
                    <w:rPr>
                      <w:rFonts w:ascii="Times New Roman"/>
                      <w:color w:val="A1A1A1"/>
                      <w:w w:val="105"/>
                      <w:sz w:val="20"/>
                    </w:rPr>
                    <w:t>http://www.cnki.net</w:t>
                  </w:r>
                </w:hyperlink>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414912">
          <wp:simplePos x="0" y="0"/>
          <wp:positionH relativeFrom="page">
            <wp:posOffset>640080</wp:posOffset>
          </wp:positionH>
          <wp:positionV relativeFrom="page">
            <wp:posOffset>9963150</wp:posOffset>
          </wp:positionV>
          <wp:extent cx="3710940" cy="123189"/>
          <wp:effectExtent l="0" t="0" r="0" b="0"/>
          <wp:wrapNone/>
          <wp:docPr id="5" name="image2.png"/>
          <wp:cNvGraphicFramePr>
            <a:graphicFrameLocks noChangeAspect="1"/>
          </wp:cNvGraphicFramePr>
          <a:graphic>
            <a:graphicData uri="http://schemas.openxmlformats.org/drawingml/2006/picture">
              <pic:pic>
                <pic:nvPicPr>
                  <pic:cNvPr id="6"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900544"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416960">
          <wp:simplePos x="0" y="0"/>
          <wp:positionH relativeFrom="page">
            <wp:posOffset>5596890</wp:posOffset>
          </wp:positionH>
          <wp:positionV relativeFrom="page">
            <wp:posOffset>9963150</wp:posOffset>
          </wp:positionV>
          <wp:extent cx="1082039" cy="123189"/>
          <wp:effectExtent l="0" t="0" r="0" b="0"/>
          <wp:wrapNone/>
          <wp:docPr id="7" name="image4.png"/>
          <wp:cNvGraphicFramePr>
            <a:graphicFrameLocks noChangeAspect="1"/>
          </wp:cNvGraphicFramePr>
          <a:graphic>
            <a:graphicData uri="http://schemas.openxmlformats.org/drawingml/2006/picture">
              <pic:pic>
                <pic:nvPicPr>
                  <pic:cNvPr id="8"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shape style="position:absolute;margin-left:288.720001pt;margin-top:771.340027pt;width:18pt;height:11pt;mso-position-horizontal-relative:page;mso-position-vertical-relative:page;z-index:-257898496" type="#_x0000_t202" filled="false" stroked="false">
          <v:textbox inset="0,0,0,0">
            <w:txbxContent>
              <w:p>
                <w:pPr>
                  <w:spacing w:line="203" w:lineRule="exact" w:before="0"/>
                  <w:ind w:left="60" w:right="0" w:firstLine="0"/>
                  <w:jc w:val="left"/>
                  <w:rPr>
                    <w:rFonts w:ascii="Calibri"/>
                    <w:sz w:val="18"/>
                  </w:rPr>
                </w:pPr>
                <w:r>
                  <w:rPr/>
                  <w:fldChar w:fldCharType="begin"/>
                </w:r>
                <w:r>
                  <w:rPr>
                    <w:rFonts w:ascii="Calibri"/>
                    <w:sz w:val="18"/>
                  </w:rPr>
                  <w:instrText> PAGE  \* ROMAN </w:instrText>
                </w:r>
                <w:r>
                  <w:rPr/>
                  <w:fldChar w:fldCharType="separate"/>
                </w:r>
                <w:r>
                  <w:rPr/>
                  <w:t>VIII</w:t>
                </w:r>
                <w:r>
                  <w:rPr/>
                  <w:fldChar w:fldCharType="end"/>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422080">
          <wp:simplePos x="0" y="0"/>
          <wp:positionH relativeFrom="page">
            <wp:posOffset>640080</wp:posOffset>
          </wp:positionH>
          <wp:positionV relativeFrom="page">
            <wp:posOffset>9963150</wp:posOffset>
          </wp:positionV>
          <wp:extent cx="3710940" cy="123189"/>
          <wp:effectExtent l="0" t="0" r="0" b="0"/>
          <wp:wrapNone/>
          <wp:docPr id="9" name="image2.png"/>
          <wp:cNvGraphicFramePr>
            <a:graphicFrameLocks noChangeAspect="1"/>
          </wp:cNvGraphicFramePr>
          <a:graphic>
            <a:graphicData uri="http://schemas.openxmlformats.org/drawingml/2006/picture">
              <pic:pic>
                <pic:nvPicPr>
                  <pic:cNvPr id="10"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93376"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424128">
          <wp:simplePos x="0" y="0"/>
          <wp:positionH relativeFrom="page">
            <wp:posOffset>5596890</wp:posOffset>
          </wp:positionH>
          <wp:positionV relativeFrom="page">
            <wp:posOffset>9963150</wp:posOffset>
          </wp:positionV>
          <wp:extent cx="1082039" cy="123189"/>
          <wp:effectExtent l="0" t="0" r="0" b="0"/>
          <wp:wrapNone/>
          <wp:docPr id="11" name="image4.png"/>
          <wp:cNvGraphicFramePr>
            <a:graphicFrameLocks noChangeAspect="1"/>
          </wp:cNvGraphicFramePr>
          <a:graphic>
            <a:graphicData uri="http://schemas.openxmlformats.org/drawingml/2006/picture">
              <pic:pic>
                <pic:nvPicPr>
                  <pic:cNvPr id="12"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shape style="position:absolute;margin-left:290.040009pt;margin-top:771.340027pt;width:15.15pt;height:11pt;mso-position-horizontal-relative:page;mso-position-vertical-relative:page;z-index:-257891328" type="#_x0000_t202" filled="false" stroked="false">
          <v:textbox inset="0,0,0,0">
            <w:txbxContent>
              <w:p>
                <w:pPr>
                  <w:spacing w:line="203" w:lineRule="exact" w:before="0"/>
                  <w:ind w:left="60" w:right="0" w:firstLine="0"/>
                  <w:jc w:val="left"/>
                  <w:rPr>
                    <w:rFonts w:ascii="Calibri"/>
                    <w:sz w:val="18"/>
                  </w:rPr>
                </w:pPr>
                <w:r>
                  <w:rPr/>
                  <w:fldChar w:fldCharType="begin"/>
                </w:r>
                <w:r>
                  <w:rPr>
                    <w:rFonts w:ascii="Calibri"/>
                    <w:sz w:val="18"/>
                  </w:rPr>
                  <w:instrText> PAGE </w:instrText>
                </w:r>
                <w:r>
                  <w:rPr/>
                  <w:fldChar w:fldCharType="separate"/>
                </w:r>
                <w:r>
                  <w:rPr/>
                  <w:t>10</w:t>
                </w:r>
                <w:r>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429248">
          <wp:simplePos x="0" y="0"/>
          <wp:positionH relativeFrom="page">
            <wp:posOffset>640080</wp:posOffset>
          </wp:positionH>
          <wp:positionV relativeFrom="page">
            <wp:posOffset>9963150</wp:posOffset>
          </wp:positionV>
          <wp:extent cx="3710940" cy="123189"/>
          <wp:effectExtent l="0" t="0" r="0" b="0"/>
          <wp:wrapNone/>
          <wp:docPr id="15" name="image2.png"/>
          <wp:cNvGraphicFramePr>
            <a:graphicFrameLocks noChangeAspect="1"/>
          </wp:cNvGraphicFramePr>
          <a:graphic>
            <a:graphicData uri="http://schemas.openxmlformats.org/drawingml/2006/picture">
              <pic:pic>
                <pic:nvPicPr>
                  <pic:cNvPr id="16"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86208"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431296">
          <wp:simplePos x="0" y="0"/>
          <wp:positionH relativeFrom="page">
            <wp:posOffset>5596890</wp:posOffset>
          </wp:positionH>
          <wp:positionV relativeFrom="page">
            <wp:posOffset>9963150</wp:posOffset>
          </wp:positionV>
          <wp:extent cx="1082039" cy="123189"/>
          <wp:effectExtent l="0" t="0" r="0" b="0"/>
          <wp:wrapNone/>
          <wp:docPr id="17" name="image4.png"/>
          <wp:cNvGraphicFramePr>
            <a:graphicFrameLocks noChangeAspect="1"/>
          </wp:cNvGraphicFramePr>
          <a:graphic>
            <a:graphicData uri="http://schemas.openxmlformats.org/drawingml/2006/picture">
              <pic:pic>
                <pic:nvPicPr>
                  <pic:cNvPr id="18"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line style="position:absolute;mso-position-horizontal-relative:page;mso-position-vertical-relative:page;z-index:-257884160" from="90pt,743.100037pt" to="234pt,743.100037pt" stroked="true" strokeweight=".402pt" strokecolor="#000000">
          <v:stroke dashstyle="solid"/>
          <w10:wrap type="none"/>
        </v:line>
      </w:pict>
    </w:r>
    <w:r>
      <w:rPr/>
      <w:pict>
        <v:shape style="position:absolute;margin-left:292.040009pt;margin-top:771.340027pt;width:11.15pt;height:11pt;mso-position-horizontal-relative:page;mso-position-vertical-relative:page;z-index:-257883136" type="#_x0000_t202" filled="false" stroked="false">
          <v:textbox inset="0,0,0,0">
            <w:txbxContent>
              <w:p>
                <w:pPr>
                  <w:spacing w:line="203" w:lineRule="exact" w:before="0"/>
                  <w:ind w:left="20" w:right="0" w:firstLine="0"/>
                  <w:jc w:val="left"/>
                  <w:rPr>
                    <w:rFonts w:ascii="Calibri"/>
                    <w:sz w:val="18"/>
                  </w:rPr>
                </w:pPr>
                <w:r>
                  <w:rPr>
                    <w:rFonts w:ascii="Calibri"/>
                    <w:sz w:val="18"/>
                  </w:rPr>
                  <w:t>25</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437440">
          <wp:simplePos x="0" y="0"/>
          <wp:positionH relativeFrom="page">
            <wp:posOffset>640080</wp:posOffset>
          </wp:positionH>
          <wp:positionV relativeFrom="page">
            <wp:posOffset>9963150</wp:posOffset>
          </wp:positionV>
          <wp:extent cx="3710940" cy="123189"/>
          <wp:effectExtent l="0" t="0" r="0" b="0"/>
          <wp:wrapNone/>
          <wp:docPr id="19" name="image2.png"/>
          <wp:cNvGraphicFramePr>
            <a:graphicFrameLocks noChangeAspect="1"/>
          </wp:cNvGraphicFramePr>
          <a:graphic>
            <a:graphicData uri="http://schemas.openxmlformats.org/drawingml/2006/picture">
              <pic:pic>
                <pic:nvPicPr>
                  <pic:cNvPr id="20"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78016"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439488">
          <wp:simplePos x="0" y="0"/>
          <wp:positionH relativeFrom="page">
            <wp:posOffset>5596890</wp:posOffset>
          </wp:positionH>
          <wp:positionV relativeFrom="page">
            <wp:posOffset>9963150</wp:posOffset>
          </wp:positionV>
          <wp:extent cx="1082039" cy="123189"/>
          <wp:effectExtent l="0" t="0" r="0" b="0"/>
          <wp:wrapNone/>
          <wp:docPr id="21" name="image4.png"/>
          <wp:cNvGraphicFramePr>
            <a:graphicFrameLocks noChangeAspect="1"/>
          </wp:cNvGraphicFramePr>
          <a:graphic>
            <a:graphicData uri="http://schemas.openxmlformats.org/drawingml/2006/picture">
              <pic:pic>
                <pic:nvPicPr>
                  <pic:cNvPr id="22"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shape style="position:absolute;margin-left:290.040009pt;margin-top:771.340027pt;width:15.15pt;height:11pt;mso-position-horizontal-relative:page;mso-position-vertical-relative:page;z-index:-257875968" type="#_x0000_t202" filled="false" stroked="false">
          <v:textbox inset="0,0,0,0">
            <w:txbxContent>
              <w:p>
                <w:pPr>
                  <w:spacing w:line="203" w:lineRule="exact" w:before="0"/>
                  <w:ind w:left="60" w:right="0" w:firstLine="0"/>
                  <w:jc w:val="left"/>
                  <w:rPr>
                    <w:rFonts w:ascii="Calibri"/>
                    <w:sz w:val="18"/>
                  </w:rPr>
                </w:pPr>
                <w:r>
                  <w:rPr/>
                  <w:fldChar w:fldCharType="begin"/>
                </w:r>
                <w:r>
                  <w:rPr>
                    <w:rFonts w:ascii="Calibri"/>
                    <w:sz w:val="18"/>
                  </w:rPr>
                  <w:instrText> PAGE </w:instrText>
                </w:r>
                <w:r>
                  <w:rPr/>
                  <w:fldChar w:fldCharType="separate"/>
                </w:r>
                <w:r>
                  <w:rPr/>
                  <w:t>29</w:t>
                </w:r>
                <w:r>
                  <w:rPr/>
                  <w:fldChar w:fldCharType="end"/>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444608">
          <wp:simplePos x="0" y="0"/>
          <wp:positionH relativeFrom="page">
            <wp:posOffset>640080</wp:posOffset>
          </wp:positionH>
          <wp:positionV relativeFrom="page">
            <wp:posOffset>9963150</wp:posOffset>
          </wp:positionV>
          <wp:extent cx="3710940" cy="123189"/>
          <wp:effectExtent l="0" t="0" r="0" b="0"/>
          <wp:wrapNone/>
          <wp:docPr id="29" name="image2.png"/>
          <wp:cNvGraphicFramePr>
            <a:graphicFrameLocks noChangeAspect="1"/>
          </wp:cNvGraphicFramePr>
          <a:graphic>
            <a:graphicData uri="http://schemas.openxmlformats.org/drawingml/2006/picture">
              <pic:pic>
                <pic:nvPicPr>
                  <pic:cNvPr id="30"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70848"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446656">
          <wp:simplePos x="0" y="0"/>
          <wp:positionH relativeFrom="page">
            <wp:posOffset>5596890</wp:posOffset>
          </wp:positionH>
          <wp:positionV relativeFrom="page">
            <wp:posOffset>9963150</wp:posOffset>
          </wp:positionV>
          <wp:extent cx="1082039" cy="123189"/>
          <wp:effectExtent l="0" t="0" r="0" b="0"/>
          <wp:wrapNone/>
          <wp:docPr id="31" name="image4.png"/>
          <wp:cNvGraphicFramePr>
            <a:graphicFrameLocks noChangeAspect="1"/>
          </wp:cNvGraphicFramePr>
          <a:graphic>
            <a:graphicData uri="http://schemas.openxmlformats.org/drawingml/2006/picture">
              <pic:pic>
                <pic:nvPicPr>
                  <pic:cNvPr id="32"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line style="position:absolute;mso-position-horizontal-relative:page;mso-position-vertical-relative:page;z-index:-257868800" from="90pt,696.5pt" to="234pt,696.5pt" stroked="true" strokeweight="0pt" strokecolor="#000000">
          <v:stroke dashstyle="solid"/>
          <w10:wrap type="none"/>
        </v:line>
      </w:pict>
    </w:r>
    <w:r>
      <w:rPr/>
      <w:pict>
        <v:shape style="position:absolute;margin-left:292.040009pt;margin-top:771.340027pt;width:11.15pt;height:11pt;mso-position-horizontal-relative:page;mso-position-vertical-relative:page;z-index:-257867776" type="#_x0000_t202" filled="false" stroked="false">
          <v:textbox inset="0,0,0,0">
            <w:txbxContent>
              <w:p>
                <w:pPr>
                  <w:spacing w:line="203" w:lineRule="exact" w:before="0"/>
                  <w:ind w:left="20" w:right="0" w:firstLine="0"/>
                  <w:jc w:val="left"/>
                  <w:rPr>
                    <w:rFonts w:ascii="Calibri"/>
                    <w:sz w:val="18"/>
                  </w:rPr>
                </w:pPr>
                <w:r>
                  <w:rPr>
                    <w:rFonts w:ascii="Calibri"/>
                    <w:sz w:val="18"/>
                  </w:rPr>
                  <w:t>40</w:t>
                </w:r>
              </w:p>
            </w:txbxContent>
          </v:textbox>
          <w10:wrap type="non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452800">
          <wp:simplePos x="0" y="0"/>
          <wp:positionH relativeFrom="page">
            <wp:posOffset>640080</wp:posOffset>
          </wp:positionH>
          <wp:positionV relativeFrom="page">
            <wp:posOffset>9963150</wp:posOffset>
          </wp:positionV>
          <wp:extent cx="3710940" cy="123189"/>
          <wp:effectExtent l="0" t="0" r="0" b="0"/>
          <wp:wrapNone/>
          <wp:docPr id="33" name="image2.png"/>
          <wp:cNvGraphicFramePr>
            <a:graphicFrameLocks noChangeAspect="1"/>
          </wp:cNvGraphicFramePr>
          <a:graphic>
            <a:graphicData uri="http://schemas.openxmlformats.org/drawingml/2006/picture">
              <pic:pic>
                <pic:nvPicPr>
                  <pic:cNvPr id="34"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62656"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454848">
          <wp:simplePos x="0" y="0"/>
          <wp:positionH relativeFrom="page">
            <wp:posOffset>5596890</wp:posOffset>
          </wp:positionH>
          <wp:positionV relativeFrom="page">
            <wp:posOffset>9963150</wp:posOffset>
          </wp:positionV>
          <wp:extent cx="1082039" cy="123189"/>
          <wp:effectExtent l="0" t="0" r="0" b="0"/>
          <wp:wrapNone/>
          <wp:docPr id="35" name="image4.png"/>
          <wp:cNvGraphicFramePr>
            <a:graphicFrameLocks noChangeAspect="1"/>
          </wp:cNvGraphicFramePr>
          <a:graphic>
            <a:graphicData uri="http://schemas.openxmlformats.org/drawingml/2006/picture">
              <pic:pic>
                <pic:nvPicPr>
                  <pic:cNvPr id="36"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shape style="position:absolute;margin-left:290.040009pt;margin-top:771.340027pt;width:15.15pt;height:11pt;mso-position-horizontal-relative:page;mso-position-vertical-relative:page;z-index:-257860608" type="#_x0000_t202" filled="false" stroked="false">
          <v:textbox inset="0,0,0,0">
            <w:txbxContent>
              <w:p>
                <w:pPr>
                  <w:spacing w:line="203" w:lineRule="exact" w:before="0"/>
                  <w:ind w:left="60" w:right="0" w:firstLine="0"/>
                  <w:jc w:val="left"/>
                  <w:rPr>
                    <w:rFonts w:ascii="Calibri"/>
                    <w:sz w:val="18"/>
                  </w:rPr>
                </w:pPr>
                <w:r>
                  <w:rPr/>
                  <w:fldChar w:fldCharType="begin"/>
                </w:r>
                <w:r>
                  <w:rPr>
                    <w:rFonts w:ascii="Calibri"/>
                    <w:sz w:val="18"/>
                  </w:rPr>
                  <w:instrText> PAGE </w:instrText>
                </w:r>
                <w:r>
                  <w:rPr/>
                  <w:fldChar w:fldCharType="separate"/>
                </w:r>
                <w:r>
                  <w:rPr/>
                  <w:t>41</w:t>
                </w:r>
                <w:r>
                  <w:rPr/>
                  <w:fldChar w:fldCharType="end"/>
                </w:r>
              </w:p>
            </w:txbxContent>
          </v:textbox>
          <w10:wrap type="non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459968">
          <wp:simplePos x="0" y="0"/>
          <wp:positionH relativeFrom="page">
            <wp:posOffset>640080</wp:posOffset>
          </wp:positionH>
          <wp:positionV relativeFrom="page">
            <wp:posOffset>9963150</wp:posOffset>
          </wp:positionV>
          <wp:extent cx="3710940" cy="123189"/>
          <wp:effectExtent l="0" t="0" r="0" b="0"/>
          <wp:wrapNone/>
          <wp:docPr id="43" name="image2.png"/>
          <wp:cNvGraphicFramePr>
            <a:graphicFrameLocks noChangeAspect="1"/>
          </wp:cNvGraphicFramePr>
          <a:graphic>
            <a:graphicData uri="http://schemas.openxmlformats.org/drawingml/2006/picture">
              <pic:pic>
                <pic:nvPicPr>
                  <pic:cNvPr id="44"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55488"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462016">
          <wp:simplePos x="0" y="0"/>
          <wp:positionH relativeFrom="page">
            <wp:posOffset>5596890</wp:posOffset>
          </wp:positionH>
          <wp:positionV relativeFrom="page">
            <wp:posOffset>9963150</wp:posOffset>
          </wp:positionV>
          <wp:extent cx="1082039" cy="123189"/>
          <wp:effectExtent l="0" t="0" r="0" b="0"/>
          <wp:wrapNone/>
          <wp:docPr id="45" name="image4.png"/>
          <wp:cNvGraphicFramePr>
            <a:graphicFrameLocks noChangeAspect="1"/>
          </wp:cNvGraphicFramePr>
          <a:graphic>
            <a:graphicData uri="http://schemas.openxmlformats.org/drawingml/2006/picture">
              <pic:pic>
                <pic:nvPicPr>
                  <pic:cNvPr id="46"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line style="position:absolute;mso-position-horizontal-relative:page;mso-position-vertical-relative:page;z-index:-257853440" from="90pt,730.150024pt" to="234pt,730.150024pt" stroked="true" strokeweight="0pt" strokecolor="#000000">
          <v:stroke dashstyle="solid"/>
          <w10:wrap type="none"/>
        </v:line>
      </w:pict>
    </w:r>
    <w:r>
      <w:rPr/>
      <w:pict>
        <v:shape style="position:absolute;margin-left:292.040009pt;margin-top:771.340027pt;width:11.15pt;height:11pt;mso-position-horizontal-relative:page;mso-position-vertical-relative:page;z-index:-257852416" type="#_x0000_t202" filled="false" stroked="false">
          <v:textbox inset="0,0,0,0">
            <w:txbxContent>
              <w:p>
                <w:pPr>
                  <w:spacing w:line="203" w:lineRule="exact" w:before="0"/>
                  <w:ind w:left="20" w:right="0" w:firstLine="0"/>
                  <w:jc w:val="left"/>
                  <w:rPr>
                    <w:rFonts w:ascii="Calibri"/>
                    <w:sz w:val="18"/>
                  </w:rPr>
                </w:pPr>
                <w:r>
                  <w:rPr>
                    <w:rFonts w:ascii="Calibri"/>
                    <w:sz w:val="18"/>
                  </w:rPr>
                  <w:t>55</w:t>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468160">
          <wp:simplePos x="0" y="0"/>
          <wp:positionH relativeFrom="page">
            <wp:posOffset>640080</wp:posOffset>
          </wp:positionH>
          <wp:positionV relativeFrom="page">
            <wp:posOffset>9963150</wp:posOffset>
          </wp:positionV>
          <wp:extent cx="3710940" cy="123189"/>
          <wp:effectExtent l="0" t="0" r="0" b="0"/>
          <wp:wrapNone/>
          <wp:docPr id="47" name="image2.png"/>
          <wp:cNvGraphicFramePr>
            <a:graphicFrameLocks noChangeAspect="1"/>
          </wp:cNvGraphicFramePr>
          <a:graphic>
            <a:graphicData uri="http://schemas.openxmlformats.org/drawingml/2006/picture">
              <pic:pic>
                <pic:nvPicPr>
                  <pic:cNvPr id="48"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47296"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470208">
          <wp:simplePos x="0" y="0"/>
          <wp:positionH relativeFrom="page">
            <wp:posOffset>5596890</wp:posOffset>
          </wp:positionH>
          <wp:positionV relativeFrom="page">
            <wp:posOffset>9963150</wp:posOffset>
          </wp:positionV>
          <wp:extent cx="1082039" cy="123189"/>
          <wp:effectExtent l="0" t="0" r="0" b="0"/>
          <wp:wrapNone/>
          <wp:docPr id="49" name="image4.png"/>
          <wp:cNvGraphicFramePr>
            <a:graphicFrameLocks noChangeAspect="1"/>
          </wp:cNvGraphicFramePr>
          <a:graphic>
            <a:graphicData uri="http://schemas.openxmlformats.org/drawingml/2006/picture">
              <pic:pic>
                <pic:nvPicPr>
                  <pic:cNvPr id="50"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shape style="position:absolute;margin-left:290.040009pt;margin-top:771.340027pt;width:15.15pt;height:11pt;mso-position-horizontal-relative:page;mso-position-vertical-relative:page;z-index:-257845248" type="#_x0000_t202" filled="false" stroked="false">
          <v:textbox inset="0,0,0,0">
            <w:txbxContent>
              <w:p>
                <w:pPr>
                  <w:spacing w:line="203" w:lineRule="exact" w:before="0"/>
                  <w:ind w:left="60" w:right="0" w:firstLine="0"/>
                  <w:jc w:val="left"/>
                  <w:rPr>
                    <w:rFonts w:ascii="Calibri"/>
                    <w:sz w:val="18"/>
                  </w:rPr>
                </w:pPr>
                <w:r>
                  <w:rPr/>
                  <w:fldChar w:fldCharType="begin"/>
                </w:r>
                <w:r>
                  <w:rPr>
                    <w:rFonts w:ascii="Calibri"/>
                    <w:sz w:val="18"/>
                  </w:rPr>
                  <w:instrText> PAGE </w:instrText>
                </w:r>
                <w:r>
                  <w:rPr/>
                  <w:fldChar w:fldCharType="separate"/>
                </w:r>
                <w:r>
                  <w:rPr/>
                  <w:t>56</w:t>
                </w:r>
                <w:r>
                  <w:rPr/>
                  <w:fldChar w:fldCharType="end"/>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475328">
          <wp:simplePos x="0" y="0"/>
          <wp:positionH relativeFrom="page">
            <wp:posOffset>640080</wp:posOffset>
          </wp:positionH>
          <wp:positionV relativeFrom="page">
            <wp:posOffset>9963150</wp:posOffset>
          </wp:positionV>
          <wp:extent cx="3710940" cy="123189"/>
          <wp:effectExtent l="0" t="0" r="0" b="0"/>
          <wp:wrapNone/>
          <wp:docPr id="59" name="image2.png"/>
          <wp:cNvGraphicFramePr>
            <a:graphicFrameLocks noChangeAspect="1"/>
          </wp:cNvGraphicFramePr>
          <a:graphic>
            <a:graphicData uri="http://schemas.openxmlformats.org/drawingml/2006/picture">
              <pic:pic>
                <pic:nvPicPr>
                  <pic:cNvPr id="60"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40128"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477376">
          <wp:simplePos x="0" y="0"/>
          <wp:positionH relativeFrom="page">
            <wp:posOffset>5596890</wp:posOffset>
          </wp:positionH>
          <wp:positionV relativeFrom="page">
            <wp:posOffset>9963150</wp:posOffset>
          </wp:positionV>
          <wp:extent cx="1082039" cy="123189"/>
          <wp:effectExtent l="0" t="0" r="0" b="0"/>
          <wp:wrapNone/>
          <wp:docPr id="61" name="image4.png"/>
          <wp:cNvGraphicFramePr>
            <a:graphicFrameLocks noChangeAspect="1"/>
          </wp:cNvGraphicFramePr>
          <a:graphic>
            <a:graphicData uri="http://schemas.openxmlformats.org/drawingml/2006/picture">
              <pic:pic>
                <pic:nvPicPr>
                  <pic:cNvPr id="62"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line style="position:absolute;mso-position-horizontal-relative:page;mso-position-vertical-relative:page;z-index:-257838080" from="90pt,708.450012pt" to="234pt,708.450012pt" stroked="true" strokeweight=".402pt" strokecolor="#000000">
          <v:stroke dashstyle="solid"/>
          <w10:wrap type="none"/>
        </v:line>
      </w:pict>
    </w:r>
    <w:r>
      <w:rPr/>
      <w:pict>
        <v:shape style="position:absolute;margin-left:292.040009pt;margin-top:771.340027pt;width:11.15pt;height:11pt;mso-position-horizontal-relative:page;mso-position-vertical-relative:page;z-index:-257837056" type="#_x0000_t202" filled="false" stroked="false">
          <v:textbox inset="0,0,0,0">
            <w:txbxContent>
              <w:p>
                <w:pPr>
                  <w:spacing w:line="203" w:lineRule="exact" w:before="0"/>
                  <w:ind w:left="20" w:right="0" w:firstLine="0"/>
                  <w:jc w:val="left"/>
                  <w:rPr>
                    <w:rFonts w:ascii="Calibri"/>
                    <w:sz w:val="18"/>
                  </w:rPr>
                </w:pPr>
                <w:r>
                  <w:rPr>
                    <w:rFonts w:ascii="Calibri"/>
                    <w:sz w:val="18"/>
                  </w:rPr>
                  <w:t>84</w:t>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483520">
          <wp:simplePos x="0" y="0"/>
          <wp:positionH relativeFrom="page">
            <wp:posOffset>640080</wp:posOffset>
          </wp:positionH>
          <wp:positionV relativeFrom="page">
            <wp:posOffset>9963150</wp:posOffset>
          </wp:positionV>
          <wp:extent cx="3710940" cy="123189"/>
          <wp:effectExtent l="0" t="0" r="0" b="0"/>
          <wp:wrapNone/>
          <wp:docPr id="63" name="image2.png"/>
          <wp:cNvGraphicFramePr>
            <a:graphicFrameLocks noChangeAspect="1"/>
          </wp:cNvGraphicFramePr>
          <a:graphic>
            <a:graphicData uri="http://schemas.openxmlformats.org/drawingml/2006/picture">
              <pic:pic>
                <pic:nvPicPr>
                  <pic:cNvPr id="64"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31936"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485568">
          <wp:simplePos x="0" y="0"/>
          <wp:positionH relativeFrom="page">
            <wp:posOffset>5596890</wp:posOffset>
          </wp:positionH>
          <wp:positionV relativeFrom="page">
            <wp:posOffset>9963150</wp:posOffset>
          </wp:positionV>
          <wp:extent cx="1082039" cy="123189"/>
          <wp:effectExtent l="0" t="0" r="0" b="0"/>
          <wp:wrapNone/>
          <wp:docPr id="65" name="image4.png"/>
          <wp:cNvGraphicFramePr>
            <a:graphicFrameLocks noChangeAspect="1"/>
          </wp:cNvGraphicFramePr>
          <a:graphic>
            <a:graphicData uri="http://schemas.openxmlformats.org/drawingml/2006/picture">
              <pic:pic>
                <pic:nvPicPr>
                  <pic:cNvPr id="66"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shape style="position:absolute;margin-left:287.759003pt;margin-top:771.340027pt;width:19.7pt;height:11pt;mso-position-horizontal-relative:page;mso-position-vertical-relative:page;z-index:-257829888" type="#_x0000_t202" filled="false" stroked="false">
          <v:textbox inset="0,0,0,0">
            <w:txbxContent>
              <w:p>
                <w:pPr>
                  <w:spacing w:line="203" w:lineRule="exact" w:before="0"/>
                  <w:ind w:left="60" w:right="0" w:firstLine="0"/>
                  <w:jc w:val="left"/>
                  <w:rPr>
                    <w:rFonts w:ascii="Calibri"/>
                    <w:sz w:val="18"/>
                  </w:rPr>
                </w:pPr>
                <w:r>
                  <w:rPr/>
                  <w:fldChar w:fldCharType="begin"/>
                </w:r>
                <w:r>
                  <w:rPr>
                    <w:rFonts w:ascii="Calibri"/>
                    <w:sz w:val="18"/>
                  </w:rPr>
                  <w:instrText> PAGE </w:instrText>
                </w:r>
                <w:r>
                  <w:rPr/>
                  <w:fldChar w:fldCharType="separate"/>
                </w:r>
                <w:r>
                  <w:rPr/>
                  <w:t>100</w:t>
                </w:r>
                <w:r>
                  <w:rPr/>
                  <w:fldChar w:fldCharType="end"/>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490688">
          <wp:simplePos x="0" y="0"/>
          <wp:positionH relativeFrom="page">
            <wp:posOffset>640080</wp:posOffset>
          </wp:positionH>
          <wp:positionV relativeFrom="page">
            <wp:posOffset>9963150</wp:posOffset>
          </wp:positionV>
          <wp:extent cx="3710940" cy="123189"/>
          <wp:effectExtent l="0" t="0" r="0" b="0"/>
          <wp:wrapNone/>
          <wp:docPr id="73" name="image2.png"/>
          <wp:cNvGraphicFramePr>
            <a:graphicFrameLocks noChangeAspect="1"/>
          </wp:cNvGraphicFramePr>
          <a:graphic>
            <a:graphicData uri="http://schemas.openxmlformats.org/drawingml/2006/picture">
              <pic:pic>
                <pic:nvPicPr>
                  <pic:cNvPr id="74"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24768"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492736">
          <wp:simplePos x="0" y="0"/>
          <wp:positionH relativeFrom="page">
            <wp:posOffset>5596890</wp:posOffset>
          </wp:positionH>
          <wp:positionV relativeFrom="page">
            <wp:posOffset>9963150</wp:posOffset>
          </wp:positionV>
          <wp:extent cx="1082039" cy="123189"/>
          <wp:effectExtent l="0" t="0" r="0" b="0"/>
          <wp:wrapNone/>
          <wp:docPr id="75" name="image4.png"/>
          <wp:cNvGraphicFramePr>
            <a:graphicFrameLocks noChangeAspect="1"/>
          </wp:cNvGraphicFramePr>
          <a:graphic>
            <a:graphicData uri="http://schemas.openxmlformats.org/drawingml/2006/picture">
              <pic:pic>
                <pic:nvPicPr>
                  <pic:cNvPr id="76"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line style="position:absolute;mso-position-horizontal-relative:page;mso-position-vertical-relative:page;z-index:-257822720" from="90pt,708.450012pt" to="234pt,708.450012pt" stroked="true" strokeweight="0pt" strokecolor="#000000">
          <v:stroke dashstyle="solid"/>
          <w10:wrap type="none"/>
        </v:line>
      </w:pict>
    </w:r>
    <w:r>
      <w:rPr/>
      <w:pict>
        <v:shape style="position:absolute;margin-left:289.759003pt;margin-top:771.340027pt;width:15.7pt;height:11pt;mso-position-horizontal-relative:page;mso-position-vertical-relative:page;z-index:-257821696" type="#_x0000_t202" filled="false" stroked="false">
          <v:textbox inset="0,0,0,0">
            <w:txbxContent>
              <w:p>
                <w:pPr>
                  <w:spacing w:line="203" w:lineRule="exact" w:before="0"/>
                  <w:ind w:left="20" w:right="0" w:firstLine="0"/>
                  <w:jc w:val="left"/>
                  <w:rPr>
                    <w:rFonts w:ascii="Calibri"/>
                    <w:sz w:val="18"/>
                  </w:rPr>
                </w:pPr>
                <w:r>
                  <w:rPr>
                    <w:rFonts w:ascii="Calibri"/>
                    <w:sz w:val="18"/>
                  </w:rPr>
                  <w:t>103</w:t>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498880">
          <wp:simplePos x="0" y="0"/>
          <wp:positionH relativeFrom="page">
            <wp:posOffset>640080</wp:posOffset>
          </wp:positionH>
          <wp:positionV relativeFrom="page">
            <wp:posOffset>9963150</wp:posOffset>
          </wp:positionV>
          <wp:extent cx="3710940" cy="123189"/>
          <wp:effectExtent l="0" t="0" r="0" b="0"/>
          <wp:wrapNone/>
          <wp:docPr id="77" name="image2.png"/>
          <wp:cNvGraphicFramePr>
            <a:graphicFrameLocks noChangeAspect="1"/>
          </wp:cNvGraphicFramePr>
          <a:graphic>
            <a:graphicData uri="http://schemas.openxmlformats.org/drawingml/2006/picture">
              <pic:pic>
                <pic:nvPicPr>
                  <pic:cNvPr id="78"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16576"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500928">
          <wp:simplePos x="0" y="0"/>
          <wp:positionH relativeFrom="page">
            <wp:posOffset>5596890</wp:posOffset>
          </wp:positionH>
          <wp:positionV relativeFrom="page">
            <wp:posOffset>9963150</wp:posOffset>
          </wp:positionV>
          <wp:extent cx="1082039" cy="123189"/>
          <wp:effectExtent l="0" t="0" r="0" b="0"/>
          <wp:wrapNone/>
          <wp:docPr id="79" name="image4.png"/>
          <wp:cNvGraphicFramePr>
            <a:graphicFrameLocks noChangeAspect="1"/>
          </wp:cNvGraphicFramePr>
          <a:graphic>
            <a:graphicData uri="http://schemas.openxmlformats.org/drawingml/2006/picture">
              <pic:pic>
                <pic:nvPicPr>
                  <pic:cNvPr id="80"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shape style="position:absolute;margin-left:287.759003pt;margin-top:771.340027pt;width:19.7pt;height:11pt;mso-position-horizontal-relative:page;mso-position-vertical-relative:page;z-index:-257814528" type="#_x0000_t202" filled="false" stroked="false">
          <v:textbox inset="0,0,0,0">
            <w:txbxContent>
              <w:p>
                <w:pPr>
                  <w:spacing w:line="203" w:lineRule="exact" w:before="0"/>
                  <w:ind w:left="60" w:right="0" w:firstLine="0"/>
                  <w:jc w:val="left"/>
                  <w:rPr>
                    <w:rFonts w:ascii="Calibri"/>
                    <w:sz w:val="18"/>
                  </w:rPr>
                </w:pPr>
                <w:r>
                  <w:rPr/>
                  <w:fldChar w:fldCharType="begin"/>
                </w:r>
                <w:r>
                  <w:rPr>
                    <w:rFonts w:ascii="Calibri"/>
                    <w:sz w:val="18"/>
                  </w:rPr>
                  <w:instrText> PAGE </w:instrText>
                </w:r>
                <w:r>
                  <w:rPr/>
                  <w:fldChar w:fldCharType="separate"/>
                </w:r>
                <w:r>
                  <w:rPr/>
                  <w:t>111</w:t>
                </w:r>
                <w:r>
                  <w:rPr/>
                  <w:fldChar w:fldCharType="end"/>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506048">
          <wp:simplePos x="0" y="0"/>
          <wp:positionH relativeFrom="page">
            <wp:posOffset>640080</wp:posOffset>
          </wp:positionH>
          <wp:positionV relativeFrom="page">
            <wp:posOffset>9963150</wp:posOffset>
          </wp:positionV>
          <wp:extent cx="3710940" cy="123189"/>
          <wp:effectExtent l="0" t="0" r="0" b="0"/>
          <wp:wrapNone/>
          <wp:docPr id="85" name="image2.png"/>
          <wp:cNvGraphicFramePr>
            <a:graphicFrameLocks noChangeAspect="1"/>
          </wp:cNvGraphicFramePr>
          <a:graphic>
            <a:graphicData uri="http://schemas.openxmlformats.org/drawingml/2006/picture">
              <pic:pic>
                <pic:nvPicPr>
                  <pic:cNvPr id="86"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09408"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508096">
          <wp:simplePos x="0" y="0"/>
          <wp:positionH relativeFrom="page">
            <wp:posOffset>5596890</wp:posOffset>
          </wp:positionH>
          <wp:positionV relativeFrom="page">
            <wp:posOffset>9963150</wp:posOffset>
          </wp:positionV>
          <wp:extent cx="1082039" cy="123189"/>
          <wp:effectExtent l="0" t="0" r="0" b="0"/>
          <wp:wrapNone/>
          <wp:docPr id="87" name="image4.png"/>
          <wp:cNvGraphicFramePr>
            <a:graphicFrameLocks noChangeAspect="1"/>
          </wp:cNvGraphicFramePr>
          <a:graphic>
            <a:graphicData uri="http://schemas.openxmlformats.org/drawingml/2006/picture">
              <pic:pic>
                <pic:nvPicPr>
                  <pic:cNvPr id="88"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line style="position:absolute;mso-position-horizontal-relative:page;mso-position-vertical-relative:page;z-index:-257807360" from="90pt,729.850037pt" to="234pt,729.850037pt" stroked="true" strokeweight="0pt" strokecolor="#000000">
          <v:stroke dashstyle="solid"/>
          <w10:wrap type="none"/>
        </v:line>
      </w:pict>
    </w:r>
    <w:r>
      <w:rPr/>
      <w:pict>
        <v:shape style="position:absolute;margin-left:289.759003pt;margin-top:771.340027pt;width:15.7pt;height:11pt;mso-position-horizontal-relative:page;mso-position-vertical-relative:page;z-index:-257806336" type="#_x0000_t202" filled="false" stroked="false">
          <v:textbox inset="0,0,0,0">
            <w:txbxContent>
              <w:p>
                <w:pPr>
                  <w:spacing w:line="203" w:lineRule="exact" w:before="0"/>
                  <w:ind w:left="20" w:right="0" w:firstLine="0"/>
                  <w:jc w:val="left"/>
                  <w:rPr>
                    <w:rFonts w:ascii="Calibri"/>
                    <w:sz w:val="18"/>
                  </w:rPr>
                </w:pPr>
                <w:r>
                  <w:rPr>
                    <w:rFonts w:ascii="Calibri"/>
                    <w:sz w:val="18"/>
                  </w:rPr>
                  <w:t>113</w:t>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514240">
          <wp:simplePos x="0" y="0"/>
          <wp:positionH relativeFrom="page">
            <wp:posOffset>640080</wp:posOffset>
          </wp:positionH>
          <wp:positionV relativeFrom="page">
            <wp:posOffset>9963150</wp:posOffset>
          </wp:positionV>
          <wp:extent cx="3710940" cy="123189"/>
          <wp:effectExtent l="0" t="0" r="0" b="0"/>
          <wp:wrapNone/>
          <wp:docPr id="89" name="image2.png"/>
          <wp:cNvGraphicFramePr>
            <a:graphicFrameLocks noChangeAspect="1"/>
          </wp:cNvGraphicFramePr>
          <a:graphic>
            <a:graphicData uri="http://schemas.openxmlformats.org/drawingml/2006/picture">
              <pic:pic>
                <pic:nvPicPr>
                  <pic:cNvPr id="90"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801216"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516288">
          <wp:simplePos x="0" y="0"/>
          <wp:positionH relativeFrom="page">
            <wp:posOffset>5596890</wp:posOffset>
          </wp:positionH>
          <wp:positionV relativeFrom="page">
            <wp:posOffset>9963150</wp:posOffset>
          </wp:positionV>
          <wp:extent cx="1082039" cy="123189"/>
          <wp:effectExtent l="0" t="0" r="0" b="0"/>
          <wp:wrapNone/>
          <wp:docPr id="91" name="image4.png"/>
          <wp:cNvGraphicFramePr>
            <a:graphicFrameLocks noChangeAspect="1"/>
          </wp:cNvGraphicFramePr>
          <a:graphic>
            <a:graphicData uri="http://schemas.openxmlformats.org/drawingml/2006/picture">
              <pic:pic>
                <pic:nvPicPr>
                  <pic:cNvPr id="92"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shape style="position:absolute;margin-left:287.759003pt;margin-top:771.340027pt;width:19.7pt;height:11pt;mso-position-horizontal-relative:page;mso-position-vertical-relative:page;z-index:-257799168" type="#_x0000_t202" filled="false" stroked="false">
          <v:textbox inset="0,0,0,0">
            <w:txbxContent>
              <w:p>
                <w:pPr>
                  <w:spacing w:line="203" w:lineRule="exact" w:before="0"/>
                  <w:ind w:left="60" w:right="0" w:firstLine="0"/>
                  <w:jc w:val="left"/>
                  <w:rPr>
                    <w:rFonts w:ascii="Calibri"/>
                    <w:sz w:val="18"/>
                  </w:rPr>
                </w:pPr>
                <w:r>
                  <w:rPr/>
                  <w:fldChar w:fldCharType="begin"/>
                </w:r>
                <w:r>
                  <w:rPr>
                    <w:rFonts w:ascii="Calibri"/>
                    <w:sz w:val="18"/>
                  </w:rPr>
                  <w:instrText> PAGE </w:instrText>
                </w:r>
                <w:r>
                  <w:rPr/>
                  <w:fldChar w:fldCharType="separate"/>
                </w:r>
                <w:r>
                  <w:rPr/>
                  <w:t>114</w:t>
                </w:r>
                <w:r>
                  <w:rPr/>
                  <w:fldChar w:fldCharType="end"/>
                </w:r>
              </w:p>
            </w:txbxContent>
          </v:textbox>
          <w10:wrap type="non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521408">
          <wp:simplePos x="0" y="0"/>
          <wp:positionH relativeFrom="page">
            <wp:posOffset>640080</wp:posOffset>
          </wp:positionH>
          <wp:positionV relativeFrom="page">
            <wp:posOffset>9963150</wp:posOffset>
          </wp:positionV>
          <wp:extent cx="3710940" cy="123189"/>
          <wp:effectExtent l="0" t="0" r="0" b="0"/>
          <wp:wrapNone/>
          <wp:docPr id="93" name="image2.png"/>
          <wp:cNvGraphicFramePr>
            <a:graphicFrameLocks noChangeAspect="1"/>
          </wp:cNvGraphicFramePr>
          <a:graphic>
            <a:graphicData uri="http://schemas.openxmlformats.org/drawingml/2006/picture">
              <pic:pic>
                <pic:nvPicPr>
                  <pic:cNvPr id="94"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794048"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523456">
          <wp:simplePos x="0" y="0"/>
          <wp:positionH relativeFrom="page">
            <wp:posOffset>5596890</wp:posOffset>
          </wp:positionH>
          <wp:positionV relativeFrom="page">
            <wp:posOffset>9963150</wp:posOffset>
          </wp:positionV>
          <wp:extent cx="1082039" cy="123189"/>
          <wp:effectExtent l="0" t="0" r="0" b="0"/>
          <wp:wrapNone/>
          <wp:docPr id="95" name="image4.png"/>
          <wp:cNvGraphicFramePr>
            <a:graphicFrameLocks noChangeAspect="1"/>
          </wp:cNvGraphicFramePr>
          <a:graphic>
            <a:graphicData uri="http://schemas.openxmlformats.org/drawingml/2006/picture">
              <pic:pic>
                <pic:nvPicPr>
                  <pic:cNvPr id="96"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line style="position:absolute;mso-position-horizontal-relative:page;mso-position-vertical-relative:page;z-index:-257792000" from="90pt,709.400024pt" to="234pt,709.400024pt" stroked="true" strokeweight="0pt" strokecolor="#000000">
          <v:stroke dashstyle="solid"/>
          <w10:wrap type="none"/>
        </v:line>
      </w:pict>
    </w:r>
    <w:r>
      <w:rPr/>
      <w:pict>
        <v:shape style="position:absolute;margin-left:289.759003pt;margin-top:771.340027pt;width:15.7pt;height:11pt;mso-position-horizontal-relative:page;mso-position-vertical-relative:page;z-index:-257790976" type="#_x0000_t202" filled="false" stroked="false">
          <v:textbox inset="0,0,0,0">
            <w:txbxContent>
              <w:p>
                <w:pPr>
                  <w:spacing w:line="203" w:lineRule="exact" w:before="0"/>
                  <w:ind w:left="20" w:right="0" w:firstLine="0"/>
                  <w:jc w:val="left"/>
                  <w:rPr>
                    <w:rFonts w:ascii="Calibri"/>
                    <w:sz w:val="18"/>
                  </w:rPr>
                </w:pPr>
                <w:r>
                  <w:rPr>
                    <w:rFonts w:ascii="Calibri"/>
                    <w:sz w:val="18"/>
                  </w:rPr>
                  <w:t>118</w:t>
                </w:r>
              </w:p>
            </w:txbxContent>
          </v:textbox>
          <w10:wrap type="none"/>
        </v:shape>
      </w:pic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drawing>
        <wp:anchor distT="0" distB="0" distL="0" distR="0" allowOverlap="1" layoutInCell="1" locked="0" behindDoc="1" simplePos="0" relativeHeight="245529600">
          <wp:simplePos x="0" y="0"/>
          <wp:positionH relativeFrom="page">
            <wp:posOffset>640080</wp:posOffset>
          </wp:positionH>
          <wp:positionV relativeFrom="page">
            <wp:posOffset>9963150</wp:posOffset>
          </wp:positionV>
          <wp:extent cx="3710940" cy="123189"/>
          <wp:effectExtent l="0" t="0" r="0" b="0"/>
          <wp:wrapNone/>
          <wp:docPr id="97" name="image2.png"/>
          <wp:cNvGraphicFramePr>
            <a:graphicFrameLocks noChangeAspect="1"/>
          </wp:cNvGraphicFramePr>
          <a:graphic>
            <a:graphicData uri="http://schemas.openxmlformats.org/drawingml/2006/picture">
              <pic:pic>
                <pic:nvPicPr>
                  <pic:cNvPr id="98" name="image2.png"/>
                  <pic:cNvPicPr/>
                </pic:nvPicPr>
                <pic:blipFill>
                  <a:blip r:embed="rId1" cstate="print"/>
                  <a:stretch>
                    <a:fillRect/>
                  </a:stretch>
                </pic:blipFill>
                <pic:spPr>
                  <a:xfrm>
                    <a:off x="0" y="0"/>
                    <a:ext cx="3710940" cy="123189"/>
                  </a:xfrm>
                  <a:prstGeom prst="rect">
                    <a:avLst/>
                  </a:prstGeom>
                </pic:spPr>
              </pic:pic>
            </a:graphicData>
          </a:graphic>
        </wp:anchor>
      </w:drawing>
    </w:r>
    <w:r>
      <w:rPr/>
      <w:pict>
        <v:group style="position:absolute;margin-left:343.600006pt;margin-top:784.5pt;width:85.7pt;height:9.7pt;mso-position-horizontal-relative:page;mso-position-vertical-relative:page;z-index:-257785856" coordorigin="6872,15690" coordsize="1714,194">
          <v:shape style="position:absolute;left:6872;top:15690;width:1676;height:194" type="#_x0000_t75" stroked="false">
            <v:imagedata r:id="rId2" o:title=""/>
          </v:shape>
          <v:shape style="position:absolute;left:8562;top:15816;width:24;height:24" coordorigin="8562,15816" coordsize="24,24" path="m8578,15816l8572,15816,8568,15818,8564,15822,8562,15826,8562,15832,8564,15834,8566,15838,8568,15840,8580,15840,8584,15838,8586,15834,8586,15822,8584,15820,8580,15818,8578,15816xe" filled="true" fillcolor="#999999" stroked="false">
            <v:path arrowok="t"/>
            <v:fill type="solid"/>
          </v:shape>
          <w10:wrap type="none"/>
        </v:group>
      </w:pict>
    </w:r>
    <w:r>
      <w:rPr/>
      <w:drawing>
        <wp:anchor distT="0" distB="0" distL="0" distR="0" allowOverlap="1" layoutInCell="1" locked="0" behindDoc="1" simplePos="0" relativeHeight="245531648">
          <wp:simplePos x="0" y="0"/>
          <wp:positionH relativeFrom="page">
            <wp:posOffset>5596890</wp:posOffset>
          </wp:positionH>
          <wp:positionV relativeFrom="page">
            <wp:posOffset>9963150</wp:posOffset>
          </wp:positionV>
          <wp:extent cx="1082039" cy="123189"/>
          <wp:effectExtent l="0" t="0" r="0" b="0"/>
          <wp:wrapNone/>
          <wp:docPr id="99" name="image4.png"/>
          <wp:cNvGraphicFramePr>
            <a:graphicFrameLocks noChangeAspect="1"/>
          </wp:cNvGraphicFramePr>
          <a:graphic>
            <a:graphicData uri="http://schemas.openxmlformats.org/drawingml/2006/picture">
              <pic:pic>
                <pic:nvPicPr>
                  <pic:cNvPr id="100" name="image4.png"/>
                  <pic:cNvPicPr/>
                </pic:nvPicPr>
                <pic:blipFill>
                  <a:blip r:embed="rId3" cstate="print"/>
                  <a:stretch>
                    <a:fillRect/>
                  </a:stretch>
                </pic:blipFill>
                <pic:spPr>
                  <a:xfrm>
                    <a:off x="0" y="0"/>
                    <a:ext cx="1082039" cy="123189"/>
                  </a:xfrm>
                  <a:prstGeom prst="rect">
                    <a:avLst/>
                  </a:prstGeom>
                </pic:spPr>
              </pic:pic>
            </a:graphicData>
          </a:graphic>
        </wp:anchor>
      </w:drawing>
    </w:r>
    <w:r>
      <w:rPr/>
      <w:pict>
        <v:shape style="position:absolute;margin-left:287.759003pt;margin-top:771.340027pt;width:19.7pt;height:11pt;mso-position-horizontal-relative:page;mso-position-vertical-relative:page;z-index:-257783808" type="#_x0000_t202" filled="false" stroked="false">
          <v:textbox inset="0,0,0,0">
            <w:txbxContent>
              <w:p>
                <w:pPr>
                  <w:spacing w:line="203" w:lineRule="exact" w:before="0"/>
                  <w:ind w:left="60" w:right="0" w:firstLine="0"/>
                  <w:jc w:val="left"/>
                  <w:rPr>
                    <w:rFonts w:ascii="Calibri"/>
                    <w:sz w:val="18"/>
                  </w:rPr>
                </w:pPr>
                <w:r>
                  <w:rPr/>
                  <w:fldChar w:fldCharType="begin"/>
                </w:r>
                <w:r>
                  <w:rPr>
                    <w:rFonts w:ascii="Calibri"/>
                    <w:sz w:val="18"/>
                  </w:rPr>
                  <w:instrText> PAGE </w:instrText>
                </w:r>
                <w:r>
                  <w:rPr/>
                  <w:fldChar w:fldCharType="separate"/>
                </w:r>
                <w:r>
                  <w:rPr/>
                  <w:t>119</w:t>
                </w:r>
                <w:r>
                  <w:rPr/>
                  <w:fldChar w:fldCharType="end"/>
                </w:r>
              </w:p>
            </w:txbxContent>
          </v:textbox>
          <w10:wrap type="none"/>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904640"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903616"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902592"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97472"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96448"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95424"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90304"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89280"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88256"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82112"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81088"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80064"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74944"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73920"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72896"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66752"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65728"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64704"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59584"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58560"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57536"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51392"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50368"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49344"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44224"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43200"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42176"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36032"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35008"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33984"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28864"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27840"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26816"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20672"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19648"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18624"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13504"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12480"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11456"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805312"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804288"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803264"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798144"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797120"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796096"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7789952" from="90pt,55.560024pt" to="505.3pt,55.560024pt" stroked="true" strokeweight=".72pt" strokecolor="#000000">
          <v:stroke dashstyle="solid"/>
          <w10:wrap type="none"/>
        </v:line>
      </w:pict>
    </w:r>
    <w:r>
      <w:rPr/>
      <w:pict>
        <v:shape style="position:absolute;margin-left:89pt;margin-top:42.915649pt;width:110pt;height:11pt;mso-position-horizontal-relative:page;mso-position-vertical-relative:page;z-index:-257788928" type="#_x0000_t202" filled="false" stroked="false">
          <v:textbox inset="0,0,0,0">
            <w:txbxContent>
              <w:p>
                <w:pPr>
                  <w:spacing w:line="220" w:lineRule="exact" w:before="0"/>
                  <w:ind w:left="20" w:right="0" w:firstLine="0"/>
                  <w:jc w:val="left"/>
                  <w:rPr>
                    <w:sz w:val="18"/>
                  </w:rPr>
                </w:pPr>
                <w:r>
                  <w:rPr>
                    <w:sz w:val="18"/>
                  </w:rPr>
                  <w:t>杭州师范大学硕士学位论文</w:t>
                </w:r>
              </w:p>
            </w:txbxContent>
          </v:textbox>
          <w10:wrap type="none"/>
        </v:shape>
      </w:pict>
    </w:r>
    <w:r>
      <w:rPr/>
      <w:pict>
        <v:shape style="position:absolute;margin-left:306.320007pt;margin-top:42.915649pt;width:200pt;height:11pt;mso-position-horizontal-relative:page;mso-position-vertical-relative:page;z-index:-257787904" type="#_x0000_t202" filled="false" stroked="false">
          <v:textbox inset="0,0,0,0">
            <w:txbxContent>
              <w:p>
                <w:pPr>
                  <w:spacing w:line="220" w:lineRule="exact" w:before="0"/>
                  <w:ind w:left="20" w:right="0" w:firstLine="0"/>
                  <w:jc w:val="left"/>
                  <w:rPr>
                    <w:sz w:val="18"/>
                  </w:rPr>
                </w:pPr>
                <w:r>
                  <w:rPr>
                    <w:sz w:val="18"/>
                  </w:rPr>
                  <w:t>基于核心素养观的普通高中生涯规划教育实施研究</w:t>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56">
    <w:multiLevelType w:val="hybridMultilevel"/>
    <w:lvl w:ilvl="0">
      <w:start w:val="6"/>
      <w:numFmt w:val="decimal"/>
      <w:lvlText w:val="（%1）"/>
      <w:lvlJc w:val="left"/>
      <w:pPr>
        <w:ind w:left="1320" w:hanging="601"/>
        <w:jc w:val="left"/>
      </w:pPr>
      <w:rPr>
        <w:rFonts w:hint="default" w:ascii="宋体" w:hAnsi="宋体" w:eastAsia="宋体" w:cs="宋体"/>
        <w:spacing w:val="-19"/>
        <w:w w:val="100"/>
        <w:sz w:val="22"/>
        <w:szCs w:val="22"/>
      </w:rPr>
    </w:lvl>
    <w:lvl w:ilvl="1">
      <w:start w:val="0"/>
      <w:numFmt w:val="bullet"/>
      <w:lvlText w:val="•"/>
      <w:lvlJc w:val="left"/>
      <w:pPr>
        <w:ind w:left="1920" w:hanging="601"/>
      </w:pPr>
      <w:rPr>
        <w:rFonts w:hint="default"/>
      </w:rPr>
    </w:lvl>
    <w:lvl w:ilvl="2">
      <w:start w:val="0"/>
      <w:numFmt w:val="bullet"/>
      <w:lvlText w:val="•"/>
      <w:lvlJc w:val="left"/>
      <w:pPr>
        <w:ind w:left="2951" w:hanging="601"/>
      </w:pPr>
      <w:rPr>
        <w:rFonts w:hint="default"/>
      </w:rPr>
    </w:lvl>
    <w:lvl w:ilvl="3">
      <w:start w:val="0"/>
      <w:numFmt w:val="bullet"/>
      <w:lvlText w:val="•"/>
      <w:lvlJc w:val="left"/>
      <w:pPr>
        <w:ind w:left="3983" w:hanging="601"/>
      </w:pPr>
      <w:rPr>
        <w:rFonts w:hint="default"/>
      </w:rPr>
    </w:lvl>
    <w:lvl w:ilvl="4">
      <w:start w:val="0"/>
      <w:numFmt w:val="bullet"/>
      <w:lvlText w:val="•"/>
      <w:lvlJc w:val="left"/>
      <w:pPr>
        <w:ind w:left="5015" w:hanging="601"/>
      </w:pPr>
      <w:rPr>
        <w:rFonts w:hint="default"/>
      </w:rPr>
    </w:lvl>
    <w:lvl w:ilvl="5">
      <w:start w:val="0"/>
      <w:numFmt w:val="bullet"/>
      <w:lvlText w:val="•"/>
      <w:lvlJc w:val="left"/>
      <w:pPr>
        <w:ind w:left="6047" w:hanging="601"/>
      </w:pPr>
      <w:rPr>
        <w:rFonts w:hint="default"/>
      </w:rPr>
    </w:lvl>
    <w:lvl w:ilvl="6">
      <w:start w:val="0"/>
      <w:numFmt w:val="bullet"/>
      <w:lvlText w:val="•"/>
      <w:lvlJc w:val="left"/>
      <w:pPr>
        <w:ind w:left="7078" w:hanging="601"/>
      </w:pPr>
      <w:rPr>
        <w:rFonts w:hint="default"/>
      </w:rPr>
    </w:lvl>
    <w:lvl w:ilvl="7">
      <w:start w:val="0"/>
      <w:numFmt w:val="bullet"/>
      <w:lvlText w:val="•"/>
      <w:lvlJc w:val="left"/>
      <w:pPr>
        <w:ind w:left="8110" w:hanging="601"/>
      </w:pPr>
      <w:rPr>
        <w:rFonts w:hint="default"/>
      </w:rPr>
    </w:lvl>
    <w:lvl w:ilvl="8">
      <w:start w:val="0"/>
      <w:numFmt w:val="bullet"/>
      <w:lvlText w:val="•"/>
      <w:lvlJc w:val="left"/>
      <w:pPr>
        <w:ind w:left="9142" w:hanging="601"/>
      </w:pPr>
      <w:rPr>
        <w:rFonts w:hint="default"/>
      </w:rPr>
    </w:lvl>
  </w:abstractNum>
  <w:abstractNum w:abstractNumId="55">
    <w:multiLevelType w:val="hybridMultilevel"/>
    <w:lvl w:ilvl="0">
      <w:start w:val="1"/>
      <w:numFmt w:val="decimal"/>
      <w:lvlText w:val="%1."/>
      <w:lvlJc w:val="left"/>
      <w:pPr>
        <w:ind w:left="1680" w:hanging="360"/>
        <w:jc w:val="left"/>
      </w:pPr>
      <w:rPr>
        <w:rFonts w:hint="default" w:ascii="宋体" w:hAnsi="宋体" w:eastAsia="宋体" w:cs="宋体"/>
        <w:w w:val="100"/>
        <w:sz w:val="24"/>
        <w:szCs w:val="24"/>
      </w:rPr>
    </w:lvl>
    <w:lvl w:ilvl="1">
      <w:start w:val="0"/>
      <w:numFmt w:val="bullet"/>
      <w:lvlText w:val="•"/>
      <w:lvlJc w:val="left"/>
      <w:pPr>
        <w:ind w:left="2632" w:hanging="360"/>
      </w:pPr>
      <w:rPr>
        <w:rFonts w:hint="default"/>
      </w:rPr>
    </w:lvl>
    <w:lvl w:ilvl="2">
      <w:start w:val="0"/>
      <w:numFmt w:val="bullet"/>
      <w:lvlText w:val="•"/>
      <w:lvlJc w:val="left"/>
      <w:pPr>
        <w:ind w:left="3585" w:hanging="360"/>
      </w:pPr>
      <w:rPr>
        <w:rFonts w:hint="default"/>
      </w:rPr>
    </w:lvl>
    <w:lvl w:ilvl="3">
      <w:start w:val="0"/>
      <w:numFmt w:val="bullet"/>
      <w:lvlText w:val="•"/>
      <w:lvlJc w:val="left"/>
      <w:pPr>
        <w:ind w:left="4537" w:hanging="360"/>
      </w:pPr>
      <w:rPr>
        <w:rFonts w:hint="default"/>
      </w:rPr>
    </w:lvl>
    <w:lvl w:ilvl="4">
      <w:start w:val="0"/>
      <w:numFmt w:val="bullet"/>
      <w:lvlText w:val="•"/>
      <w:lvlJc w:val="left"/>
      <w:pPr>
        <w:ind w:left="5490" w:hanging="360"/>
      </w:pPr>
      <w:rPr>
        <w:rFonts w:hint="default"/>
      </w:rPr>
    </w:lvl>
    <w:lvl w:ilvl="5">
      <w:start w:val="0"/>
      <w:numFmt w:val="bullet"/>
      <w:lvlText w:val="•"/>
      <w:lvlJc w:val="left"/>
      <w:pPr>
        <w:ind w:left="6443" w:hanging="360"/>
      </w:pPr>
      <w:rPr>
        <w:rFonts w:hint="default"/>
      </w:rPr>
    </w:lvl>
    <w:lvl w:ilvl="6">
      <w:start w:val="0"/>
      <w:numFmt w:val="bullet"/>
      <w:lvlText w:val="•"/>
      <w:lvlJc w:val="left"/>
      <w:pPr>
        <w:ind w:left="7395" w:hanging="360"/>
      </w:pPr>
      <w:rPr>
        <w:rFonts w:hint="default"/>
      </w:rPr>
    </w:lvl>
    <w:lvl w:ilvl="7">
      <w:start w:val="0"/>
      <w:numFmt w:val="bullet"/>
      <w:lvlText w:val="•"/>
      <w:lvlJc w:val="left"/>
      <w:pPr>
        <w:ind w:left="8348" w:hanging="360"/>
      </w:pPr>
      <w:rPr>
        <w:rFonts w:hint="default"/>
      </w:rPr>
    </w:lvl>
    <w:lvl w:ilvl="8">
      <w:start w:val="0"/>
      <w:numFmt w:val="bullet"/>
      <w:lvlText w:val="•"/>
      <w:lvlJc w:val="left"/>
      <w:pPr>
        <w:ind w:left="9300" w:hanging="360"/>
      </w:pPr>
      <w:rPr>
        <w:rFonts w:hint="default"/>
      </w:rPr>
    </w:lvl>
  </w:abstractNum>
  <w:abstractNum w:abstractNumId="54">
    <w:multiLevelType w:val="hybridMultilevel"/>
    <w:lvl w:ilvl="0">
      <w:start w:val="6"/>
      <w:numFmt w:val="decimal"/>
      <w:lvlText w:val="（%1）"/>
      <w:lvlJc w:val="left"/>
      <w:pPr>
        <w:ind w:left="1320" w:hanging="601"/>
        <w:jc w:val="left"/>
      </w:pPr>
      <w:rPr>
        <w:rFonts w:hint="default" w:ascii="宋体" w:hAnsi="宋体" w:eastAsia="宋体" w:cs="宋体"/>
        <w:spacing w:val="-19"/>
        <w:w w:val="100"/>
        <w:sz w:val="22"/>
        <w:szCs w:val="22"/>
      </w:rPr>
    </w:lvl>
    <w:lvl w:ilvl="1">
      <w:start w:val="0"/>
      <w:numFmt w:val="bullet"/>
      <w:lvlText w:val="•"/>
      <w:lvlJc w:val="left"/>
      <w:pPr>
        <w:ind w:left="2308" w:hanging="601"/>
      </w:pPr>
      <w:rPr>
        <w:rFonts w:hint="default"/>
      </w:rPr>
    </w:lvl>
    <w:lvl w:ilvl="2">
      <w:start w:val="0"/>
      <w:numFmt w:val="bullet"/>
      <w:lvlText w:val="•"/>
      <w:lvlJc w:val="left"/>
      <w:pPr>
        <w:ind w:left="3297" w:hanging="601"/>
      </w:pPr>
      <w:rPr>
        <w:rFonts w:hint="default"/>
      </w:rPr>
    </w:lvl>
    <w:lvl w:ilvl="3">
      <w:start w:val="0"/>
      <w:numFmt w:val="bullet"/>
      <w:lvlText w:val="•"/>
      <w:lvlJc w:val="left"/>
      <w:pPr>
        <w:ind w:left="4285" w:hanging="601"/>
      </w:pPr>
      <w:rPr>
        <w:rFonts w:hint="default"/>
      </w:rPr>
    </w:lvl>
    <w:lvl w:ilvl="4">
      <w:start w:val="0"/>
      <w:numFmt w:val="bullet"/>
      <w:lvlText w:val="•"/>
      <w:lvlJc w:val="left"/>
      <w:pPr>
        <w:ind w:left="5274" w:hanging="601"/>
      </w:pPr>
      <w:rPr>
        <w:rFonts w:hint="default"/>
      </w:rPr>
    </w:lvl>
    <w:lvl w:ilvl="5">
      <w:start w:val="0"/>
      <w:numFmt w:val="bullet"/>
      <w:lvlText w:val="•"/>
      <w:lvlJc w:val="left"/>
      <w:pPr>
        <w:ind w:left="6263" w:hanging="601"/>
      </w:pPr>
      <w:rPr>
        <w:rFonts w:hint="default"/>
      </w:rPr>
    </w:lvl>
    <w:lvl w:ilvl="6">
      <w:start w:val="0"/>
      <w:numFmt w:val="bullet"/>
      <w:lvlText w:val="•"/>
      <w:lvlJc w:val="left"/>
      <w:pPr>
        <w:ind w:left="7251" w:hanging="601"/>
      </w:pPr>
      <w:rPr>
        <w:rFonts w:hint="default"/>
      </w:rPr>
    </w:lvl>
    <w:lvl w:ilvl="7">
      <w:start w:val="0"/>
      <w:numFmt w:val="bullet"/>
      <w:lvlText w:val="•"/>
      <w:lvlJc w:val="left"/>
      <w:pPr>
        <w:ind w:left="8240" w:hanging="601"/>
      </w:pPr>
      <w:rPr>
        <w:rFonts w:hint="default"/>
      </w:rPr>
    </w:lvl>
    <w:lvl w:ilvl="8">
      <w:start w:val="0"/>
      <w:numFmt w:val="bullet"/>
      <w:lvlText w:val="•"/>
      <w:lvlJc w:val="left"/>
      <w:pPr>
        <w:ind w:left="9228" w:hanging="601"/>
      </w:pPr>
      <w:rPr>
        <w:rFonts w:hint="default"/>
      </w:rPr>
    </w:lvl>
  </w:abstractNum>
  <w:abstractNum w:abstractNumId="53">
    <w:multiLevelType w:val="hybridMultilevel"/>
    <w:lvl w:ilvl="0">
      <w:start w:val="0"/>
      <w:numFmt w:val="bullet"/>
      <w:lvlText w:val=""/>
      <w:lvlJc w:val="left"/>
      <w:pPr>
        <w:ind w:left="1740" w:hanging="420"/>
      </w:pPr>
      <w:rPr>
        <w:rFonts w:hint="default" w:ascii="Wingdings" w:hAnsi="Wingdings" w:eastAsia="Wingdings" w:cs="Wingdings"/>
        <w:w w:val="100"/>
        <w:sz w:val="24"/>
        <w:szCs w:val="24"/>
      </w:rPr>
    </w:lvl>
    <w:lvl w:ilvl="1">
      <w:start w:val="0"/>
      <w:numFmt w:val="bullet"/>
      <w:lvlText w:val="•"/>
      <w:lvlJc w:val="left"/>
      <w:pPr>
        <w:ind w:left="2686" w:hanging="420"/>
      </w:pPr>
      <w:rPr>
        <w:rFonts w:hint="default"/>
      </w:rPr>
    </w:lvl>
    <w:lvl w:ilvl="2">
      <w:start w:val="0"/>
      <w:numFmt w:val="bullet"/>
      <w:lvlText w:val="•"/>
      <w:lvlJc w:val="left"/>
      <w:pPr>
        <w:ind w:left="3633" w:hanging="420"/>
      </w:pPr>
      <w:rPr>
        <w:rFonts w:hint="default"/>
      </w:rPr>
    </w:lvl>
    <w:lvl w:ilvl="3">
      <w:start w:val="0"/>
      <w:numFmt w:val="bullet"/>
      <w:lvlText w:val="•"/>
      <w:lvlJc w:val="left"/>
      <w:pPr>
        <w:ind w:left="4579" w:hanging="420"/>
      </w:pPr>
      <w:rPr>
        <w:rFonts w:hint="default"/>
      </w:rPr>
    </w:lvl>
    <w:lvl w:ilvl="4">
      <w:start w:val="0"/>
      <w:numFmt w:val="bullet"/>
      <w:lvlText w:val="•"/>
      <w:lvlJc w:val="left"/>
      <w:pPr>
        <w:ind w:left="5526" w:hanging="420"/>
      </w:pPr>
      <w:rPr>
        <w:rFonts w:hint="default"/>
      </w:rPr>
    </w:lvl>
    <w:lvl w:ilvl="5">
      <w:start w:val="0"/>
      <w:numFmt w:val="bullet"/>
      <w:lvlText w:val="•"/>
      <w:lvlJc w:val="left"/>
      <w:pPr>
        <w:ind w:left="6473" w:hanging="420"/>
      </w:pPr>
      <w:rPr>
        <w:rFonts w:hint="default"/>
      </w:rPr>
    </w:lvl>
    <w:lvl w:ilvl="6">
      <w:start w:val="0"/>
      <w:numFmt w:val="bullet"/>
      <w:lvlText w:val="•"/>
      <w:lvlJc w:val="left"/>
      <w:pPr>
        <w:ind w:left="7419" w:hanging="420"/>
      </w:pPr>
      <w:rPr>
        <w:rFonts w:hint="default"/>
      </w:rPr>
    </w:lvl>
    <w:lvl w:ilvl="7">
      <w:start w:val="0"/>
      <w:numFmt w:val="bullet"/>
      <w:lvlText w:val="•"/>
      <w:lvlJc w:val="left"/>
      <w:pPr>
        <w:ind w:left="8366" w:hanging="420"/>
      </w:pPr>
      <w:rPr>
        <w:rFonts w:hint="default"/>
      </w:rPr>
    </w:lvl>
    <w:lvl w:ilvl="8">
      <w:start w:val="0"/>
      <w:numFmt w:val="bullet"/>
      <w:lvlText w:val="•"/>
      <w:lvlJc w:val="left"/>
      <w:pPr>
        <w:ind w:left="9312" w:hanging="420"/>
      </w:pPr>
      <w:rPr>
        <w:rFonts w:hint="default"/>
      </w:rPr>
    </w:lvl>
  </w:abstractNum>
  <w:abstractNum w:abstractNumId="52">
    <w:multiLevelType w:val="hybridMultilevel"/>
    <w:lvl w:ilvl="0">
      <w:start w:val="1"/>
      <w:numFmt w:val="decimal"/>
      <w:lvlText w:val="[%1]"/>
      <w:lvlJc w:val="left"/>
      <w:pPr>
        <w:ind w:left="1320" w:hanging="399"/>
        <w:jc w:val="left"/>
      </w:pPr>
      <w:rPr>
        <w:rFonts w:hint="default" w:ascii="Times New Roman" w:hAnsi="Times New Roman" w:eastAsia="Times New Roman" w:cs="Times New Roman"/>
        <w:spacing w:val="-27"/>
        <w:w w:val="100"/>
        <w:sz w:val="24"/>
        <w:szCs w:val="24"/>
      </w:rPr>
    </w:lvl>
    <w:lvl w:ilvl="1">
      <w:start w:val="0"/>
      <w:numFmt w:val="bullet"/>
      <w:lvlText w:val="•"/>
      <w:lvlJc w:val="left"/>
      <w:pPr>
        <w:ind w:left="2308" w:hanging="399"/>
      </w:pPr>
      <w:rPr>
        <w:rFonts w:hint="default"/>
      </w:rPr>
    </w:lvl>
    <w:lvl w:ilvl="2">
      <w:start w:val="0"/>
      <w:numFmt w:val="bullet"/>
      <w:lvlText w:val="•"/>
      <w:lvlJc w:val="left"/>
      <w:pPr>
        <w:ind w:left="3297" w:hanging="399"/>
      </w:pPr>
      <w:rPr>
        <w:rFonts w:hint="default"/>
      </w:rPr>
    </w:lvl>
    <w:lvl w:ilvl="3">
      <w:start w:val="0"/>
      <w:numFmt w:val="bullet"/>
      <w:lvlText w:val="•"/>
      <w:lvlJc w:val="left"/>
      <w:pPr>
        <w:ind w:left="4285" w:hanging="399"/>
      </w:pPr>
      <w:rPr>
        <w:rFonts w:hint="default"/>
      </w:rPr>
    </w:lvl>
    <w:lvl w:ilvl="4">
      <w:start w:val="0"/>
      <w:numFmt w:val="bullet"/>
      <w:lvlText w:val="•"/>
      <w:lvlJc w:val="left"/>
      <w:pPr>
        <w:ind w:left="5274" w:hanging="399"/>
      </w:pPr>
      <w:rPr>
        <w:rFonts w:hint="default"/>
      </w:rPr>
    </w:lvl>
    <w:lvl w:ilvl="5">
      <w:start w:val="0"/>
      <w:numFmt w:val="bullet"/>
      <w:lvlText w:val="•"/>
      <w:lvlJc w:val="left"/>
      <w:pPr>
        <w:ind w:left="6263" w:hanging="399"/>
      </w:pPr>
      <w:rPr>
        <w:rFonts w:hint="default"/>
      </w:rPr>
    </w:lvl>
    <w:lvl w:ilvl="6">
      <w:start w:val="0"/>
      <w:numFmt w:val="bullet"/>
      <w:lvlText w:val="•"/>
      <w:lvlJc w:val="left"/>
      <w:pPr>
        <w:ind w:left="7251" w:hanging="399"/>
      </w:pPr>
      <w:rPr>
        <w:rFonts w:hint="default"/>
      </w:rPr>
    </w:lvl>
    <w:lvl w:ilvl="7">
      <w:start w:val="0"/>
      <w:numFmt w:val="bullet"/>
      <w:lvlText w:val="•"/>
      <w:lvlJc w:val="left"/>
      <w:pPr>
        <w:ind w:left="8240" w:hanging="399"/>
      </w:pPr>
      <w:rPr>
        <w:rFonts w:hint="default"/>
      </w:rPr>
    </w:lvl>
    <w:lvl w:ilvl="8">
      <w:start w:val="0"/>
      <w:numFmt w:val="bullet"/>
      <w:lvlText w:val="•"/>
      <w:lvlJc w:val="left"/>
      <w:pPr>
        <w:ind w:left="9228" w:hanging="399"/>
      </w:pPr>
      <w:rPr>
        <w:rFonts w:hint="default"/>
      </w:rPr>
    </w:lvl>
  </w:abstractNum>
  <w:abstractNum w:abstractNumId="51">
    <w:multiLevelType w:val="hybridMultilevel"/>
    <w:lvl w:ilvl="0">
      <w:start w:val="11"/>
      <w:numFmt w:val="decimal"/>
      <w:lvlText w:val="[%1]"/>
      <w:lvlJc w:val="left"/>
      <w:pPr>
        <w:ind w:left="1828" w:hanging="509"/>
        <w:jc w:val="left"/>
      </w:pPr>
      <w:rPr>
        <w:rFonts w:hint="default" w:ascii="Times New Roman" w:hAnsi="Times New Roman" w:eastAsia="Times New Roman" w:cs="Times New Roman"/>
        <w:spacing w:val="-24"/>
        <w:w w:val="100"/>
        <w:sz w:val="24"/>
        <w:szCs w:val="24"/>
      </w:rPr>
    </w:lvl>
    <w:lvl w:ilvl="1">
      <w:start w:val="0"/>
      <w:numFmt w:val="bullet"/>
      <w:lvlText w:val="•"/>
      <w:lvlJc w:val="left"/>
      <w:pPr>
        <w:ind w:left="2758" w:hanging="509"/>
      </w:pPr>
      <w:rPr>
        <w:rFonts w:hint="default"/>
      </w:rPr>
    </w:lvl>
    <w:lvl w:ilvl="2">
      <w:start w:val="0"/>
      <w:numFmt w:val="bullet"/>
      <w:lvlText w:val="•"/>
      <w:lvlJc w:val="left"/>
      <w:pPr>
        <w:ind w:left="3697" w:hanging="509"/>
      </w:pPr>
      <w:rPr>
        <w:rFonts w:hint="default"/>
      </w:rPr>
    </w:lvl>
    <w:lvl w:ilvl="3">
      <w:start w:val="0"/>
      <w:numFmt w:val="bullet"/>
      <w:lvlText w:val="•"/>
      <w:lvlJc w:val="left"/>
      <w:pPr>
        <w:ind w:left="4635" w:hanging="509"/>
      </w:pPr>
      <w:rPr>
        <w:rFonts w:hint="default"/>
      </w:rPr>
    </w:lvl>
    <w:lvl w:ilvl="4">
      <w:start w:val="0"/>
      <w:numFmt w:val="bullet"/>
      <w:lvlText w:val="•"/>
      <w:lvlJc w:val="left"/>
      <w:pPr>
        <w:ind w:left="5574" w:hanging="509"/>
      </w:pPr>
      <w:rPr>
        <w:rFonts w:hint="default"/>
      </w:rPr>
    </w:lvl>
    <w:lvl w:ilvl="5">
      <w:start w:val="0"/>
      <w:numFmt w:val="bullet"/>
      <w:lvlText w:val="•"/>
      <w:lvlJc w:val="left"/>
      <w:pPr>
        <w:ind w:left="6513" w:hanging="509"/>
      </w:pPr>
      <w:rPr>
        <w:rFonts w:hint="default"/>
      </w:rPr>
    </w:lvl>
    <w:lvl w:ilvl="6">
      <w:start w:val="0"/>
      <w:numFmt w:val="bullet"/>
      <w:lvlText w:val="•"/>
      <w:lvlJc w:val="left"/>
      <w:pPr>
        <w:ind w:left="7451" w:hanging="509"/>
      </w:pPr>
      <w:rPr>
        <w:rFonts w:hint="default"/>
      </w:rPr>
    </w:lvl>
    <w:lvl w:ilvl="7">
      <w:start w:val="0"/>
      <w:numFmt w:val="bullet"/>
      <w:lvlText w:val="•"/>
      <w:lvlJc w:val="left"/>
      <w:pPr>
        <w:ind w:left="8390" w:hanging="509"/>
      </w:pPr>
      <w:rPr>
        <w:rFonts w:hint="default"/>
      </w:rPr>
    </w:lvl>
    <w:lvl w:ilvl="8">
      <w:start w:val="0"/>
      <w:numFmt w:val="bullet"/>
      <w:lvlText w:val="•"/>
      <w:lvlJc w:val="left"/>
      <w:pPr>
        <w:ind w:left="9328" w:hanging="509"/>
      </w:pPr>
      <w:rPr>
        <w:rFonts w:hint="default"/>
      </w:rPr>
    </w:lvl>
  </w:abstractNum>
  <w:abstractNum w:abstractNumId="50">
    <w:multiLevelType w:val="hybridMultilevel"/>
    <w:lvl w:ilvl="0">
      <w:start w:val="1"/>
      <w:numFmt w:val="decimal"/>
      <w:lvlText w:val="[%1]"/>
      <w:lvlJc w:val="left"/>
      <w:pPr>
        <w:ind w:left="1718" w:hanging="399"/>
        <w:jc w:val="left"/>
      </w:pPr>
      <w:rPr>
        <w:rFonts w:hint="default" w:ascii="Times New Roman" w:hAnsi="Times New Roman" w:eastAsia="Times New Roman" w:cs="Times New Roman"/>
        <w:spacing w:val="-4"/>
        <w:w w:val="100"/>
        <w:sz w:val="24"/>
        <w:szCs w:val="24"/>
      </w:rPr>
    </w:lvl>
    <w:lvl w:ilvl="1">
      <w:start w:val="0"/>
      <w:numFmt w:val="bullet"/>
      <w:lvlText w:val="•"/>
      <w:lvlJc w:val="left"/>
      <w:pPr>
        <w:ind w:left="2668" w:hanging="399"/>
      </w:pPr>
      <w:rPr>
        <w:rFonts w:hint="default"/>
      </w:rPr>
    </w:lvl>
    <w:lvl w:ilvl="2">
      <w:start w:val="0"/>
      <w:numFmt w:val="bullet"/>
      <w:lvlText w:val="•"/>
      <w:lvlJc w:val="left"/>
      <w:pPr>
        <w:ind w:left="3617" w:hanging="399"/>
      </w:pPr>
      <w:rPr>
        <w:rFonts w:hint="default"/>
      </w:rPr>
    </w:lvl>
    <w:lvl w:ilvl="3">
      <w:start w:val="0"/>
      <w:numFmt w:val="bullet"/>
      <w:lvlText w:val="•"/>
      <w:lvlJc w:val="left"/>
      <w:pPr>
        <w:ind w:left="4565" w:hanging="399"/>
      </w:pPr>
      <w:rPr>
        <w:rFonts w:hint="default"/>
      </w:rPr>
    </w:lvl>
    <w:lvl w:ilvl="4">
      <w:start w:val="0"/>
      <w:numFmt w:val="bullet"/>
      <w:lvlText w:val="•"/>
      <w:lvlJc w:val="left"/>
      <w:pPr>
        <w:ind w:left="5514" w:hanging="399"/>
      </w:pPr>
      <w:rPr>
        <w:rFonts w:hint="default"/>
      </w:rPr>
    </w:lvl>
    <w:lvl w:ilvl="5">
      <w:start w:val="0"/>
      <w:numFmt w:val="bullet"/>
      <w:lvlText w:val="•"/>
      <w:lvlJc w:val="left"/>
      <w:pPr>
        <w:ind w:left="6463" w:hanging="399"/>
      </w:pPr>
      <w:rPr>
        <w:rFonts w:hint="default"/>
      </w:rPr>
    </w:lvl>
    <w:lvl w:ilvl="6">
      <w:start w:val="0"/>
      <w:numFmt w:val="bullet"/>
      <w:lvlText w:val="•"/>
      <w:lvlJc w:val="left"/>
      <w:pPr>
        <w:ind w:left="7411" w:hanging="399"/>
      </w:pPr>
      <w:rPr>
        <w:rFonts w:hint="default"/>
      </w:rPr>
    </w:lvl>
    <w:lvl w:ilvl="7">
      <w:start w:val="0"/>
      <w:numFmt w:val="bullet"/>
      <w:lvlText w:val="•"/>
      <w:lvlJc w:val="left"/>
      <w:pPr>
        <w:ind w:left="8360" w:hanging="399"/>
      </w:pPr>
      <w:rPr>
        <w:rFonts w:hint="default"/>
      </w:rPr>
    </w:lvl>
    <w:lvl w:ilvl="8">
      <w:start w:val="0"/>
      <w:numFmt w:val="bullet"/>
      <w:lvlText w:val="•"/>
      <w:lvlJc w:val="left"/>
      <w:pPr>
        <w:ind w:left="9308" w:hanging="399"/>
      </w:pPr>
      <w:rPr>
        <w:rFonts w:hint="default"/>
      </w:rPr>
    </w:lvl>
  </w:abstractNum>
  <w:abstractNum w:abstractNumId="49">
    <w:multiLevelType w:val="hybridMultilevel"/>
    <w:lvl w:ilvl="0">
      <w:start w:val="1"/>
      <w:numFmt w:val="decimal"/>
      <w:lvlText w:val="%1."/>
      <w:lvlJc w:val="left"/>
      <w:pPr>
        <w:ind w:left="817" w:hanging="181"/>
        <w:jc w:val="left"/>
      </w:pPr>
      <w:rPr>
        <w:rFonts w:hint="default" w:ascii="Times New Roman" w:hAnsi="Times New Roman" w:eastAsia="Times New Roman" w:cs="Times New Roman"/>
        <w:w w:val="100"/>
        <w:sz w:val="22"/>
        <w:szCs w:val="22"/>
      </w:rPr>
    </w:lvl>
    <w:lvl w:ilvl="1">
      <w:start w:val="0"/>
      <w:numFmt w:val="bullet"/>
      <w:lvlText w:val="•"/>
      <w:lvlJc w:val="left"/>
      <w:pPr>
        <w:ind w:left="1570" w:hanging="181"/>
      </w:pPr>
      <w:rPr>
        <w:rFonts w:hint="default"/>
      </w:rPr>
    </w:lvl>
    <w:lvl w:ilvl="2">
      <w:start w:val="0"/>
      <w:numFmt w:val="bullet"/>
      <w:lvlText w:val="•"/>
      <w:lvlJc w:val="left"/>
      <w:pPr>
        <w:ind w:left="2321" w:hanging="181"/>
      </w:pPr>
      <w:rPr>
        <w:rFonts w:hint="default"/>
      </w:rPr>
    </w:lvl>
    <w:lvl w:ilvl="3">
      <w:start w:val="0"/>
      <w:numFmt w:val="bullet"/>
      <w:lvlText w:val="•"/>
      <w:lvlJc w:val="left"/>
      <w:pPr>
        <w:ind w:left="3072" w:hanging="181"/>
      </w:pPr>
      <w:rPr>
        <w:rFonts w:hint="default"/>
      </w:rPr>
    </w:lvl>
    <w:lvl w:ilvl="4">
      <w:start w:val="0"/>
      <w:numFmt w:val="bullet"/>
      <w:lvlText w:val="•"/>
      <w:lvlJc w:val="left"/>
      <w:pPr>
        <w:ind w:left="3823" w:hanging="181"/>
      </w:pPr>
      <w:rPr>
        <w:rFonts w:hint="default"/>
      </w:rPr>
    </w:lvl>
    <w:lvl w:ilvl="5">
      <w:start w:val="0"/>
      <w:numFmt w:val="bullet"/>
      <w:lvlText w:val="•"/>
      <w:lvlJc w:val="left"/>
      <w:pPr>
        <w:ind w:left="4574" w:hanging="181"/>
      </w:pPr>
      <w:rPr>
        <w:rFonts w:hint="default"/>
      </w:rPr>
    </w:lvl>
    <w:lvl w:ilvl="6">
      <w:start w:val="0"/>
      <w:numFmt w:val="bullet"/>
      <w:lvlText w:val="•"/>
      <w:lvlJc w:val="left"/>
      <w:pPr>
        <w:ind w:left="5324" w:hanging="181"/>
      </w:pPr>
      <w:rPr>
        <w:rFonts w:hint="default"/>
      </w:rPr>
    </w:lvl>
    <w:lvl w:ilvl="7">
      <w:start w:val="0"/>
      <w:numFmt w:val="bullet"/>
      <w:lvlText w:val="•"/>
      <w:lvlJc w:val="left"/>
      <w:pPr>
        <w:ind w:left="6075" w:hanging="181"/>
      </w:pPr>
      <w:rPr>
        <w:rFonts w:hint="default"/>
      </w:rPr>
    </w:lvl>
    <w:lvl w:ilvl="8">
      <w:start w:val="0"/>
      <w:numFmt w:val="bullet"/>
      <w:lvlText w:val="•"/>
      <w:lvlJc w:val="left"/>
      <w:pPr>
        <w:ind w:left="6826" w:hanging="181"/>
      </w:pPr>
      <w:rPr>
        <w:rFonts w:hint="default"/>
      </w:rPr>
    </w:lvl>
  </w:abstractNum>
  <w:abstractNum w:abstractNumId="48">
    <w:multiLevelType w:val="hybridMultilevel"/>
    <w:lvl w:ilvl="0">
      <w:start w:val="1"/>
      <w:numFmt w:val="decimal"/>
      <w:lvlText w:val="[%1]"/>
      <w:lvlJc w:val="left"/>
      <w:pPr>
        <w:ind w:left="1320" w:hanging="300"/>
        <w:jc w:val="left"/>
      </w:pPr>
      <w:rPr>
        <w:rFonts w:hint="default" w:ascii="Times New Roman" w:hAnsi="Times New Roman" w:eastAsia="Times New Roman" w:cs="Times New Roman"/>
        <w:spacing w:val="-2"/>
        <w:w w:val="104"/>
        <w:position w:val="8"/>
        <w:sz w:val="15"/>
        <w:szCs w:val="15"/>
      </w:rPr>
    </w:lvl>
    <w:lvl w:ilvl="1">
      <w:start w:val="1"/>
      <w:numFmt w:val="decimal"/>
      <w:lvlText w:val="（%2）"/>
      <w:lvlJc w:val="left"/>
      <w:pPr>
        <w:ind w:left="1320" w:hanging="601"/>
        <w:jc w:val="left"/>
      </w:pPr>
      <w:rPr>
        <w:rFonts w:hint="default" w:ascii="宋体" w:hAnsi="宋体" w:eastAsia="宋体" w:cs="宋体"/>
        <w:w w:val="100"/>
        <w:sz w:val="22"/>
        <w:szCs w:val="22"/>
      </w:rPr>
    </w:lvl>
    <w:lvl w:ilvl="2">
      <w:start w:val="0"/>
      <w:numFmt w:val="bullet"/>
      <w:lvlText w:val="•"/>
      <w:lvlJc w:val="left"/>
      <w:pPr>
        <w:ind w:left="3297" w:hanging="601"/>
      </w:pPr>
      <w:rPr>
        <w:rFonts w:hint="default"/>
      </w:rPr>
    </w:lvl>
    <w:lvl w:ilvl="3">
      <w:start w:val="0"/>
      <w:numFmt w:val="bullet"/>
      <w:lvlText w:val="•"/>
      <w:lvlJc w:val="left"/>
      <w:pPr>
        <w:ind w:left="4285" w:hanging="601"/>
      </w:pPr>
      <w:rPr>
        <w:rFonts w:hint="default"/>
      </w:rPr>
    </w:lvl>
    <w:lvl w:ilvl="4">
      <w:start w:val="0"/>
      <w:numFmt w:val="bullet"/>
      <w:lvlText w:val="•"/>
      <w:lvlJc w:val="left"/>
      <w:pPr>
        <w:ind w:left="5274" w:hanging="601"/>
      </w:pPr>
      <w:rPr>
        <w:rFonts w:hint="default"/>
      </w:rPr>
    </w:lvl>
    <w:lvl w:ilvl="5">
      <w:start w:val="0"/>
      <w:numFmt w:val="bullet"/>
      <w:lvlText w:val="•"/>
      <w:lvlJc w:val="left"/>
      <w:pPr>
        <w:ind w:left="6263" w:hanging="601"/>
      </w:pPr>
      <w:rPr>
        <w:rFonts w:hint="default"/>
      </w:rPr>
    </w:lvl>
    <w:lvl w:ilvl="6">
      <w:start w:val="0"/>
      <w:numFmt w:val="bullet"/>
      <w:lvlText w:val="•"/>
      <w:lvlJc w:val="left"/>
      <w:pPr>
        <w:ind w:left="7251" w:hanging="601"/>
      </w:pPr>
      <w:rPr>
        <w:rFonts w:hint="default"/>
      </w:rPr>
    </w:lvl>
    <w:lvl w:ilvl="7">
      <w:start w:val="0"/>
      <w:numFmt w:val="bullet"/>
      <w:lvlText w:val="•"/>
      <w:lvlJc w:val="left"/>
      <w:pPr>
        <w:ind w:left="8240" w:hanging="601"/>
      </w:pPr>
      <w:rPr>
        <w:rFonts w:hint="default"/>
      </w:rPr>
    </w:lvl>
    <w:lvl w:ilvl="8">
      <w:start w:val="0"/>
      <w:numFmt w:val="bullet"/>
      <w:lvlText w:val="•"/>
      <w:lvlJc w:val="left"/>
      <w:pPr>
        <w:ind w:left="9228" w:hanging="601"/>
      </w:pPr>
      <w:rPr>
        <w:rFonts w:hint="default"/>
      </w:rPr>
    </w:lvl>
  </w:abstractNum>
  <w:abstractNum w:abstractNumId="47">
    <w:multiLevelType w:val="hybridMultilevel"/>
    <w:lvl w:ilvl="0">
      <w:start w:val="1"/>
      <w:numFmt w:val="decimal"/>
      <w:lvlText w:val="%1."/>
      <w:lvlJc w:val="left"/>
      <w:pPr>
        <w:ind w:left="2100" w:hanging="300"/>
        <w:jc w:val="left"/>
      </w:pPr>
      <w:rPr>
        <w:rFonts w:hint="default" w:ascii="Times New Roman" w:hAnsi="Times New Roman" w:eastAsia="Times New Roman" w:cs="Times New Roman"/>
        <w:w w:val="100"/>
        <w:sz w:val="24"/>
        <w:szCs w:val="24"/>
      </w:rPr>
    </w:lvl>
    <w:lvl w:ilvl="1">
      <w:start w:val="0"/>
      <w:numFmt w:val="bullet"/>
      <w:lvlText w:val="•"/>
      <w:lvlJc w:val="left"/>
      <w:pPr>
        <w:ind w:left="3010" w:hanging="300"/>
      </w:pPr>
      <w:rPr>
        <w:rFonts w:hint="default"/>
      </w:rPr>
    </w:lvl>
    <w:lvl w:ilvl="2">
      <w:start w:val="0"/>
      <w:numFmt w:val="bullet"/>
      <w:lvlText w:val="•"/>
      <w:lvlJc w:val="left"/>
      <w:pPr>
        <w:ind w:left="3921" w:hanging="300"/>
      </w:pPr>
      <w:rPr>
        <w:rFonts w:hint="default"/>
      </w:rPr>
    </w:lvl>
    <w:lvl w:ilvl="3">
      <w:start w:val="0"/>
      <w:numFmt w:val="bullet"/>
      <w:lvlText w:val="•"/>
      <w:lvlJc w:val="left"/>
      <w:pPr>
        <w:ind w:left="4831" w:hanging="300"/>
      </w:pPr>
      <w:rPr>
        <w:rFonts w:hint="default"/>
      </w:rPr>
    </w:lvl>
    <w:lvl w:ilvl="4">
      <w:start w:val="0"/>
      <w:numFmt w:val="bullet"/>
      <w:lvlText w:val="•"/>
      <w:lvlJc w:val="left"/>
      <w:pPr>
        <w:ind w:left="5742" w:hanging="300"/>
      </w:pPr>
      <w:rPr>
        <w:rFonts w:hint="default"/>
      </w:rPr>
    </w:lvl>
    <w:lvl w:ilvl="5">
      <w:start w:val="0"/>
      <w:numFmt w:val="bullet"/>
      <w:lvlText w:val="•"/>
      <w:lvlJc w:val="left"/>
      <w:pPr>
        <w:ind w:left="6653" w:hanging="300"/>
      </w:pPr>
      <w:rPr>
        <w:rFonts w:hint="default"/>
      </w:rPr>
    </w:lvl>
    <w:lvl w:ilvl="6">
      <w:start w:val="0"/>
      <w:numFmt w:val="bullet"/>
      <w:lvlText w:val="•"/>
      <w:lvlJc w:val="left"/>
      <w:pPr>
        <w:ind w:left="7563" w:hanging="300"/>
      </w:pPr>
      <w:rPr>
        <w:rFonts w:hint="default"/>
      </w:rPr>
    </w:lvl>
    <w:lvl w:ilvl="7">
      <w:start w:val="0"/>
      <w:numFmt w:val="bullet"/>
      <w:lvlText w:val="•"/>
      <w:lvlJc w:val="left"/>
      <w:pPr>
        <w:ind w:left="8474" w:hanging="300"/>
      </w:pPr>
      <w:rPr>
        <w:rFonts w:hint="default"/>
      </w:rPr>
    </w:lvl>
    <w:lvl w:ilvl="8">
      <w:start w:val="0"/>
      <w:numFmt w:val="bullet"/>
      <w:lvlText w:val="•"/>
      <w:lvlJc w:val="left"/>
      <w:pPr>
        <w:ind w:left="9384" w:hanging="300"/>
      </w:pPr>
      <w:rPr>
        <w:rFonts w:hint="default"/>
      </w:rPr>
    </w:lvl>
  </w:abstractNum>
  <w:abstractNum w:abstractNumId="46">
    <w:multiLevelType w:val="hybridMultilevel"/>
    <w:lvl w:ilvl="0">
      <w:start w:val="1"/>
      <w:numFmt w:val="decimal"/>
      <w:lvlText w:val="（%1）"/>
      <w:lvlJc w:val="left"/>
      <w:pPr>
        <w:ind w:left="1320" w:hanging="601"/>
        <w:jc w:val="left"/>
      </w:pPr>
      <w:rPr>
        <w:rFonts w:hint="default" w:ascii="宋体" w:hAnsi="宋体" w:eastAsia="宋体" w:cs="宋体"/>
        <w:w w:val="100"/>
        <w:sz w:val="22"/>
        <w:szCs w:val="22"/>
      </w:rPr>
    </w:lvl>
    <w:lvl w:ilvl="1">
      <w:start w:val="0"/>
      <w:numFmt w:val="bullet"/>
      <w:lvlText w:val="•"/>
      <w:lvlJc w:val="left"/>
      <w:pPr>
        <w:ind w:left="2308" w:hanging="601"/>
      </w:pPr>
      <w:rPr>
        <w:rFonts w:hint="default"/>
      </w:rPr>
    </w:lvl>
    <w:lvl w:ilvl="2">
      <w:start w:val="0"/>
      <w:numFmt w:val="bullet"/>
      <w:lvlText w:val="•"/>
      <w:lvlJc w:val="left"/>
      <w:pPr>
        <w:ind w:left="3297" w:hanging="601"/>
      </w:pPr>
      <w:rPr>
        <w:rFonts w:hint="default"/>
      </w:rPr>
    </w:lvl>
    <w:lvl w:ilvl="3">
      <w:start w:val="0"/>
      <w:numFmt w:val="bullet"/>
      <w:lvlText w:val="•"/>
      <w:lvlJc w:val="left"/>
      <w:pPr>
        <w:ind w:left="4285" w:hanging="601"/>
      </w:pPr>
      <w:rPr>
        <w:rFonts w:hint="default"/>
      </w:rPr>
    </w:lvl>
    <w:lvl w:ilvl="4">
      <w:start w:val="0"/>
      <w:numFmt w:val="bullet"/>
      <w:lvlText w:val="•"/>
      <w:lvlJc w:val="left"/>
      <w:pPr>
        <w:ind w:left="5274" w:hanging="601"/>
      </w:pPr>
      <w:rPr>
        <w:rFonts w:hint="default"/>
      </w:rPr>
    </w:lvl>
    <w:lvl w:ilvl="5">
      <w:start w:val="0"/>
      <w:numFmt w:val="bullet"/>
      <w:lvlText w:val="•"/>
      <w:lvlJc w:val="left"/>
      <w:pPr>
        <w:ind w:left="6263" w:hanging="601"/>
      </w:pPr>
      <w:rPr>
        <w:rFonts w:hint="default"/>
      </w:rPr>
    </w:lvl>
    <w:lvl w:ilvl="6">
      <w:start w:val="0"/>
      <w:numFmt w:val="bullet"/>
      <w:lvlText w:val="•"/>
      <w:lvlJc w:val="left"/>
      <w:pPr>
        <w:ind w:left="7251" w:hanging="601"/>
      </w:pPr>
      <w:rPr>
        <w:rFonts w:hint="default"/>
      </w:rPr>
    </w:lvl>
    <w:lvl w:ilvl="7">
      <w:start w:val="0"/>
      <w:numFmt w:val="bullet"/>
      <w:lvlText w:val="•"/>
      <w:lvlJc w:val="left"/>
      <w:pPr>
        <w:ind w:left="8240" w:hanging="601"/>
      </w:pPr>
      <w:rPr>
        <w:rFonts w:hint="default"/>
      </w:rPr>
    </w:lvl>
    <w:lvl w:ilvl="8">
      <w:start w:val="0"/>
      <w:numFmt w:val="bullet"/>
      <w:lvlText w:val="•"/>
      <w:lvlJc w:val="left"/>
      <w:pPr>
        <w:ind w:left="9228" w:hanging="601"/>
      </w:pPr>
      <w:rPr>
        <w:rFonts w:hint="default"/>
      </w:rPr>
    </w:lvl>
  </w:abstractNum>
  <w:abstractNum w:abstractNumId="45">
    <w:multiLevelType w:val="hybridMultilevel"/>
    <w:lvl w:ilvl="0">
      <w:start w:val="1"/>
      <w:numFmt w:val="decimal"/>
      <w:lvlText w:val="（%1）"/>
      <w:lvlJc w:val="left"/>
      <w:pPr>
        <w:ind w:left="2401" w:hanging="601"/>
        <w:jc w:val="left"/>
      </w:pPr>
      <w:rPr>
        <w:rFonts w:hint="default" w:ascii="宋体" w:hAnsi="宋体" w:eastAsia="宋体" w:cs="宋体"/>
        <w:w w:val="100"/>
        <w:sz w:val="22"/>
        <w:szCs w:val="22"/>
      </w:rPr>
    </w:lvl>
    <w:lvl w:ilvl="1">
      <w:start w:val="0"/>
      <w:numFmt w:val="bullet"/>
      <w:lvlText w:val="•"/>
      <w:lvlJc w:val="left"/>
      <w:pPr>
        <w:ind w:left="3280" w:hanging="601"/>
      </w:pPr>
      <w:rPr>
        <w:rFonts w:hint="default"/>
      </w:rPr>
    </w:lvl>
    <w:lvl w:ilvl="2">
      <w:start w:val="0"/>
      <w:numFmt w:val="bullet"/>
      <w:lvlText w:val="•"/>
      <w:lvlJc w:val="left"/>
      <w:pPr>
        <w:ind w:left="4161" w:hanging="601"/>
      </w:pPr>
      <w:rPr>
        <w:rFonts w:hint="default"/>
      </w:rPr>
    </w:lvl>
    <w:lvl w:ilvl="3">
      <w:start w:val="0"/>
      <w:numFmt w:val="bullet"/>
      <w:lvlText w:val="•"/>
      <w:lvlJc w:val="left"/>
      <w:pPr>
        <w:ind w:left="5041" w:hanging="601"/>
      </w:pPr>
      <w:rPr>
        <w:rFonts w:hint="default"/>
      </w:rPr>
    </w:lvl>
    <w:lvl w:ilvl="4">
      <w:start w:val="0"/>
      <w:numFmt w:val="bullet"/>
      <w:lvlText w:val="•"/>
      <w:lvlJc w:val="left"/>
      <w:pPr>
        <w:ind w:left="5922" w:hanging="601"/>
      </w:pPr>
      <w:rPr>
        <w:rFonts w:hint="default"/>
      </w:rPr>
    </w:lvl>
    <w:lvl w:ilvl="5">
      <w:start w:val="0"/>
      <w:numFmt w:val="bullet"/>
      <w:lvlText w:val="•"/>
      <w:lvlJc w:val="left"/>
      <w:pPr>
        <w:ind w:left="6803" w:hanging="601"/>
      </w:pPr>
      <w:rPr>
        <w:rFonts w:hint="default"/>
      </w:rPr>
    </w:lvl>
    <w:lvl w:ilvl="6">
      <w:start w:val="0"/>
      <w:numFmt w:val="bullet"/>
      <w:lvlText w:val="•"/>
      <w:lvlJc w:val="left"/>
      <w:pPr>
        <w:ind w:left="7683" w:hanging="601"/>
      </w:pPr>
      <w:rPr>
        <w:rFonts w:hint="default"/>
      </w:rPr>
    </w:lvl>
    <w:lvl w:ilvl="7">
      <w:start w:val="0"/>
      <w:numFmt w:val="bullet"/>
      <w:lvlText w:val="•"/>
      <w:lvlJc w:val="left"/>
      <w:pPr>
        <w:ind w:left="8564" w:hanging="601"/>
      </w:pPr>
      <w:rPr>
        <w:rFonts w:hint="default"/>
      </w:rPr>
    </w:lvl>
    <w:lvl w:ilvl="8">
      <w:start w:val="0"/>
      <w:numFmt w:val="bullet"/>
      <w:lvlText w:val="•"/>
      <w:lvlJc w:val="left"/>
      <w:pPr>
        <w:ind w:left="9444" w:hanging="601"/>
      </w:pPr>
      <w:rPr>
        <w:rFonts w:hint="default"/>
      </w:rPr>
    </w:lvl>
  </w:abstractNum>
  <w:abstractNum w:abstractNumId="44">
    <w:multiLevelType w:val="hybridMultilevel"/>
    <w:lvl w:ilvl="0">
      <w:start w:val="1"/>
      <w:numFmt w:val="decimal"/>
      <w:lvlText w:val="（%1）"/>
      <w:lvlJc w:val="left"/>
      <w:pPr>
        <w:ind w:left="1320" w:hanging="601"/>
        <w:jc w:val="left"/>
      </w:pPr>
      <w:rPr>
        <w:rFonts w:hint="default" w:ascii="宋体" w:hAnsi="宋体" w:eastAsia="宋体" w:cs="宋体"/>
        <w:w w:val="100"/>
        <w:sz w:val="22"/>
        <w:szCs w:val="22"/>
      </w:rPr>
    </w:lvl>
    <w:lvl w:ilvl="1">
      <w:start w:val="0"/>
      <w:numFmt w:val="bullet"/>
      <w:lvlText w:val="•"/>
      <w:lvlJc w:val="left"/>
      <w:pPr>
        <w:ind w:left="2308" w:hanging="601"/>
      </w:pPr>
      <w:rPr>
        <w:rFonts w:hint="default"/>
      </w:rPr>
    </w:lvl>
    <w:lvl w:ilvl="2">
      <w:start w:val="0"/>
      <w:numFmt w:val="bullet"/>
      <w:lvlText w:val="•"/>
      <w:lvlJc w:val="left"/>
      <w:pPr>
        <w:ind w:left="3297" w:hanging="601"/>
      </w:pPr>
      <w:rPr>
        <w:rFonts w:hint="default"/>
      </w:rPr>
    </w:lvl>
    <w:lvl w:ilvl="3">
      <w:start w:val="0"/>
      <w:numFmt w:val="bullet"/>
      <w:lvlText w:val="•"/>
      <w:lvlJc w:val="left"/>
      <w:pPr>
        <w:ind w:left="4285" w:hanging="601"/>
      </w:pPr>
      <w:rPr>
        <w:rFonts w:hint="default"/>
      </w:rPr>
    </w:lvl>
    <w:lvl w:ilvl="4">
      <w:start w:val="0"/>
      <w:numFmt w:val="bullet"/>
      <w:lvlText w:val="•"/>
      <w:lvlJc w:val="left"/>
      <w:pPr>
        <w:ind w:left="5274" w:hanging="601"/>
      </w:pPr>
      <w:rPr>
        <w:rFonts w:hint="default"/>
      </w:rPr>
    </w:lvl>
    <w:lvl w:ilvl="5">
      <w:start w:val="0"/>
      <w:numFmt w:val="bullet"/>
      <w:lvlText w:val="•"/>
      <w:lvlJc w:val="left"/>
      <w:pPr>
        <w:ind w:left="6263" w:hanging="601"/>
      </w:pPr>
      <w:rPr>
        <w:rFonts w:hint="default"/>
      </w:rPr>
    </w:lvl>
    <w:lvl w:ilvl="6">
      <w:start w:val="0"/>
      <w:numFmt w:val="bullet"/>
      <w:lvlText w:val="•"/>
      <w:lvlJc w:val="left"/>
      <w:pPr>
        <w:ind w:left="7251" w:hanging="601"/>
      </w:pPr>
      <w:rPr>
        <w:rFonts w:hint="default"/>
      </w:rPr>
    </w:lvl>
    <w:lvl w:ilvl="7">
      <w:start w:val="0"/>
      <w:numFmt w:val="bullet"/>
      <w:lvlText w:val="•"/>
      <w:lvlJc w:val="left"/>
      <w:pPr>
        <w:ind w:left="8240" w:hanging="601"/>
      </w:pPr>
      <w:rPr>
        <w:rFonts w:hint="default"/>
      </w:rPr>
    </w:lvl>
    <w:lvl w:ilvl="8">
      <w:start w:val="0"/>
      <w:numFmt w:val="bullet"/>
      <w:lvlText w:val="•"/>
      <w:lvlJc w:val="left"/>
      <w:pPr>
        <w:ind w:left="9228" w:hanging="601"/>
      </w:pPr>
      <w:rPr>
        <w:rFonts w:hint="default"/>
      </w:rPr>
    </w:lvl>
  </w:abstractNum>
  <w:abstractNum w:abstractNumId="43">
    <w:multiLevelType w:val="hybridMultilevel"/>
    <w:lvl w:ilvl="0">
      <w:start w:val="1"/>
      <w:numFmt w:val="decimal"/>
      <w:lvlText w:val="%1."/>
      <w:lvlJc w:val="left"/>
      <w:pPr>
        <w:ind w:left="2041" w:hanging="181"/>
        <w:jc w:val="right"/>
      </w:pPr>
      <w:rPr>
        <w:rFonts w:hint="default" w:ascii="Times New Roman" w:hAnsi="Times New Roman" w:eastAsia="Times New Roman" w:cs="Times New Roman"/>
        <w:w w:val="100"/>
        <w:sz w:val="22"/>
        <w:szCs w:val="22"/>
      </w:rPr>
    </w:lvl>
    <w:lvl w:ilvl="1">
      <w:start w:val="0"/>
      <w:numFmt w:val="bullet"/>
      <w:lvlText w:val="•"/>
      <w:lvlJc w:val="left"/>
      <w:pPr>
        <w:ind w:left="2956" w:hanging="181"/>
      </w:pPr>
      <w:rPr>
        <w:rFonts w:hint="default"/>
      </w:rPr>
    </w:lvl>
    <w:lvl w:ilvl="2">
      <w:start w:val="0"/>
      <w:numFmt w:val="bullet"/>
      <w:lvlText w:val="•"/>
      <w:lvlJc w:val="left"/>
      <w:pPr>
        <w:ind w:left="3873" w:hanging="181"/>
      </w:pPr>
      <w:rPr>
        <w:rFonts w:hint="default"/>
      </w:rPr>
    </w:lvl>
    <w:lvl w:ilvl="3">
      <w:start w:val="0"/>
      <w:numFmt w:val="bullet"/>
      <w:lvlText w:val="•"/>
      <w:lvlJc w:val="left"/>
      <w:pPr>
        <w:ind w:left="4789" w:hanging="181"/>
      </w:pPr>
      <w:rPr>
        <w:rFonts w:hint="default"/>
      </w:rPr>
    </w:lvl>
    <w:lvl w:ilvl="4">
      <w:start w:val="0"/>
      <w:numFmt w:val="bullet"/>
      <w:lvlText w:val="•"/>
      <w:lvlJc w:val="left"/>
      <w:pPr>
        <w:ind w:left="5706" w:hanging="181"/>
      </w:pPr>
      <w:rPr>
        <w:rFonts w:hint="default"/>
      </w:rPr>
    </w:lvl>
    <w:lvl w:ilvl="5">
      <w:start w:val="0"/>
      <w:numFmt w:val="bullet"/>
      <w:lvlText w:val="•"/>
      <w:lvlJc w:val="left"/>
      <w:pPr>
        <w:ind w:left="6623" w:hanging="181"/>
      </w:pPr>
      <w:rPr>
        <w:rFonts w:hint="default"/>
      </w:rPr>
    </w:lvl>
    <w:lvl w:ilvl="6">
      <w:start w:val="0"/>
      <w:numFmt w:val="bullet"/>
      <w:lvlText w:val="•"/>
      <w:lvlJc w:val="left"/>
      <w:pPr>
        <w:ind w:left="7539" w:hanging="181"/>
      </w:pPr>
      <w:rPr>
        <w:rFonts w:hint="default"/>
      </w:rPr>
    </w:lvl>
    <w:lvl w:ilvl="7">
      <w:start w:val="0"/>
      <w:numFmt w:val="bullet"/>
      <w:lvlText w:val="•"/>
      <w:lvlJc w:val="left"/>
      <w:pPr>
        <w:ind w:left="8456" w:hanging="181"/>
      </w:pPr>
      <w:rPr>
        <w:rFonts w:hint="default"/>
      </w:rPr>
    </w:lvl>
    <w:lvl w:ilvl="8">
      <w:start w:val="0"/>
      <w:numFmt w:val="bullet"/>
      <w:lvlText w:val="•"/>
      <w:lvlJc w:val="left"/>
      <w:pPr>
        <w:ind w:left="9372" w:hanging="181"/>
      </w:pPr>
      <w:rPr>
        <w:rFonts w:hint="default"/>
      </w:rPr>
    </w:lvl>
  </w:abstractNum>
  <w:abstractNum w:abstractNumId="42">
    <w:multiLevelType w:val="hybridMultilevel"/>
    <w:lvl w:ilvl="0">
      <w:start w:val="1"/>
      <w:numFmt w:val="decimal"/>
      <w:lvlText w:val="%1."/>
      <w:lvlJc w:val="left"/>
      <w:pPr>
        <w:ind w:left="1921" w:hanging="181"/>
        <w:jc w:val="right"/>
      </w:pPr>
      <w:rPr>
        <w:rFonts w:hint="default" w:ascii="Times New Roman" w:hAnsi="Times New Roman" w:eastAsia="Times New Roman" w:cs="Times New Roman"/>
        <w:w w:val="100"/>
        <w:sz w:val="22"/>
        <w:szCs w:val="22"/>
      </w:rPr>
    </w:lvl>
    <w:lvl w:ilvl="1">
      <w:start w:val="0"/>
      <w:numFmt w:val="bullet"/>
      <w:lvlText w:val="•"/>
      <w:lvlJc w:val="left"/>
      <w:pPr>
        <w:ind w:left="2848" w:hanging="181"/>
      </w:pPr>
      <w:rPr>
        <w:rFonts w:hint="default"/>
      </w:rPr>
    </w:lvl>
    <w:lvl w:ilvl="2">
      <w:start w:val="0"/>
      <w:numFmt w:val="bullet"/>
      <w:lvlText w:val="•"/>
      <w:lvlJc w:val="left"/>
      <w:pPr>
        <w:ind w:left="3777" w:hanging="181"/>
      </w:pPr>
      <w:rPr>
        <w:rFonts w:hint="default"/>
      </w:rPr>
    </w:lvl>
    <w:lvl w:ilvl="3">
      <w:start w:val="0"/>
      <w:numFmt w:val="bullet"/>
      <w:lvlText w:val="•"/>
      <w:lvlJc w:val="left"/>
      <w:pPr>
        <w:ind w:left="4705" w:hanging="181"/>
      </w:pPr>
      <w:rPr>
        <w:rFonts w:hint="default"/>
      </w:rPr>
    </w:lvl>
    <w:lvl w:ilvl="4">
      <w:start w:val="0"/>
      <w:numFmt w:val="bullet"/>
      <w:lvlText w:val="•"/>
      <w:lvlJc w:val="left"/>
      <w:pPr>
        <w:ind w:left="5634" w:hanging="181"/>
      </w:pPr>
      <w:rPr>
        <w:rFonts w:hint="default"/>
      </w:rPr>
    </w:lvl>
    <w:lvl w:ilvl="5">
      <w:start w:val="0"/>
      <w:numFmt w:val="bullet"/>
      <w:lvlText w:val="•"/>
      <w:lvlJc w:val="left"/>
      <w:pPr>
        <w:ind w:left="6563" w:hanging="181"/>
      </w:pPr>
      <w:rPr>
        <w:rFonts w:hint="default"/>
      </w:rPr>
    </w:lvl>
    <w:lvl w:ilvl="6">
      <w:start w:val="0"/>
      <w:numFmt w:val="bullet"/>
      <w:lvlText w:val="•"/>
      <w:lvlJc w:val="left"/>
      <w:pPr>
        <w:ind w:left="7491" w:hanging="181"/>
      </w:pPr>
      <w:rPr>
        <w:rFonts w:hint="default"/>
      </w:rPr>
    </w:lvl>
    <w:lvl w:ilvl="7">
      <w:start w:val="0"/>
      <w:numFmt w:val="bullet"/>
      <w:lvlText w:val="•"/>
      <w:lvlJc w:val="left"/>
      <w:pPr>
        <w:ind w:left="8420" w:hanging="181"/>
      </w:pPr>
      <w:rPr>
        <w:rFonts w:hint="default"/>
      </w:rPr>
    </w:lvl>
    <w:lvl w:ilvl="8">
      <w:start w:val="0"/>
      <w:numFmt w:val="bullet"/>
      <w:lvlText w:val="•"/>
      <w:lvlJc w:val="left"/>
      <w:pPr>
        <w:ind w:left="9348" w:hanging="181"/>
      </w:pPr>
      <w:rPr>
        <w:rFonts w:hint="default"/>
      </w:rPr>
    </w:lvl>
  </w:abstractNum>
  <w:abstractNum w:abstractNumId="41">
    <w:multiLevelType w:val="hybridMultilevel"/>
    <w:lvl w:ilvl="0">
      <w:start w:val="3"/>
      <w:numFmt w:val="decimal"/>
      <w:lvlText w:val="%1"/>
      <w:lvlJc w:val="left"/>
      <w:pPr>
        <w:ind w:left="1620" w:hanging="300"/>
        <w:jc w:val="left"/>
      </w:pPr>
      <w:rPr>
        <w:rFonts w:hint="default" w:ascii="Times New Roman" w:hAnsi="Times New Roman" w:eastAsia="Times New Roman" w:cs="Times New Roman"/>
        <w:b/>
        <w:bCs/>
        <w:spacing w:val="-1"/>
        <w:w w:val="96"/>
        <w:sz w:val="30"/>
        <w:szCs w:val="30"/>
      </w:rPr>
    </w:lvl>
    <w:lvl w:ilvl="1">
      <w:start w:val="1"/>
      <w:numFmt w:val="decimal"/>
      <w:lvlText w:val="%1.%2"/>
      <w:lvlJc w:val="left"/>
      <w:pPr>
        <w:ind w:left="1809" w:hanging="490"/>
        <w:jc w:val="left"/>
      </w:pPr>
      <w:rPr>
        <w:rFonts w:hint="default" w:ascii="Times New Roman" w:hAnsi="Times New Roman" w:eastAsia="Times New Roman" w:cs="Times New Roman"/>
        <w:b/>
        <w:bCs/>
        <w:spacing w:val="-1"/>
        <w:w w:val="100"/>
        <w:sz w:val="28"/>
        <w:szCs w:val="28"/>
      </w:rPr>
    </w:lvl>
    <w:lvl w:ilvl="2">
      <w:start w:val="1"/>
      <w:numFmt w:val="decimal"/>
      <w:lvlText w:val="%1.%2.%3"/>
      <w:lvlJc w:val="left"/>
      <w:pPr>
        <w:ind w:left="1920" w:hanging="600"/>
        <w:jc w:val="left"/>
      </w:pPr>
      <w:rPr>
        <w:rFonts w:hint="default" w:ascii="Times New Roman" w:hAnsi="Times New Roman" w:eastAsia="Times New Roman" w:cs="Times New Roman"/>
        <w:w w:val="100"/>
        <w:sz w:val="24"/>
        <w:szCs w:val="24"/>
      </w:rPr>
    </w:lvl>
    <w:lvl w:ilvl="3">
      <w:start w:val="1"/>
      <w:numFmt w:val="decimal"/>
      <w:lvlText w:val="%1.%2.%3.%4"/>
      <w:lvlJc w:val="left"/>
      <w:pPr>
        <w:ind w:left="2100" w:hanging="780"/>
        <w:jc w:val="left"/>
      </w:pPr>
      <w:rPr>
        <w:rFonts w:hint="default" w:ascii="Times New Roman" w:hAnsi="Times New Roman" w:eastAsia="Times New Roman" w:cs="Times New Roman"/>
        <w:w w:val="100"/>
        <w:sz w:val="24"/>
        <w:szCs w:val="24"/>
      </w:rPr>
    </w:lvl>
    <w:lvl w:ilvl="4">
      <w:start w:val="0"/>
      <w:numFmt w:val="bullet"/>
      <w:lvlText w:val="•"/>
      <w:lvlJc w:val="left"/>
      <w:pPr>
        <w:ind w:left="3400" w:hanging="780"/>
      </w:pPr>
      <w:rPr>
        <w:rFonts w:hint="default"/>
      </w:rPr>
    </w:lvl>
    <w:lvl w:ilvl="5">
      <w:start w:val="0"/>
      <w:numFmt w:val="bullet"/>
      <w:lvlText w:val="•"/>
      <w:lvlJc w:val="left"/>
      <w:pPr>
        <w:ind w:left="4701" w:hanging="780"/>
      </w:pPr>
      <w:rPr>
        <w:rFonts w:hint="default"/>
      </w:rPr>
    </w:lvl>
    <w:lvl w:ilvl="6">
      <w:start w:val="0"/>
      <w:numFmt w:val="bullet"/>
      <w:lvlText w:val="•"/>
      <w:lvlJc w:val="left"/>
      <w:pPr>
        <w:ind w:left="6002" w:hanging="780"/>
      </w:pPr>
      <w:rPr>
        <w:rFonts w:hint="default"/>
      </w:rPr>
    </w:lvl>
    <w:lvl w:ilvl="7">
      <w:start w:val="0"/>
      <w:numFmt w:val="bullet"/>
      <w:lvlText w:val="•"/>
      <w:lvlJc w:val="left"/>
      <w:pPr>
        <w:ind w:left="7303" w:hanging="780"/>
      </w:pPr>
      <w:rPr>
        <w:rFonts w:hint="default"/>
      </w:rPr>
    </w:lvl>
    <w:lvl w:ilvl="8">
      <w:start w:val="0"/>
      <w:numFmt w:val="bullet"/>
      <w:lvlText w:val="•"/>
      <w:lvlJc w:val="left"/>
      <w:pPr>
        <w:ind w:left="8604" w:hanging="780"/>
      </w:pPr>
      <w:rPr>
        <w:rFonts w:hint="default"/>
      </w:rPr>
    </w:lvl>
  </w:abstractNum>
  <w:abstractNum w:abstractNumId="40">
    <w:multiLevelType w:val="hybridMultilevel"/>
    <w:lvl w:ilvl="0">
      <w:start w:val="1"/>
      <w:numFmt w:val="decimal"/>
      <w:lvlText w:val="%1."/>
      <w:lvlJc w:val="left"/>
      <w:pPr>
        <w:ind w:left="1921" w:hanging="181"/>
        <w:jc w:val="right"/>
      </w:pPr>
      <w:rPr>
        <w:rFonts w:hint="default" w:ascii="Times New Roman" w:hAnsi="Times New Roman" w:eastAsia="Times New Roman" w:cs="Times New Roman"/>
        <w:w w:val="100"/>
        <w:sz w:val="22"/>
        <w:szCs w:val="22"/>
      </w:rPr>
    </w:lvl>
    <w:lvl w:ilvl="1">
      <w:start w:val="0"/>
      <w:numFmt w:val="bullet"/>
      <w:lvlText w:val="•"/>
      <w:lvlJc w:val="left"/>
      <w:pPr>
        <w:ind w:left="2848" w:hanging="181"/>
      </w:pPr>
      <w:rPr>
        <w:rFonts w:hint="default"/>
      </w:rPr>
    </w:lvl>
    <w:lvl w:ilvl="2">
      <w:start w:val="0"/>
      <w:numFmt w:val="bullet"/>
      <w:lvlText w:val="•"/>
      <w:lvlJc w:val="left"/>
      <w:pPr>
        <w:ind w:left="3777" w:hanging="181"/>
      </w:pPr>
      <w:rPr>
        <w:rFonts w:hint="default"/>
      </w:rPr>
    </w:lvl>
    <w:lvl w:ilvl="3">
      <w:start w:val="0"/>
      <w:numFmt w:val="bullet"/>
      <w:lvlText w:val="•"/>
      <w:lvlJc w:val="left"/>
      <w:pPr>
        <w:ind w:left="4705" w:hanging="181"/>
      </w:pPr>
      <w:rPr>
        <w:rFonts w:hint="default"/>
      </w:rPr>
    </w:lvl>
    <w:lvl w:ilvl="4">
      <w:start w:val="0"/>
      <w:numFmt w:val="bullet"/>
      <w:lvlText w:val="•"/>
      <w:lvlJc w:val="left"/>
      <w:pPr>
        <w:ind w:left="5634" w:hanging="181"/>
      </w:pPr>
      <w:rPr>
        <w:rFonts w:hint="default"/>
      </w:rPr>
    </w:lvl>
    <w:lvl w:ilvl="5">
      <w:start w:val="0"/>
      <w:numFmt w:val="bullet"/>
      <w:lvlText w:val="•"/>
      <w:lvlJc w:val="left"/>
      <w:pPr>
        <w:ind w:left="6563" w:hanging="181"/>
      </w:pPr>
      <w:rPr>
        <w:rFonts w:hint="default"/>
      </w:rPr>
    </w:lvl>
    <w:lvl w:ilvl="6">
      <w:start w:val="0"/>
      <w:numFmt w:val="bullet"/>
      <w:lvlText w:val="•"/>
      <w:lvlJc w:val="left"/>
      <w:pPr>
        <w:ind w:left="7491" w:hanging="181"/>
      </w:pPr>
      <w:rPr>
        <w:rFonts w:hint="default"/>
      </w:rPr>
    </w:lvl>
    <w:lvl w:ilvl="7">
      <w:start w:val="0"/>
      <w:numFmt w:val="bullet"/>
      <w:lvlText w:val="•"/>
      <w:lvlJc w:val="left"/>
      <w:pPr>
        <w:ind w:left="8420" w:hanging="181"/>
      </w:pPr>
      <w:rPr>
        <w:rFonts w:hint="default"/>
      </w:rPr>
    </w:lvl>
    <w:lvl w:ilvl="8">
      <w:start w:val="0"/>
      <w:numFmt w:val="bullet"/>
      <w:lvlText w:val="•"/>
      <w:lvlJc w:val="left"/>
      <w:pPr>
        <w:ind w:left="9348" w:hanging="181"/>
      </w:pPr>
      <w:rPr>
        <w:rFonts w:hint="default"/>
      </w:rPr>
    </w:lvl>
  </w:abstractNum>
  <w:abstractNum w:abstractNumId="39">
    <w:multiLevelType w:val="hybridMultilevel"/>
    <w:lvl w:ilvl="0">
      <w:start w:val="1"/>
      <w:numFmt w:val="decimal"/>
      <w:lvlText w:val="（%1）"/>
      <w:lvlJc w:val="left"/>
      <w:pPr>
        <w:ind w:left="844" w:hanging="601"/>
        <w:jc w:val="left"/>
      </w:pPr>
      <w:rPr>
        <w:rFonts w:hint="default" w:ascii="宋体" w:hAnsi="宋体" w:eastAsia="宋体" w:cs="宋体"/>
        <w:spacing w:val="-60"/>
        <w:w w:val="100"/>
        <w:sz w:val="22"/>
        <w:szCs w:val="22"/>
      </w:rPr>
    </w:lvl>
    <w:lvl w:ilvl="1">
      <w:start w:val="0"/>
      <w:numFmt w:val="bullet"/>
      <w:lvlText w:val=""/>
      <w:lvlJc w:val="left"/>
      <w:pPr>
        <w:ind w:left="1320" w:hanging="360"/>
      </w:pPr>
      <w:rPr>
        <w:rFonts w:hint="default" w:ascii="Wingdings" w:hAnsi="Wingdings" w:eastAsia="Wingdings" w:cs="Wingdings"/>
        <w:w w:val="100"/>
        <w:sz w:val="24"/>
        <w:szCs w:val="24"/>
      </w:rPr>
    </w:lvl>
    <w:lvl w:ilvl="2">
      <w:start w:val="0"/>
      <w:numFmt w:val="bullet"/>
      <w:lvlText w:val="•"/>
      <w:lvlJc w:val="left"/>
      <w:pPr>
        <w:ind w:left="1756" w:hanging="360"/>
      </w:pPr>
      <w:rPr>
        <w:rFonts w:hint="default"/>
      </w:rPr>
    </w:lvl>
    <w:lvl w:ilvl="3">
      <w:start w:val="0"/>
      <w:numFmt w:val="bullet"/>
      <w:lvlText w:val="•"/>
      <w:lvlJc w:val="left"/>
      <w:pPr>
        <w:ind w:left="2192" w:hanging="360"/>
      </w:pPr>
      <w:rPr>
        <w:rFonts w:hint="default"/>
      </w:rPr>
    </w:lvl>
    <w:lvl w:ilvl="4">
      <w:start w:val="0"/>
      <w:numFmt w:val="bullet"/>
      <w:lvlText w:val="•"/>
      <w:lvlJc w:val="left"/>
      <w:pPr>
        <w:ind w:left="2628" w:hanging="360"/>
      </w:pPr>
      <w:rPr>
        <w:rFonts w:hint="default"/>
      </w:rPr>
    </w:lvl>
    <w:lvl w:ilvl="5">
      <w:start w:val="0"/>
      <w:numFmt w:val="bullet"/>
      <w:lvlText w:val="•"/>
      <w:lvlJc w:val="left"/>
      <w:pPr>
        <w:ind w:left="3064" w:hanging="360"/>
      </w:pPr>
      <w:rPr>
        <w:rFonts w:hint="default"/>
      </w:rPr>
    </w:lvl>
    <w:lvl w:ilvl="6">
      <w:start w:val="0"/>
      <w:numFmt w:val="bullet"/>
      <w:lvlText w:val="•"/>
      <w:lvlJc w:val="left"/>
      <w:pPr>
        <w:ind w:left="3500" w:hanging="360"/>
      </w:pPr>
      <w:rPr>
        <w:rFonts w:hint="default"/>
      </w:rPr>
    </w:lvl>
    <w:lvl w:ilvl="7">
      <w:start w:val="0"/>
      <w:numFmt w:val="bullet"/>
      <w:lvlText w:val="•"/>
      <w:lvlJc w:val="left"/>
      <w:pPr>
        <w:ind w:left="3936" w:hanging="360"/>
      </w:pPr>
      <w:rPr>
        <w:rFonts w:hint="default"/>
      </w:rPr>
    </w:lvl>
    <w:lvl w:ilvl="8">
      <w:start w:val="0"/>
      <w:numFmt w:val="bullet"/>
      <w:lvlText w:val="•"/>
      <w:lvlJc w:val="left"/>
      <w:pPr>
        <w:ind w:left="4372" w:hanging="360"/>
      </w:pPr>
      <w:rPr>
        <w:rFonts w:hint="default"/>
      </w:rPr>
    </w:lvl>
  </w:abstractNum>
  <w:abstractNum w:abstractNumId="38">
    <w:multiLevelType w:val="hybridMultilevel"/>
    <w:lvl w:ilvl="0">
      <w:start w:val="1"/>
      <w:numFmt w:val="decimal"/>
      <w:lvlText w:val="（%1）"/>
      <w:lvlJc w:val="left"/>
      <w:pPr>
        <w:ind w:left="260" w:hanging="601"/>
        <w:jc w:val="left"/>
      </w:pPr>
      <w:rPr>
        <w:rFonts w:hint="default" w:ascii="宋体" w:hAnsi="宋体" w:eastAsia="宋体" w:cs="宋体"/>
        <w:w w:val="100"/>
        <w:sz w:val="22"/>
        <w:szCs w:val="22"/>
      </w:rPr>
    </w:lvl>
    <w:lvl w:ilvl="1">
      <w:start w:val="0"/>
      <w:numFmt w:val="bullet"/>
      <w:lvlText w:val="•"/>
      <w:lvlJc w:val="left"/>
      <w:pPr>
        <w:ind w:left="758" w:hanging="601"/>
      </w:pPr>
      <w:rPr>
        <w:rFonts w:hint="default"/>
      </w:rPr>
    </w:lvl>
    <w:lvl w:ilvl="2">
      <w:start w:val="0"/>
      <w:numFmt w:val="bullet"/>
      <w:lvlText w:val="•"/>
      <w:lvlJc w:val="left"/>
      <w:pPr>
        <w:ind w:left="1257" w:hanging="601"/>
      </w:pPr>
      <w:rPr>
        <w:rFonts w:hint="default"/>
      </w:rPr>
    </w:lvl>
    <w:lvl w:ilvl="3">
      <w:start w:val="0"/>
      <w:numFmt w:val="bullet"/>
      <w:lvlText w:val="•"/>
      <w:lvlJc w:val="left"/>
      <w:pPr>
        <w:ind w:left="1756" w:hanging="601"/>
      </w:pPr>
      <w:rPr>
        <w:rFonts w:hint="default"/>
      </w:rPr>
    </w:lvl>
    <w:lvl w:ilvl="4">
      <w:start w:val="0"/>
      <w:numFmt w:val="bullet"/>
      <w:lvlText w:val="•"/>
      <w:lvlJc w:val="left"/>
      <w:pPr>
        <w:ind w:left="2255" w:hanging="601"/>
      </w:pPr>
      <w:rPr>
        <w:rFonts w:hint="default"/>
      </w:rPr>
    </w:lvl>
    <w:lvl w:ilvl="5">
      <w:start w:val="0"/>
      <w:numFmt w:val="bullet"/>
      <w:lvlText w:val="•"/>
      <w:lvlJc w:val="left"/>
      <w:pPr>
        <w:ind w:left="2753" w:hanging="601"/>
      </w:pPr>
      <w:rPr>
        <w:rFonts w:hint="default"/>
      </w:rPr>
    </w:lvl>
    <w:lvl w:ilvl="6">
      <w:start w:val="0"/>
      <w:numFmt w:val="bullet"/>
      <w:lvlText w:val="•"/>
      <w:lvlJc w:val="left"/>
      <w:pPr>
        <w:ind w:left="3252" w:hanging="601"/>
      </w:pPr>
      <w:rPr>
        <w:rFonts w:hint="default"/>
      </w:rPr>
    </w:lvl>
    <w:lvl w:ilvl="7">
      <w:start w:val="0"/>
      <w:numFmt w:val="bullet"/>
      <w:lvlText w:val="•"/>
      <w:lvlJc w:val="left"/>
      <w:pPr>
        <w:ind w:left="3751" w:hanging="601"/>
      </w:pPr>
      <w:rPr>
        <w:rFonts w:hint="default"/>
      </w:rPr>
    </w:lvl>
    <w:lvl w:ilvl="8">
      <w:start w:val="0"/>
      <w:numFmt w:val="bullet"/>
      <w:lvlText w:val="•"/>
      <w:lvlJc w:val="left"/>
      <w:pPr>
        <w:ind w:left="4250" w:hanging="601"/>
      </w:pPr>
      <w:rPr>
        <w:rFonts w:hint="default"/>
      </w:rPr>
    </w:lvl>
  </w:abstractNum>
  <w:abstractNum w:abstractNumId="37">
    <w:multiLevelType w:val="hybridMultilevel"/>
    <w:lvl w:ilvl="0">
      <w:start w:val="1"/>
      <w:numFmt w:val="decimal"/>
      <w:lvlText w:val="（%1）"/>
      <w:lvlJc w:val="left"/>
      <w:pPr>
        <w:ind w:left="777" w:hanging="601"/>
        <w:jc w:val="left"/>
      </w:pPr>
      <w:rPr>
        <w:rFonts w:hint="default" w:ascii="宋体" w:hAnsi="宋体" w:eastAsia="宋体" w:cs="宋体"/>
        <w:w w:val="100"/>
        <w:sz w:val="22"/>
        <w:szCs w:val="22"/>
      </w:rPr>
    </w:lvl>
    <w:lvl w:ilvl="1">
      <w:start w:val="6"/>
      <w:numFmt w:val="decimal"/>
      <w:lvlText w:val="（%2）"/>
      <w:lvlJc w:val="left"/>
      <w:pPr>
        <w:ind w:left="1821" w:hanging="601"/>
        <w:jc w:val="left"/>
      </w:pPr>
      <w:rPr>
        <w:rFonts w:hint="default" w:ascii="宋体" w:hAnsi="宋体" w:eastAsia="宋体" w:cs="宋体"/>
        <w:w w:val="100"/>
        <w:sz w:val="22"/>
        <w:szCs w:val="22"/>
      </w:rPr>
    </w:lvl>
    <w:lvl w:ilvl="2">
      <w:start w:val="0"/>
      <w:numFmt w:val="bullet"/>
      <w:lvlText w:val="•"/>
      <w:lvlJc w:val="left"/>
      <w:pPr>
        <w:ind w:left="2191" w:hanging="601"/>
      </w:pPr>
      <w:rPr>
        <w:rFonts w:hint="default"/>
      </w:rPr>
    </w:lvl>
    <w:lvl w:ilvl="3">
      <w:start w:val="0"/>
      <w:numFmt w:val="bullet"/>
      <w:lvlText w:val="•"/>
      <w:lvlJc w:val="left"/>
      <w:pPr>
        <w:ind w:left="2563" w:hanging="601"/>
      </w:pPr>
      <w:rPr>
        <w:rFonts w:hint="default"/>
      </w:rPr>
    </w:lvl>
    <w:lvl w:ilvl="4">
      <w:start w:val="0"/>
      <w:numFmt w:val="bullet"/>
      <w:lvlText w:val="•"/>
      <w:lvlJc w:val="left"/>
      <w:pPr>
        <w:ind w:left="2934" w:hanging="601"/>
      </w:pPr>
      <w:rPr>
        <w:rFonts w:hint="default"/>
      </w:rPr>
    </w:lvl>
    <w:lvl w:ilvl="5">
      <w:start w:val="0"/>
      <w:numFmt w:val="bullet"/>
      <w:lvlText w:val="•"/>
      <w:lvlJc w:val="left"/>
      <w:pPr>
        <w:ind w:left="3306" w:hanging="601"/>
      </w:pPr>
      <w:rPr>
        <w:rFonts w:hint="default"/>
      </w:rPr>
    </w:lvl>
    <w:lvl w:ilvl="6">
      <w:start w:val="0"/>
      <w:numFmt w:val="bullet"/>
      <w:lvlText w:val="•"/>
      <w:lvlJc w:val="left"/>
      <w:pPr>
        <w:ind w:left="3677" w:hanging="601"/>
      </w:pPr>
      <w:rPr>
        <w:rFonts w:hint="default"/>
      </w:rPr>
    </w:lvl>
    <w:lvl w:ilvl="7">
      <w:start w:val="0"/>
      <w:numFmt w:val="bullet"/>
      <w:lvlText w:val="•"/>
      <w:lvlJc w:val="left"/>
      <w:pPr>
        <w:ind w:left="4049" w:hanging="601"/>
      </w:pPr>
      <w:rPr>
        <w:rFonts w:hint="default"/>
      </w:rPr>
    </w:lvl>
    <w:lvl w:ilvl="8">
      <w:start w:val="0"/>
      <w:numFmt w:val="bullet"/>
      <w:lvlText w:val="•"/>
      <w:lvlJc w:val="left"/>
      <w:pPr>
        <w:ind w:left="4420" w:hanging="601"/>
      </w:pPr>
      <w:rPr>
        <w:rFonts w:hint="default"/>
      </w:rPr>
    </w:lvl>
  </w:abstractNum>
  <w:abstractNum w:abstractNumId="36">
    <w:multiLevelType w:val="hybridMultilevel"/>
    <w:lvl w:ilvl="0">
      <w:start w:val="1"/>
      <w:numFmt w:val="decimal"/>
      <w:lvlText w:val="（%1）"/>
      <w:lvlJc w:val="left"/>
      <w:pPr>
        <w:ind w:left="777" w:hanging="601"/>
        <w:jc w:val="left"/>
      </w:pPr>
      <w:rPr>
        <w:rFonts w:hint="default" w:ascii="宋体" w:hAnsi="宋体" w:eastAsia="宋体" w:cs="宋体"/>
        <w:w w:val="100"/>
        <w:sz w:val="22"/>
        <w:szCs w:val="22"/>
      </w:rPr>
    </w:lvl>
    <w:lvl w:ilvl="1">
      <w:start w:val="1"/>
      <w:numFmt w:val="decimal"/>
      <w:lvlText w:val="（%2）"/>
      <w:lvlJc w:val="left"/>
      <w:pPr>
        <w:ind w:left="260" w:hanging="601"/>
        <w:jc w:val="left"/>
      </w:pPr>
      <w:rPr>
        <w:rFonts w:hint="default" w:ascii="宋体" w:hAnsi="宋体" w:eastAsia="宋体" w:cs="宋体"/>
        <w:w w:val="100"/>
        <w:sz w:val="22"/>
        <w:szCs w:val="22"/>
      </w:rPr>
    </w:lvl>
    <w:lvl w:ilvl="2">
      <w:start w:val="0"/>
      <w:numFmt w:val="bullet"/>
      <w:lvlText w:val="•"/>
      <w:lvlJc w:val="left"/>
      <w:pPr>
        <w:ind w:left="1262" w:hanging="601"/>
      </w:pPr>
      <w:rPr>
        <w:rFonts w:hint="default"/>
      </w:rPr>
    </w:lvl>
    <w:lvl w:ilvl="3">
      <w:start w:val="0"/>
      <w:numFmt w:val="bullet"/>
      <w:lvlText w:val="•"/>
      <w:lvlJc w:val="left"/>
      <w:pPr>
        <w:ind w:left="1744" w:hanging="601"/>
      </w:pPr>
      <w:rPr>
        <w:rFonts w:hint="default"/>
      </w:rPr>
    </w:lvl>
    <w:lvl w:ilvl="4">
      <w:start w:val="0"/>
      <w:numFmt w:val="bullet"/>
      <w:lvlText w:val="•"/>
      <w:lvlJc w:val="left"/>
      <w:pPr>
        <w:ind w:left="2226" w:hanging="601"/>
      </w:pPr>
      <w:rPr>
        <w:rFonts w:hint="default"/>
      </w:rPr>
    </w:lvl>
    <w:lvl w:ilvl="5">
      <w:start w:val="0"/>
      <w:numFmt w:val="bullet"/>
      <w:lvlText w:val="•"/>
      <w:lvlJc w:val="left"/>
      <w:pPr>
        <w:ind w:left="2708" w:hanging="601"/>
      </w:pPr>
      <w:rPr>
        <w:rFonts w:hint="default"/>
      </w:rPr>
    </w:lvl>
    <w:lvl w:ilvl="6">
      <w:start w:val="0"/>
      <w:numFmt w:val="bullet"/>
      <w:lvlText w:val="•"/>
      <w:lvlJc w:val="left"/>
      <w:pPr>
        <w:ind w:left="3190" w:hanging="601"/>
      </w:pPr>
      <w:rPr>
        <w:rFonts w:hint="default"/>
      </w:rPr>
    </w:lvl>
    <w:lvl w:ilvl="7">
      <w:start w:val="0"/>
      <w:numFmt w:val="bullet"/>
      <w:lvlText w:val="•"/>
      <w:lvlJc w:val="left"/>
      <w:pPr>
        <w:ind w:left="3672" w:hanging="601"/>
      </w:pPr>
      <w:rPr>
        <w:rFonts w:hint="default"/>
      </w:rPr>
    </w:lvl>
    <w:lvl w:ilvl="8">
      <w:start w:val="0"/>
      <w:numFmt w:val="bullet"/>
      <w:lvlText w:val="•"/>
      <w:lvlJc w:val="left"/>
      <w:pPr>
        <w:ind w:left="4154" w:hanging="601"/>
      </w:pPr>
      <w:rPr>
        <w:rFonts w:hint="default"/>
      </w:rPr>
    </w:lvl>
  </w:abstractNum>
  <w:abstractNum w:abstractNumId="35">
    <w:multiLevelType w:val="hybridMultilevel"/>
    <w:lvl w:ilvl="0">
      <w:start w:val="1"/>
      <w:numFmt w:val="decimal"/>
      <w:lvlText w:val="（%1）"/>
      <w:lvlJc w:val="left"/>
      <w:pPr>
        <w:ind w:left="777" w:hanging="601"/>
        <w:jc w:val="left"/>
      </w:pPr>
      <w:rPr>
        <w:rFonts w:hint="default" w:ascii="宋体" w:hAnsi="宋体" w:eastAsia="宋体" w:cs="宋体"/>
        <w:w w:val="100"/>
        <w:sz w:val="22"/>
        <w:szCs w:val="22"/>
      </w:rPr>
    </w:lvl>
    <w:lvl w:ilvl="1">
      <w:start w:val="0"/>
      <w:numFmt w:val="bullet"/>
      <w:lvlText w:val="•"/>
      <w:lvlJc w:val="left"/>
      <w:pPr>
        <w:ind w:left="1213" w:hanging="601"/>
      </w:pPr>
      <w:rPr>
        <w:rFonts w:hint="default"/>
      </w:rPr>
    </w:lvl>
    <w:lvl w:ilvl="2">
      <w:start w:val="0"/>
      <w:numFmt w:val="bullet"/>
      <w:lvlText w:val="•"/>
      <w:lvlJc w:val="left"/>
      <w:pPr>
        <w:ind w:left="1647" w:hanging="601"/>
      </w:pPr>
      <w:rPr>
        <w:rFonts w:hint="default"/>
      </w:rPr>
    </w:lvl>
    <w:lvl w:ilvl="3">
      <w:start w:val="0"/>
      <w:numFmt w:val="bullet"/>
      <w:lvlText w:val="•"/>
      <w:lvlJc w:val="left"/>
      <w:pPr>
        <w:ind w:left="2081" w:hanging="601"/>
      </w:pPr>
      <w:rPr>
        <w:rFonts w:hint="default"/>
      </w:rPr>
    </w:lvl>
    <w:lvl w:ilvl="4">
      <w:start w:val="0"/>
      <w:numFmt w:val="bullet"/>
      <w:lvlText w:val="•"/>
      <w:lvlJc w:val="left"/>
      <w:pPr>
        <w:ind w:left="2515" w:hanging="601"/>
      </w:pPr>
      <w:rPr>
        <w:rFonts w:hint="default"/>
      </w:rPr>
    </w:lvl>
    <w:lvl w:ilvl="5">
      <w:start w:val="0"/>
      <w:numFmt w:val="bullet"/>
      <w:lvlText w:val="•"/>
      <w:lvlJc w:val="left"/>
      <w:pPr>
        <w:ind w:left="2949" w:hanging="601"/>
      </w:pPr>
      <w:rPr>
        <w:rFonts w:hint="default"/>
      </w:rPr>
    </w:lvl>
    <w:lvl w:ilvl="6">
      <w:start w:val="0"/>
      <w:numFmt w:val="bullet"/>
      <w:lvlText w:val="•"/>
      <w:lvlJc w:val="left"/>
      <w:pPr>
        <w:ind w:left="3382" w:hanging="601"/>
      </w:pPr>
      <w:rPr>
        <w:rFonts w:hint="default"/>
      </w:rPr>
    </w:lvl>
    <w:lvl w:ilvl="7">
      <w:start w:val="0"/>
      <w:numFmt w:val="bullet"/>
      <w:lvlText w:val="•"/>
      <w:lvlJc w:val="left"/>
      <w:pPr>
        <w:ind w:left="3816" w:hanging="601"/>
      </w:pPr>
      <w:rPr>
        <w:rFonts w:hint="default"/>
      </w:rPr>
    </w:lvl>
    <w:lvl w:ilvl="8">
      <w:start w:val="0"/>
      <w:numFmt w:val="bullet"/>
      <w:lvlText w:val="•"/>
      <w:lvlJc w:val="left"/>
      <w:pPr>
        <w:ind w:left="4250" w:hanging="601"/>
      </w:pPr>
      <w:rPr>
        <w:rFonts w:hint="default"/>
      </w:rPr>
    </w:lvl>
  </w:abstractNum>
  <w:abstractNum w:abstractNumId="34">
    <w:multiLevelType w:val="hybridMultilevel"/>
    <w:lvl w:ilvl="0">
      <w:start w:val="1"/>
      <w:numFmt w:val="decimal"/>
      <w:lvlText w:val="（%1）"/>
      <w:lvlJc w:val="left"/>
      <w:pPr>
        <w:ind w:left="185" w:hanging="608"/>
        <w:jc w:val="left"/>
      </w:pPr>
      <w:rPr>
        <w:rFonts w:hint="default" w:ascii="宋体" w:hAnsi="宋体" w:eastAsia="宋体" w:cs="宋体"/>
        <w:spacing w:val="2"/>
        <w:w w:val="100"/>
        <w:sz w:val="22"/>
        <w:szCs w:val="22"/>
      </w:rPr>
    </w:lvl>
    <w:lvl w:ilvl="1">
      <w:start w:val="0"/>
      <w:numFmt w:val="bullet"/>
      <w:lvlText w:val="•"/>
      <w:lvlJc w:val="left"/>
      <w:pPr>
        <w:ind w:left="517" w:hanging="608"/>
      </w:pPr>
      <w:rPr>
        <w:rFonts w:hint="default"/>
      </w:rPr>
    </w:lvl>
    <w:lvl w:ilvl="2">
      <w:start w:val="0"/>
      <w:numFmt w:val="bullet"/>
      <w:lvlText w:val="•"/>
      <w:lvlJc w:val="left"/>
      <w:pPr>
        <w:ind w:left="855" w:hanging="608"/>
      </w:pPr>
      <w:rPr>
        <w:rFonts w:hint="default"/>
      </w:rPr>
    </w:lvl>
    <w:lvl w:ilvl="3">
      <w:start w:val="0"/>
      <w:numFmt w:val="bullet"/>
      <w:lvlText w:val="•"/>
      <w:lvlJc w:val="left"/>
      <w:pPr>
        <w:ind w:left="1192" w:hanging="608"/>
      </w:pPr>
      <w:rPr>
        <w:rFonts w:hint="default"/>
      </w:rPr>
    </w:lvl>
    <w:lvl w:ilvl="4">
      <w:start w:val="0"/>
      <w:numFmt w:val="bullet"/>
      <w:lvlText w:val="•"/>
      <w:lvlJc w:val="left"/>
      <w:pPr>
        <w:ind w:left="1530" w:hanging="608"/>
      </w:pPr>
      <w:rPr>
        <w:rFonts w:hint="default"/>
      </w:rPr>
    </w:lvl>
    <w:lvl w:ilvl="5">
      <w:start w:val="0"/>
      <w:numFmt w:val="bullet"/>
      <w:lvlText w:val="•"/>
      <w:lvlJc w:val="left"/>
      <w:pPr>
        <w:ind w:left="1868" w:hanging="608"/>
      </w:pPr>
      <w:rPr>
        <w:rFonts w:hint="default"/>
      </w:rPr>
    </w:lvl>
    <w:lvl w:ilvl="6">
      <w:start w:val="0"/>
      <w:numFmt w:val="bullet"/>
      <w:lvlText w:val="•"/>
      <w:lvlJc w:val="left"/>
      <w:pPr>
        <w:ind w:left="2205" w:hanging="608"/>
      </w:pPr>
      <w:rPr>
        <w:rFonts w:hint="default"/>
      </w:rPr>
    </w:lvl>
    <w:lvl w:ilvl="7">
      <w:start w:val="0"/>
      <w:numFmt w:val="bullet"/>
      <w:lvlText w:val="•"/>
      <w:lvlJc w:val="left"/>
      <w:pPr>
        <w:ind w:left="2543" w:hanging="608"/>
      </w:pPr>
      <w:rPr>
        <w:rFonts w:hint="default"/>
      </w:rPr>
    </w:lvl>
    <w:lvl w:ilvl="8">
      <w:start w:val="0"/>
      <w:numFmt w:val="bullet"/>
      <w:lvlText w:val="•"/>
      <w:lvlJc w:val="left"/>
      <w:pPr>
        <w:ind w:left="2880" w:hanging="608"/>
      </w:pPr>
      <w:rPr>
        <w:rFonts w:hint="default"/>
      </w:rPr>
    </w:lvl>
  </w:abstractNum>
  <w:abstractNum w:abstractNumId="33">
    <w:multiLevelType w:val="hybridMultilevel"/>
    <w:lvl w:ilvl="0">
      <w:start w:val="1"/>
      <w:numFmt w:val="decimal"/>
      <w:lvlText w:val="（%1）"/>
      <w:lvlJc w:val="left"/>
      <w:pPr>
        <w:ind w:left="1320" w:hanging="601"/>
        <w:jc w:val="left"/>
      </w:pPr>
      <w:rPr>
        <w:rFonts w:hint="default" w:ascii="宋体" w:hAnsi="宋体" w:eastAsia="宋体" w:cs="宋体"/>
        <w:spacing w:val="-48"/>
        <w:w w:val="100"/>
        <w:sz w:val="22"/>
        <w:szCs w:val="22"/>
      </w:rPr>
    </w:lvl>
    <w:lvl w:ilvl="1">
      <w:start w:val="0"/>
      <w:numFmt w:val="bullet"/>
      <w:lvlText w:val="•"/>
      <w:lvlJc w:val="left"/>
      <w:pPr>
        <w:ind w:left="2308" w:hanging="601"/>
      </w:pPr>
      <w:rPr>
        <w:rFonts w:hint="default"/>
      </w:rPr>
    </w:lvl>
    <w:lvl w:ilvl="2">
      <w:start w:val="0"/>
      <w:numFmt w:val="bullet"/>
      <w:lvlText w:val="•"/>
      <w:lvlJc w:val="left"/>
      <w:pPr>
        <w:ind w:left="3297" w:hanging="601"/>
      </w:pPr>
      <w:rPr>
        <w:rFonts w:hint="default"/>
      </w:rPr>
    </w:lvl>
    <w:lvl w:ilvl="3">
      <w:start w:val="0"/>
      <w:numFmt w:val="bullet"/>
      <w:lvlText w:val="•"/>
      <w:lvlJc w:val="left"/>
      <w:pPr>
        <w:ind w:left="4285" w:hanging="601"/>
      </w:pPr>
      <w:rPr>
        <w:rFonts w:hint="default"/>
      </w:rPr>
    </w:lvl>
    <w:lvl w:ilvl="4">
      <w:start w:val="0"/>
      <w:numFmt w:val="bullet"/>
      <w:lvlText w:val="•"/>
      <w:lvlJc w:val="left"/>
      <w:pPr>
        <w:ind w:left="5274" w:hanging="601"/>
      </w:pPr>
      <w:rPr>
        <w:rFonts w:hint="default"/>
      </w:rPr>
    </w:lvl>
    <w:lvl w:ilvl="5">
      <w:start w:val="0"/>
      <w:numFmt w:val="bullet"/>
      <w:lvlText w:val="•"/>
      <w:lvlJc w:val="left"/>
      <w:pPr>
        <w:ind w:left="6263" w:hanging="601"/>
      </w:pPr>
      <w:rPr>
        <w:rFonts w:hint="default"/>
      </w:rPr>
    </w:lvl>
    <w:lvl w:ilvl="6">
      <w:start w:val="0"/>
      <w:numFmt w:val="bullet"/>
      <w:lvlText w:val="•"/>
      <w:lvlJc w:val="left"/>
      <w:pPr>
        <w:ind w:left="7251" w:hanging="601"/>
      </w:pPr>
      <w:rPr>
        <w:rFonts w:hint="default"/>
      </w:rPr>
    </w:lvl>
    <w:lvl w:ilvl="7">
      <w:start w:val="0"/>
      <w:numFmt w:val="bullet"/>
      <w:lvlText w:val="•"/>
      <w:lvlJc w:val="left"/>
      <w:pPr>
        <w:ind w:left="8240" w:hanging="601"/>
      </w:pPr>
      <w:rPr>
        <w:rFonts w:hint="default"/>
      </w:rPr>
    </w:lvl>
    <w:lvl w:ilvl="8">
      <w:start w:val="0"/>
      <w:numFmt w:val="bullet"/>
      <w:lvlText w:val="•"/>
      <w:lvlJc w:val="left"/>
      <w:pPr>
        <w:ind w:left="9228" w:hanging="601"/>
      </w:pPr>
      <w:rPr>
        <w:rFonts w:hint="default"/>
      </w:rPr>
    </w:lvl>
  </w:abstractNum>
  <w:abstractNum w:abstractNumId="32">
    <w:multiLevelType w:val="hybridMultilevel"/>
    <w:lvl w:ilvl="0">
      <w:start w:val="2"/>
      <w:numFmt w:val="decimal"/>
      <w:lvlText w:val="%1"/>
      <w:lvlJc w:val="left"/>
      <w:pPr>
        <w:ind w:left="1920" w:hanging="600"/>
        <w:jc w:val="left"/>
      </w:pPr>
      <w:rPr>
        <w:rFonts w:hint="default"/>
      </w:rPr>
    </w:lvl>
    <w:lvl w:ilvl="1">
      <w:start w:val="2"/>
      <w:numFmt w:val="decimal"/>
      <w:lvlText w:val="%1.%2"/>
      <w:lvlJc w:val="left"/>
      <w:pPr>
        <w:ind w:left="1920" w:hanging="600"/>
        <w:jc w:val="left"/>
      </w:pPr>
      <w:rPr>
        <w:rFonts w:hint="default"/>
      </w:rPr>
    </w:lvl>
    <w:lvl w:ilvl="2">
      <w:start w:val="2"/>
      <w:numFmt w:val="decimal"/>
      <w:lvlText w:val="%1.%2.%3"/>
      <w:lvlJc w:val="left"/>
      <w:pPr>
        <w:ind w:left="1920" w:hanging="600"/>
        <w:jc w:val="left"/>
      </w:pPr>
      <w:rPr>
        <w:rFonts w:hint="default" w:ascii="Times New Roman" w:hAnsi="Times New Roman" w:eastAsia="Times New Roman" w:cs="Times New Roman"/>
        <w:w w:val="100"/>
        <w:sz w:val="24"/>
        <w:szCs w:val="24"/>
      </w:rPr>
    </w:lvl>
    <w:lvl w:ilvl="3">
      <w:start w:val="1"/>
      <w:numFmt w:val="decimal"/>
      <w:lvlText w:val="%1.%2.%3.%4"/>
      <w:lvlJc w:val="left"/>
      <w:pPr>
        <w:ind w:left="2100" w:hanging="780"/>
        <w:jc w:val="left"/>
      </w:pPr>
      <w:rPr>
        <w:rFonts w:hint="default" w:ascii="Times New Roman" w:hAnsi="Times New Roman" w:eastAsia="Times New Roman" w:cs="Times New Roman"/>
        <w:w w:val="100"/>
        <w:sz w:val="24"/>
        <w:szCs w:val="24"/>
      </w:rPr>
    </w:lvl>
    <w:lvl w:ilvl="4">
      <w:start w:val="1"/>
      <w:numFmt w:val="decimal"/>
      <w:lvlText w:val="%1.%2.%3.%4.%5"/>
      <w:lvlJc w:val="left"/>
      <w:pPr>
        <w:ind w:left="2280" w:hanging="960"/>
        <w:jc w:val="left"/>
      </w:pPr>
      <w:rPr>
        <w:rFonts w:hint="default" w:ascii="Times New Roman" w:hAnsi="Times New Roman" w:eastAsia="Times New Roman" w:cs="Times New Roman"/>
        <w:w w:val="100"/>
        <w:sz w:val="24"/>
        <w:szCs w:val="24"/>
      </w:rPr>
    </w:lvl>
    <w:lvl w:ilvl="5">
      <w:start w:val="1"/>
      <w:numFmt w:val="decimal"/>
      <w:lvlText w:val="（%6）"/>
      <w:lvlJc w:val="left"/>
      <w:pPr>
        <w:ind w:left="1320" w:hanging="601"/>
        <w:jc w:val="left"/>
      </w:pPr>
      <w:rPr>
        <w:rFonts w:hint="default" w:ascii="宋体" w:hAnsi="宋体" w:eastAsia="宋体" w:cs="宋体"/>
        <w:spacing w:val="-48"/>
        <w:w w:val="100"/>
        <w:sz w:val="22"/>
        <w:szCs w:val="22"/>
      </w:rPr>
    </w:lvl>
    <w:lvl w:ilvl="6">
      <w:start w:val="0"/>
      <w:numFmt w:val="bullet"/>
      <w:lvlText w:val="•"/>
      <w:lvlJc w:val="left"/>
      <w:pPr>
        <w:ind w:left="6105" w:hanging="601"/>
      </w:pPr>
      <w:rPr>
        <w:rFonts w:hint="default"/>
      </w:rPr>
    </w:lvl>
    <w:lvl w:ilvl="7">
      <w:start w:val="0"/>
      <w:numFmt w:val="bullet"/>
      <w:lvlText w:val="•"/>
      <w:lvlJc w:val="left"/>
      <w:pPr>
        <w:ind w:left="7380" w:hanging="601"/>
      </w:pPr>
      <w:rPr>
        <w:rFonts w:hint="default"/>
      </w:rPr>
    </w:lvl>
    <w:lvl w:ilvl="8">
      <w:start w:val="0"/>
      <w:numFmt w:val="bullet"/>
      <w:lvlText w:val="•"/>
      <w:lvlJc w:val="left"/>
      <w:pPr>
        <w:ind w:left="8655" w:hanging="601"/>
      </w:pPr>
      <w:rPr>
        <w:rFonts w:hint="default"/>
      </w:rPr>
    </w:lvl>
  </w:abstractNum>
  <w:abstractNum w:abstractNumId="31">
    <w:multiLevelType w:val="hybridMultilevel"/>
    <w:lvl w:ilvl="0">
      <w:start w:val="6"/>
      <w:numFmt w:val="decimal"/>
      <w:lvlText w:val="（%1）"/>
      <w:lvlJc w:val="left"/>
      <w:pPr>
        <w:ind w:left="828" w:hanging="720"/>
        <w:jc w:val="left"/>
      </w:pPr>
      <w:rPr>
        <w:rFonts w:hint="default" w:ascii="宋体" w:hAnsi="宋体" w:eastAsia="宋体" w:cs="宋体"/>
        <w:w w:val="100"/>
        <w:sz w:val="24"/>
        <w:szCs w:val="24"/>
      </w:rPr>
    </w:lvl>
    <w:lvl w:ilvl="1">
      <w:start w:val="0"/>
      <w:numFmt w:val="bullet"/>
      <w:lvlText w:val="•"/>
      <w:lvlJc w:val="left"/>
      <w:pPr>
        <w:ind w:left="1384" w:hanging="720"/>
      </w:pPr>
      <w:rPr>
        <w:rFonts w:hint="default"/>
      </w:rPr>
    </w:lvl>
    <w:lvl w:ilvl="2">
      <w:start w:val="0"/>
      <w:numFmt w:val="bullet"/>
      <w:lvlText w:val="•"/>
      <w:lvlJc w:val="left"/>
      <w:pPr>
        <w:ind w:left="1948" w:hanging="720"/>
      </w:pPr>
      <w:rPr>
        <w:rFonts w:hint="default"/>
      </w:rPr>
    </w:lvl>
    <w:lvl w:ilvl="3">
      <w:start w:val="0"/>
      <w:numFmt w:val="bullet"/>
      <w:lvlText w:val="•"/>
      <w:lvlJc w:val="left"/>
      <w:pPr>
        <w:ind w:left="2512" w:hanging="720"/>
      </w:pPr>
      <w:rPr>
        <w:rFonts w:hint="default"/>
      </w:rPr>
    </w:lvl>
    <w:lvl w:ilvl="4">
      <w:start w:val="0"/>
      <w:numFmt w:val="bullet"/>
      <w:lvlText w:val="•"/>
      <w:lvlJc w:val="left"/>
      <w:pPr>
        <w:ind w:left="3076" w:hanging="720"/>
      </w:pPr>
      <w:rPr>
        <w:rFonts w:hint="default"/>
      </w:rPr>
    </w:lvl>
    <w:lvl w:ilvl="5">
      <w:start w:val="0"/>
      <w:numFmt w:val="bullet"/>
      <w:lvlText w:val="•"/>
      <w:lvlJc w:val="left"/>
      <w:pPr>
        <w:ind w:left="3640" w:hanging="720"/>
      </w:pPr>
      <w:rPr>
        <w:rFonts w:hint="default"/>
      </w:rPr>
    </w:lvl>
    <w:lvl w:ilvl="6">
      <w:start w:val="0"/>
      <w:numFmt w:val="bullet"/>
      <w:lvlText w:val="•"/>
      <w:lvlJc w:val="left"/>
      <w:pPr>
        <w:ind w:left="4204" w:hanging="720"/>
      </w:pPr>
      <w:rPr>
        <w:rFonts w:hint="default"/>
      </w:rPr>
    </w:lvl>
    <w:lvl w:ilvl="7">
      <w:start w:val="0"/>
      <w:numFmt w:val="bullet"/>
      <w:lvlText w:val="•"/>
      <w:lvlJc w:val="left"/>
      <w:pPr>
        <w:ind w:left="4768" w:hanging="720"/>
      </w:pPr>
      <w:rPr>
        <w:rFonts w:hint="default"/>
      </w:rPr>
    </w:lvl>
    <w:lvl w:ilvl="8">
      <w:start w:val="0"/>
      <w:numFmt w:val="bullet"/>
      <w:lvlText w:val="•"/>
      <w:lvlJc w:val="left"/>
      <w:pPr>
        <w:ind w:left="5332" w:hanging="720"/>
      </w:pPr>
      <w:rPr>
        <w:rFonts w:hint="default"/>
      </w:rPr>
    </w:lvl>
  </w:abstractNum>
  <w:abstractNum w:abstractNumId="30">
    <w:multiLevelType w:val="hybridMultilevel"/>
    <w:lvl w:ilvl="0">
      <w:start w:val="5"/>
      <w:numFmt w:val="decimal"/>
      <w:lvlText w:val="（%1）"/>
      <w:lvlJc w:val="left"/>
      <w:pPr>
        <w:ind w:left="828" w:hanging="720"/>
        <w:jc w:val="left"/>
      </w:pPr>
      <w:rPr>
        <w:rFonts w:hint="default" w:ascii="宋体" w:hAnsi="宋体" w:eastAsia="宋体" w:cs="宋体"/>
        <w:w w:val="100"/>
        <w:sz w:val="24"/>
        <w:szCs w:val="24"/>
      </w:rPr>
    </w:lvl>
    <w:lvl w:ilvl="1">
      <w:start w:val="0"/>
      <w:numFmt w:val="bullet"/>
      <w:lvlText w:val="•"/>
      <w:lvlJc w:val="left"/>
      <w:pPr>
        <w:ind w:left="1384" w:hanging="720"/>
      </w:pPr>
      <w:rPr>
        <w:rFonts w:hint="default"/>
      </w:rPr>
    </w:lvl>
    <w:lvl w:ilvl="2">
      <w:start w:val="0"/>
      <w:numFmt w:val="bullet"/>
      <w:lvlText w:val="•"/>
      <w:lvlJc w:val="left"/>
      <w:pPr>
        <w:ind w:left="1948" w:hanging="720"/>
      </w:pPr>
      <w:rPr>
        <w:rFonts w:hint="default"/>
      </w:rPr>
    </w:lvl>
    <w:lvl w:ilvl="3">
      <w:start w:val="0"/>
      <w:numFmt w:val="bullet"/>
      <w:lvlText w:val="•"/>
      <w:lvlJc w:val="left"/>
      <w:pPr>
        <w:ind w:left="2512" w:hanging="720"/>
      </w:pPr>
      <w:rPr>
        <w:rFonts w:hint="default"/>
      </w:rPr>
    </w:lvl>
    <w:lvl w:ilvl="4">
      <w:start w:val="0"/>
      <w:numFmt w:val="bullet"/>
      <w:lvlText w:val="•"/>
      <w:lvlJc w:val="left"/>
      <w:pPr>
        <w:ind w:left="3076" w:hanging="720"/>
      </w:pPr>
      <w:rPr>
        <w:rFonts w:hint="default"/>
      </w:rPr>
    </w:lvl>
    <w:lvl w:ilvl="5">
      <w:start w:val="0"/>
      <w:numFmt w:val="bullet"/>
      <w:lvlText w:val="•"/>
      <w:lvlJc w:val="left"/>
      <w:pPr>
        <w:ind w:left="3640" w:hanging="720"/>
      </w:pPr>
      <w:rPr>
        <w:rFonts w:hint="default"/>
      </w:rPr>
    </w:lvl>
    <w:lvl w:ilvl="6">
      <w:start w:val="0"/>
      <w:numFmt w:val="bullet"/>
      <w:lvlText w:val="•"/>
      <w:lvlJc w:val="left"/>
      <w:pPr>
        <w:ind w:left="4204" w:hanging="720"/>
      </w:pPr>
      <w:rPr>
        <w:rFonts w:hint="default"/>
      </w:rPr>
    </w:lvl>
    <w:lvl w:ilvl="7">
      <w:start w:val="0"/>
      <w:numFmt w:val="bullet"/>
      <w:lvlText w:val="•"/>
      <w:lvlJc w:val="left"/>
      <w:pPr>
        <w:ind w:left="4768" w:hanging="720"/>
      </w:pPr>
      <w:rPr>
        <w:rFonts w:hint="default"/>
      </w:rPr>
    </w:lvl>
    <w:lvl w:ilvl="8">
      <w:start w:val="0"/>
      <w:numFmt w:val="bullet"/>
      <w:lvlText w:val="•"/>
      <w:lvlJc w:val="left"/>
      <w:pPr>
        <w:ind w:left="5332" w:hanging="720"/>
      </w:pPr>
      <w:rPr>
        <w:rFonts w:hint="default"/>
      </w:rPr>
    </w:lvl>
  </w:abstractNum>
  <w:abstractNum w:abstractNumId="29">
    <w:multiLevelType w:val="hybridMultilevel"/>
    <w:lvl w:ilvl="0">
      <w:start w:val="3"/>
      <w:numFmt w:val="decimal"/>
      <w:lvlText w:val="（%1）"/>
      <w:lvlJc w:val="left"/>
      <w:pPr>
        <w:ind w:left="828" w:hanging="720"/>
        <w:jc w:val="left"/>
      </w:pPr>
      <w:rPr>
        <w:rFonts w:hint="default" w:ascii="宋体" w:hAnsi="宋体" w:eastAsia="宋体" w:cs="宋体"/>
        <w:w w:val="100"/>
        <w:sz w:val="24"/>
        <w:szCs w:val="24"/>
      </w:rPr>
    </w:lvl>
    <w:lvl w:ilvl="1">
      <w:start w:val="0"/>
      <w:numFmt w:val="bullet"/>
      <w:lvlText w:val="•"/>
      <w:lvlJc w:val="left"/>
      <w:pPr>
        <w:ind w:left="1384" w:hanging="720"/>
      </w:pPr>
      <w:rPr>
        <w:rFonts w:hint="default"/>
      </w:rPr>
    </w:lvl>
    <w:lvl w:ilvl="2">
      <w:start w:val="0"/>
      <w:numFmt w:val="bullet"/>
      <w:lvlText w:val="•"/>
      <w:lvlJc w:val="left"/>
      <w:pPr>
        <w:ind w:left="1948" w:hanging="720"/>
      </w:pPr>
      <w:rPr>
        <w:rFonts w:hint="default"/>
      </w:rPr>
    </w:lvl>
    <w:lvl w:ilvl="3">
      <w:start w:val="0"/>
      <w:numFmt w:val="bullet"/>
      <w:lvlText w:val="•"/>
      <w:lvlJc w:val="left"/>
      <w:pPr>
        <w:ind w:left="2512" w:hanging="720"/>
      </w:pPr>
      <w:rPr>
        <w:rFonts w:hint="default"/>
      </w:rPr>
    </w:lvl>
    <w:lvl w:ilvl="4">
      <w:start w:val="0"/>
      <w:numFmt w:val="bullet"/>
      <w:lvlText w:val="•"/>
      <w:lvlJc w:val="left"/>
      <w:pPr>
        <w:ind w:left="3076" w:hanging="720"/>
      </w:pPr>
      <w:rPr>
        <w:rFonts w:hint="default"/>
      </w:rPr>
    </w:lvl>
    <w:lvl w:ilvl="5">
      <w:start w:val="0"/>
      <w:numFmt w:val="bullet"/>
      <w:lvlText w:val="•"/>
      <w:lvlJc w:val="left"/>
      <w:pPr>
        <w:ind w:left="3640" w:hanging="720"/>
      </w:pPr>
      <w:rPr>
        <w:rFonts w:hint="default"/>
      </w:rPr>
    </w:lvl>
    <w:lvl w:ilvl="6">
      <w:start w:val="0"/>
      <w:numFmt w:val="bullet"/>
      <w:lvlText w:val="•"/>
      <w:lvlJc w:val="left"/>
      <w:pPr>
        <w:ind w:left="4204" w:hanging="720"/>
      </w:pPr>
      <w:rPr>
        <w:rFonts w:hint="default"/>
      </w:rPr>
    </w:lvl>
    <w:lvl w:ilvl="7">
      <w:start w:val="0"/>
      <w:numFmt w:val="bullet"/>
      <w:lvlText w:val="•"/>
      <w:lvlJc w:val="left"/>
      <w:pPr>
        <w:ind w:left="4768" w:hanging="720"/>
      </w:pPr>
      <w:rPr>
        <w:rFonts w:hint="default"/>
      </w:rPr>
    </w:lvl>
    <w:lvl w:ilvl="8">
      <w:start w:val="0"/>
      <w:numFmt w:val="bullet"/>
      <w:lvlText w:val="•"/>
      <w:lvlJc w:val="left"/>
      <w:pPr>
        <w:ind w:left="5332" w:hanging="720"/>
      </w:pPr>
      <w:rPr>
        <w:rFonts w:hint="default"/>
      </w:rPr>
    </w:lvl>
  </w:abstractNum>
  <w:abstractNum w:abstractNumId="28">
    <w:multiLevelType w:val="hybridMultilevel"/>
    <w:lvl w:ilvl="0">
      <w:start w:val="6"/>
      <w:numFmt w:val="decimal"/>
      <w:lvlText w:val="（%1）"/>
      <w:lvlJc w:val="left"/>
      <w:pPr>
        <w:ind w:left="827" w:hanging="720"/>
        <w:jc w:val="left"/>
      </w:pPr>
      <w:rPr>
        <w:rFonts w:hint="default" w:ascii="宋体" w:hAnsi="宋体" w:eastAsia="宋体" w:cs="宋体"/>
        <w:w w:val="100"/>
        <w:sz w:val="24"/>
        <w:szCs w:val="24"/>
      </w:rPr>
    </w:lvl>
    <w:lvl w:ilvl="1">
      <w:start w:val="0"/>
      <w:numFmt w:val="bullet"/>
      <w:lvlText w:val="•"/>
      <w:lvlJc w:val="left"/>
      <w:pPr>
        <w:ind w:left="1381" w:hanging="720"/>
      </w:pPr>
      <w:rPr>
        <w:rFonts w:hint="default"/>
      </w:rPr>
    </w:lvl>
    <w:lvl w:ilvl="2">
      <w:start w:val="0"/>
      <w:numFmt w:val="bullet"/>
      <w:lvlText w:val="•"/>
      <w:lvlJc w:val="left"/>
      <w:pPr>
        <w:ind w:left="1943" w:hanging="720"/>
      </w:pPr>
      <w:rPr>
        <w:rFonts w:hint="default"/>
      </w:rPr>
    </w:lvl>
    <w:lvl w:ilvl="3">
      <w:start w:val="0"/>
      <w:numFmt w:val="bullet"/>
      <w:lvlText w:val="•"/>
      <w:lvlJc w:val="left"/>
      <w:pPr>
        <w:ind w:left="2505" w:hanging="720"/>
      </w:pPr>
      <w:rPr>
        <w:rFonts w:hint="default"/>
      </w:rPr>
    </w:lvl>
    <w:lvl w:ilvl="4">
      <w:start w:val="0"/>
      <w:numFmt w:val="bullet"/>
      <w:lvlText w:val="•"/>
      <w:lvlJc w:val="left"/>
      <w:pPr>
        <w:ind w:left="3067" w:hanging="720"/>
      </w:pPr>
      <w:rPr>
        <w:rFonts w:hint="default"/>
      </w:rPr>
    </w:lvl>
    <w:lvl w:ilvl="5">
      <w:start w:val="0"/>
      <w:numFmt w:val="bullet"/>
      <w:lvlText w:val="•"/>
      <w:lvlJc w:val="left"/>
      <w:pPr>
        <w:ind w:left="3629" w:hanging="720"/>
      </w:pPr>
      <w:rPr>
        <w:rFonts w:hint="default"/>
      </w:rPr>
    </w:lvl>
    <w:lvl w:ilvl="6">
      <w:start w:val="0"/>
      <w:numFmt w:val="bullet"/>
      <w:lvlText w:val="•"/>
      <w:lvlJc w:val="left"/>
      <w:pPr>
        <w:ind w:left="4191" w:hanging="720"/>
      </w:pPr>
      <w:rPr>
        <w:rFonts w:hint="default"/>
      </w:rPr>
    </w:lvl>
    <w:lvl w:ilvl="7">
      <w:start w:val="0"/>
      <w:numFmt w:val="bullet"/>
      <w:lvlText w:val="•"/>
      <w:lvlJc w:val="left"/>
      <w:pPr>
        <w:ind w:left="4753" w:hanging="720"/>
      </w:pPr>
      <w:rPr>
        <w:rFonts w:hint="default"/>
      </w:rPr>
    </w:lvl>
    <w:lvl w:ilvl="8">
      <w:start w:val="0"/>
      <w:numFmt w:val="bullet"/>
      <w:lvlText w:val="•"/>
      <w:lvlJc w:val="left"/>
      <w:pPr>
        <w:ind w:left="5315" w:hanging="720"/>
      </w:pPr>
      <w:rPr>
        <w:rFonts w:hint="default"/>
      </w:rPr>
    </w:lvl>
  </w:abstractNum>
  <w:abstractNum w:abstractNumId="27">
    <w:multiLevelType w:val="hybridMultilevel"/>
    <w:lvl w:ilvl="0">
      <w:start w:val="4"/>
      <w:numFmt w:val="decimal"/>
      <w:lvlText w:val="（%1）"/>
      <w:lvlJc w:val="left"/>
      <w:pPr>
        <w:ind w:left="827" w:hanging="720"/>
        <w:jc w:val="left"/>
      </w:pPr>
      <w:rPr>
        <w:rFonts w:hint="default" w:ascii="宋体" w:hAnsi="宋体" w:eastAsia="宋体" w:cs="宋体"/>
        <w:w w:val="100"/>
        <w:sz w:val="24"/>
        <w:szCs w:val="24"/>
      </w:rPr>
    </w:lvl>
    <w:lvl w:ilvl="1">
      <w:start w:val="0"/>
      <w:numFmt w:val="bullet"/>
      <w:lvlText w:val="•"/>
      <w:lvlJc w:val="left"/>
      <w:pPr>
        <w:ind w:left="1381" w:hanging="720"/>
      </w:pPr>
      <w:rPr>
        <w:rFonts w:hint="default"/>
      </w:rPr>
    </w:lvl>
    <w:lvl w:ilvl="2">
      <w:start w:val="0"/>
      <w:numFmt w:val="bullet"/>
      <w:lvlText w:val="•"/>
      <w:lvlJc w:val="left"/>
      <w:pPr>
        <w:ind w:left="1943" w:hanging="720"/>
      </w:pPr>
      <w:rPr>
        <w:rFonts w:hint="default"/>
      </w:rPr>
    </w:lvl>
    <w:lvl w:ilvl="3">
      <w:start w:val="0"/>
      <w:numFmt w:val="bullet"/>
      <w:lvlText w:val="•"/>
      <w:lvlJc w:val="left"/>
      <w:pPr>
        <w:ind w:left="2505" w:hanging="720"/>
      </w:pPr>
      <w:rPr>
        <w:rFonts w:hint="default"/>
      </w:rPr>
    </w:lvl>
    <w:lvl w:ilvl="4">
      <w:start w:val="0"/>
      <w:numFmt w:val="bullet"/>
      <w:lvlText w:val="•"/>
      <w:lvlJc w:val="left"/>
      <w:pPr>
        <w:ind w:left="3067" w:hanging="720"/>
      </w:pPr>
      <w:rPr>
        <w:rFonts w:hint="default"/>
      </w:rPr>
    </w:lvl>
    <w:lvl w:ilvl="5">
      <w:start w:val="0"/>
      <w:numFmt w:val="bullet"/>
      <w:lvlText w:val="•"/>
      <w:lvlJc w:val="left"/>
      <w:pPr>
        <w:ind w:left="3629" w:hanging="720"/>
      </w:pPr>
      <w:rPr>
        <w:rFonts w:hint="default"/>
      </w:rPr>
    </w:lvl>
    <w:lvl w:ilvl="6">
      <w:start w:val="0"/>
      <w:numFmt w:val="bullet"/>
      <w:lvlText w:val="•"/>
      <w:lvlJc w:val="left"/>
      <w:pPr>
        <w:ind w:left="4191" w:hanging="720"/>
      </w:pPr>
      <w:rPr>
        <w:rFonts w:hint="default"/>
      </w:rPr>
    </w:lvl>
    <w:lvl w:ilvl="7">
      <w:start w:val="0"/>
      <w:numFmt w:val="bullet"/>
      <w:lvlText w:val="•"/>
      <w:lvlJc w:val="left"/>
      <w:pPr>
        <w:ind w:left="4753" w:hanging="720"/>
      </w:pPr>
      <w:rPr>
        <w:rFonts w:hint="default"/>
      </w:rPr>
    </w:lvl>
    <w:lvl w:ilvl="8">
      <w:start w:val="0"/>
      <w:numFmt w:val="bullet"/>
      <w:lvlText w:val="•"/>
      <w:lvlJc w:val="left"/>
      <w:pPr>
        <w:ind w:left="5315" w:hanging="720"/>
      </w:pPr>
      <w:rPr>
        <w:rFonts w:hint="default"/>
      </w:rPr>
    </w:lvl>
  </w:abstractNum>
  <w:abstractNum w:abstractNumId="26">
    <w:multiLevelType w:val="hybridMultilevel"/>
    <w:lvl w:ilvl="0">
      <w:start w:val="4"/>
      <w:numFmt w:val="decimal"/>
      <w:lvlText w:val="（%1）"/>
      <w:lvlJc w:val="left"/>
      <w:pPr>
        <w:ind w:left="827" w:hanging="720"/>
        <w:jc w:val="left"/>
      </w:pPr>
      <w:rPr>
        <w:rFonts w:hint="default" w:ascii="宋体" w:hAnsi="宋体" w:eastAsia="宋体" w:cs="宋体"/>
        <w:w w:val="100"/>
        <w:sz w:val="24"/>
        <w:szCs w:val="24"/>
      </w:rPr>
    </w:lvl>
    <w:lvl w:ilvl="1">
      <w:start w:val="0"/>
      <w:numFmt w:val="bullet"/>
      <w:lvlText w:val="•"/>
      <w:lvlJc w:val="left"/>
      <w:pPr>
        <w:ind w:left="1381" w:hanging="720"/>
      </w:pPr>
      <w:rPr>
        <w:rFonts w:hint="default"/>
      </w:rPr>
    </w:lvl>
    <w:lvl w:ilvl="2">
      <w:start w:val="0"/>
      <w:numFmt w:val="bullet"/>
      <w:lvlText w:val="•"/>
      <w:lvlJc w:val="left"/>
      <w:pPr>
        <w:ind w:left="1943" w:hanging="720"/>
      </w:pPr>
      <w:rPr>
        <w:rFonts w:hint="default"/>
      </w:rPr>
    </w:lvl>
    <w:lvl w:ilvl="3">
      <w:start w:val="0"/>
      <w:numFmt w:val="bullet"/>
      <w:lvlText w:val="•"/>
      <w:lvlJc w:val="left"/>
      <w:pPr>
        <w:ind w:left="2505" w:hanging="720"/>
      </w:pPr>
      <w:rPr>
        <w:rFonts w:hint="default"/>
      </w:rPr>
    </w:lvl>
    <w:lvl w:ilvl="4">
      <w:start w:val="0"/>
      <w:numFmt w:val="bullet"/>
      <w:lvlText w:val="•"/>
      <w:lvlJc w:val="left"/>
      <w:pPr>
        <w:ind w:left="3067" w:hanging="720"/>
      </w:pPr>
      <w:rPr>
        <w:rFonts w:hint="default"/>
      </w:rPr>
    </w:lvl>
    <w:lvl w:ilvl="5">
      <w:start w:val="0"/>
      <w:numFmt w:val="bullet"/>
      <w:lvlText w:val="•"/>
      <w:lvlJc w:val="left"/>
      <w:pPr>
        <w:ind w:left="3629" w:hanging="720"/>
      </w:pPr>
      <w:rPr>
        <w:rFonts w:hint="default"/>
      </w:rPr>
    </w:lvl>
    <w:lvl w:ilvl="6">
      <w:start w:val="0"/>
      <w:numFmt w:val="bullet"/>
      <w:lvlText w:val="•"/>
      <w:lvlJc w:val="left"/>
      <w:pPr>
        <w:ind w:left="4191" w:hanging="720"/>
      </w:pPr>
      <w:rPr>
        <w:rFonts w:hint="default"/>
      </w:rPr>
    </w:lvl>
    <w:lvl w:ilvl="7">
      <w:start w:val="0"/>
      <w:numFmt w:val="bullet"/>
      <w:lvlText w:val="•"/>
      <w:lvlJc w:val="left"/>
      <w:pPr>
        <w:ind w:left="4753" w:hanging="720"/>
      </w:pPr>
      <w:rPr>
        <w:rFonts w:hint="default"/>
      </w:rPr>
    </w:lvl>
    <w:lvl w:ilvl="8">
      <w:start w:val="0"/>
      <w:numFmt w:val="bullet"/>
      <w:lvlText w:val="•"/>
      <w:lvlJc w:val="left"/>
      <w:pPr>
        <w:ind w:left="5315" w:hanging="720"/>
      </w:pPr>
      <w:rPr>
        <w:rFonts w:hint="default"/>
      </w:rPr>
    </w:lvl>
  </w:abstractNum>
  <w:abstractNum w:abstractNumId="25">
    <w:multiLevelType w:val="hybridMultilevel"/>
    <w:lvl w:ilvl="0">
      <w:start w:val="5"/>
      <w:numFmt w:val="decimal"/>
      <w:lvlText w:val="（%1）"/>
      <w:lvlJc w:val="left"/>
      <w:pPr>
        <w:ind w:left="107" w:hanging="716"/>
        <w:jc w:val="left"/>
      </w:pPr>
      <w:rPr>
        <w:rFonts w:hint="default" w:ascii="宋体" w:hAnsi="宋体" w:eastAsia="宋体" w:cs="宋体"/>
        <w:w w:val="100"/>
        <w:sz w:val="24"/>
        <w:szCs w:val="24"/>
      </w:rPr>
    </w:lvl>
    <w:lvl w:ilvl="1">
      <w:start w:val="0"/>
      <w:numFmt w:val="bullet"/>
      <w:lvlText w:val="•"/>
      <w:lvlJc w:val="left"/>
      <w:pPr>
        <w:ind w:left="733" w:hanging="716"/>
      </w:pPr>
      <w:rPr>
        <w:rFonts w:hint="default"/>
      </w:rPr>
    </w:lvl>
    <w:lvl w:ilvl="2">
      <w:start w:val="0"/>
      <w:numFmt w:val="bullet"/>
      <w:lvlText w:val="•"/>
      <w:lvlJc w:val="left"/>
      <w:pPr>
        <w:ind w:left="1367" w:hanging="716"/>
      </w:pPr>
      <w:rPr>
        <w:rFonts w:hint="default"/>
      </w:rPr>
    </w:lvl>
    <w:lvl w:ilvl="3">
      <w:start w:val="0"/>
      <w:numFmt w:val="bullet"/>
      <w:lvlText w:val="•"/>
      <w:lvlJc w:val="left"/>
      <w:pPr>
        <w:ind w:left="2001" w:hanging="716"/>
      </w:pPr>
      <w:rPr>
        <w:rFonts w:hint="default"/>
      </w:rPr>
    </w:lvl>
    <w:lvl w:ilvl="4">
      <w:start w:val="0"/>
      <w:numFmt w:val="bullet"/>
      <w:lvlText w:val="•"/>
      <w:lvlJc w:val="left"/>
      <w:pPr>
        <w:ind w:left="2635" w:hanging="716"/>
      </w:pPr>
      <w:rPr>
        <w:rFonts w:hint="default"/>
      </w:rPr>
    </w:lvl>
    <w:lvl w:ilvl="5">
      <w:start w:val="0"/>
      <w:numFmt w:val="bullet"/>
      <w:lvlText w:val="•"/>
      <w:lvlJc w:val="left"/>
      <w:pPr>
        <w:ind w:left="3269" w:hanging="716"/>
      </w:pPr>
      <w:rPr>
        <w:rFonts w:hint="default"/>
      </w:rPr>
    </w:lvl>
    <w:lvl w:ilvl="6">
      <w:start w:val="0"/>
      <w:numFmt w:val="bullet"/>
      <w:lvlText w:val="•"/>
      <w:lvlJc w:val="left"/>
      <w:pPr>
        <w:ind w:left="3903" w:hanging="716"/>
      </w:pPr>
      <w:rPr>
        <w:rFonts w:hint="default"/>
      </w:rPr>
    </w:lvl>
    <w:lvl w:ilvl="7">
      <w:start w:val="0"/>
      <w:numFmt w:val="bullet"/>
      <w:lvlText w:val="•"/>
      <w:lvlJc w:val="left"/>
      <w:pPr>
        <w:ind w:left="4537" w:hanging="716"/>
      </w:pPr>
      <w:rPr>
        <w:rFonts w:hint="default"/>
      </w:rPr>
    </w:lvl>
    <w:lvl w:ilvl="8">
      <w:start w:val="0"/>
      <w:numFmt w:val="bullet"/>
      <w:lvlText w:val="•"/>
      <w:lvlJc w:val="left"/>
      <w:pPr>
        <w:ind w:left="5171" w:hanging="716"/>
      </w:pPr>
      <w:rPr>
        <w:rFonts w:hint="default"/>
      </w:rPr>
    </w:lvl>
  </w:abstractNum>
  <w:abstractNum w:abstractNumId="24">
    <w:multiLevelType w:val="hybridMultilevel"/>
    <w:lvl w:ilvl="0">
      <w:start w:val="3"/>
      <w:numFmt w:val="decimal"/>
      <w:lvlText w:val="（%1）"/>
      <w:lvlJc w:val="left"/>
      <w:pPr>
        <w:ind w:left="827" w:hanging="720"/>
        <w:jc w:val="left"/>
      </w:pPr>
      <w:rPr>
        <w:rFonts w:hint="default" w:ascii="宋体" w:hAnsi="宋体" w:eastAsia="宋体" w:cs="宋体"/>
        <w:w w:val="100"/>
        <w:sz w:val="24"/>
        <w:szCs w:val="24"/>
      </w:rPr>
    </w:lvl>
    <w:lvl w:ilvl="1">
      <w:start w:val="0"/>
      <w:numFmt w:val="bullet"/>
      <w:lvlText w:val="•"/>
      <w:lvlJc w:val="left"/>
      <w:pPr>
        <w:ind w:left="1381" w:hanging="720"/>
      </w:pPr>
      <w:rPr>
        <w:rFonts w:hint="default"/>
      </w:rPr>
    </w:lvl>
    <w:lvl w:ilvl="2">
      <w:start w:val="0"/>
      <w:numFmt w:val="bullet"/>
      <w:lvlText w:val="•"/>
      <w:lvlJc w:val="left"/>
      <w:pPr>
        <w:ind w:left="1943" w:hanging="720"/>
      </w:pPr>
      <w:rPr>
        <w:rFonts w:hint="default"/>
      </w:rPr>
    </w:lvl>
    <w:lvl w:ilvl="3">
      <w:start w:val="0"/>
      <w:numFmt w:val="bullet"/>
      <w:lvlText w:val="•"/>
      <w:lvlJc w:val="left"/>
      <w:pPr>
        <w:ind w:left="2505" w:hanging="720"/>
      </w:pPr>
      <w:rPr>
        <w:rFonts w:hint="default"/>
      </w:rPr>
    </w:lvl>
    <w:lvl w:ilvl="4">
      <w:start w:val="0"/>
      <w:numFmt w:val="bullet"/>
      <w:lvlText w:val="•"/>
      <w:lvlJc w:val="left"/>
      <w:pPr>
        <w:ind w:left="3067" w:hanging="720"/>
      </w:pPr>
      <w:rPr>
        <w:rFonts w:hint="default"/>
      </w:rPr>
    </w:lvl>
    <w:lvl w:ilvl="5">
      <w:start w:val="0"/>
      <w:numFmt w:val="bullet"/>
      <w:lvlText w:val="•"/>
      <w:lvlJc w:val="left"/>
      <w:pPr>
        <w:ind w:left="3629" w:hanging="720"/>
      </w:pPr>
      <w:rPr>
        <w:rFonts w:hint="default"/>
      </w:rPr>
    </w:lvl>
    <w:lvl w:ilvl="6">
      <w:start w:val="0"/>
      <w:numFmt w:val="bullet"/>
      <w:lvlText w:val="•"/>
      <w:lvlJc w:val="left"/>
      <w:pPr>
        <w:ind w:left="4191" w:hanging="720"/>
      </w:pPr>
      <w:rPr>
        <w:rFonts w:hint="default"/>
      </w:rPr>
    </w:lvl>
    <w:lvl w:ilvl="7">
      <w:start w:val="0"/>
      <w:numFmt w:val="bullet"/>
      <w:lvlText w:val="•"/>
      <w:lvlJc w:val="left"/>
      <w:pPr>
        <w:ind w:left="4753" w:hanging="720"/>
      </w:pPr>
      <w:rPr>
        <w:rFonts w:hint="default"/>
      </w:rPr>
    </w:lvl>
    <w:lvl w:ilvl="8">
      <w:start w:val="0"/>
      <w:numFmt w:val="bullet"/>
      <w:lvlText w:val="•"/>
      <w:lvlJc w:val="left"/>
      <w:pPr>
        <w:ind w:left="5315" w:hanging="720"/>
      </w:pPr>
      <w:rPr>
        <w:rFonts w:hint="default"/>
      </w:rPr>
    </w:lvl>
  </w:abstractNum>
  <w:abstractNum w:abstractNumId="23">
    <w:multiLevelType w:val="hybridMultilevel"/>
    <w:lvl w:ilvl="0">
      <w:start w:val="4"/>
      <w:numFmt w:val="decimal"/>
      <w:lvlText w:val="（%1）"/>
      <w:lvlJc w:val="left"/>
      <w:pPr>
        <w:ind w:left="827" w:hanging="720"/>
        <w:jc w:val="left"/>
      </w:pPr>
      <w:rPr>
        <w:rFonts w:hint="default" w:ascii="宋体" w:hAnsi="宋体" w:eastAsia="宋体" w:cs="宋体"/>
        <w:w w:val="100"/>
        <w:sz w:val="24"/>
        <w:szCs w:val="24"/>
      </w:rPr>
    </w:lvl>
    <w:lvl w:ilvl="1">
      <w:start w:val="0"/>
      <w:numFmt w:val="bullet"/>
      <w:lvlText w:val="•"/>
      <w:lvlJc w:val="left"/>
      <w:pPr>
        <w:ind w:left="1384" w:hanging="720"/>
      </w:pPr>
      <w:rPr>
        <w:rFonts w:hint="default"/>
      </w:rPr>
    </w:lvl>
    <w:lvl w:ilvl="2">
      <w:start w:val="0"/>
      <w:numFmt w:val="bullet"/>
      <w:lvlText w:val="•"/>
      <w:lvlJc w:val="left"/>
      <w:pPr>
        <w:ind w:left="1948" w:hanging="720"/>
      </w:pPr>
      <w:rPr>
        <w:rFonts w:hint="default"/>
      </w:rPr>
    </w:lvl>
    <w:lvl w:ilvl="3">
      <w:start w:val="0"/>
      <w:numFmt w:val="bullet"/>
      <w:lvlText w:val="•"/>
      <w:lvlJc w:val="left"/>
      <w:pPr>
        <w:ind w:left="2512" w:hanging="720"/>
      </w:pPr>
      <w:rPr>
        <w:rFonts w:hint="default"/>
      </w:rPr>
    </w:lvl>
    <w:lvl w:ilvl="4">
      <w:start w:val="0"/>
      <w:numFmt w:val="bullet"/>
      <w:lvlText w:val="•"/>
      <w:lvlJc w:val="left"/>
      <w:pPr>
        <w:ind w:left="3076" w:hanging="720"/>
      </w:pPr>
      <w:rPr>
        <w:rFonts w:hint="default"/>
      </w:rPr>
    </w:lvl>
    <w:lvl w:ilvl="5">
      <w:start w:val="0"/>
      <w:numFmt w:val="bullet"/>
      <w:lvlText w:val="•"/>
      <w:lvlJc w:val="left"/>
      <w:pPr>
        <w:ind w:left="3640" w:hanging="720"/>
      </w:pPr>
      <w:rPr>
        <w:rFonts w:hint="default"/>
      </w:rPr>
    </w:lvl>
    <w:lvl w:ilvl="6">
      <w:start w:val="0"/>
      <w:numFmt w:val="bullet"/>
      <w:lvlText w:val="•"/>
      <w:lvlJc w:val="left"/>
      <w:pPr>
        <w:ind w:left="4204" w:hanging="720"/>
      </w:pPr>
      <w:rPr>
        <w:rFonts w:hint="default"/>
      </w:rPr>
    </w:lvl>
    <w:lvl w:ilvl="7">
      <w:start w:val="0"/>
      <w:numFmt w:val="bullet"/>
      <w:lvlText w:val="•"/>
      <w:lvlJc w:val="left"/>
      <w:pPr>
        <w:ind w:left="4768" w:hanging="720"/>
      </w:pPr>
      <w:rPr>
        <w:rFonts w:hint="default"/>
      </w:rPr>
    </w:lvl>
    <w:lvl w:ilvl="8">
      <w:start w:val="0"/>
      <w:numFmt w:val="bullet"/>
      <w:lvlText w:val="•"/>
      <w:lvlJc w:val="left"/>
      <w:pPr>
        <w:ind w:left="5332" w:hanging="720"/>
      </w:pPr>
      <w:rPr>
        <w:rFonts w:hint="default"/>
      </w:rPr>
    </w:lvl>
  </w:abstractNum>
  <w:abstractNum w:abstractNumId="22">
    <w:multiLevelType w:val="hybridMultilevel"/>
    <w:lvl w:ilvl="0">
      <w:start w:val="2"/>
      <w:numFmt w:val="decimal"/>
      <w:lvlText w:val="（%1）"/>
      <w:lvlJc w:val="left"/>
      <w:pPr>
        <w:ind w:left="107" w:hanging="723"/>
        <w:jc w:val="left"/>
      </w:pPr>
      <w:rPr>
        <w:rFonts w:hint="default" w:ascii="宋体" w:hAnsi="宋体" w:eastAsia="宋体" w:cs="宋体"/>
        <w:w w:val="100"/>
        <w:sz w:val="24"/>
        <w:szCs w:val="24"/>
      </w:rPr>
    </w:lvl>
    <w:lvl w:ilvl="1">
      <w:start w:val="0"/>
      <w:numFmt w:val="bullet"/>
      <w:lvlText w:val="•"/>
      <w:lvlJc w:val="left"/>
      <w:pPr>
        <w:ind w:left="736" w:hanging="723"/>
      </w:pPr>
      <w:rPr>
        <w:rFonts w:hint="default"/>
      </w:rPr>
    </w:lvl>
    <w:lvl w:ilvl="2">
      <w:start w:val="0"/>
      <w:numFmt w:val="bullet"/>
      <w:lvlText w:val="•"/>
      <w:lvlJc w:val="left"/>
      <w:pPr>
        <w:ind w:left="1372" w:hanging="723"/>
      </w:pPr>
      <w:rPr>
        <w:rFonts w:hint="default"/>
      </w:rPr>
    </w:lvl>
    <w:lvl w:ilvl="3">
      <w:start w:val="0"/>
      <w:numFmt w:val="bullet"/>
      <w:lvlText w:val="•"/>
      <w:lvlJc w:val="left"/>
      <w:pPr>
        <w:ind w:left="2008" w:hanging="723"/>
      </w:pPr>
      <w:rPr>
        <w:rFonts w:hint="default"/>
      </w:rPr>
    </w:lvl>
    <w:lvl w:ilvl="4">
      <w:start w:val="0"/>
      <w:numFmt w:val="bullet"/>
      <w:lvlText w:val="•"/>
      <w:lvlJc w:val="left"/>
      <w:pPr>
        <w:ind w:left="2644" w:hanging="723"/>
      </w:pPr>
      <w:rPr>
        <w:rFonts w:hint="default"/>
      </w:rPr>
    </w:lvl>
    <w:lvl w:ilvl="5">
      <w:start w:val="0"/>
      <w:numFmt w:val="bullet"/>
      <w:lvlText w:val="•"/>
      <w:lvlJc w:val="left"/>
      <w:pPr>
        <w:ind w:left="3280" w:hanging="723"/>
      </w:pPr>
      <w:rPr>
        <w:rFonts w:hint="default"/>
      </w:rPr>
    </w:lvl>
    <w:lvl w:ilvl="6">
      <w:start w:val="0"/>
      <w:numFmt w:val="bullet"/>
      <w:lvlText w:val="•"/>
      <w:lvlJc w:val="left"/>
      <w:pPr>
        <w:ind w:left="3916" w:hanging="723"/>
      </w:pPr>
      <w:rPr>
        <w:rFonts w:hint="default"/>
      </w:rPr>
    </w:lvl>
    <w:lvl w:ilvl="7">
      <w:start w:val="0"/>
      <w:numFmt w:val="bullet"/>
      <w:lvlText w:val="•"/>
      <w:lvlJc w:val="left"/>
      <w:pPr>
        <w:ind w:left="4552" w:hanging="723"/>
      </w:pPr>
      <w:rPr>
        <w:rFonts w:hint="default"/>
      </w:rPr>
    </w:lvl>
    <w:lvl w:ilvl="8">
      <w:start w:val="0"/>
      <w:numFmt w:val="bullet"/>
      <w:lvlText w:val="•"/>
      <w:lvlJc w:val="left"/>
      <w:pPr>
        <w:ind w:left="5188" w:hanging="723"/>
      </w:pPr>
      <w:rPr>
        <w:rFonts w:hint="default"/>
      </w:rPr>
    </w:lvl>
  </w:abstractNum>
  <w:abstractNum w:abstractNumId="21">
    <w:multiLevelType w:val="hybridMultilevel"/>
    <w:lvl w:ilvl="0">
      <w:start w:val="2"/>
      <w:numFmt w:val="decimal"/>
      <w:lvlText w:val="（%1）"/>
      <w:lvlJc w:val="left"/>
      <w:pPr>
        <w:ind w:left="827" w:hanging="720"/>
        <w:jc w:val="left"/>
      </w:pPr>
      <w:rPr>
        <w:rFonts w:hint="default" w:ascii="宋体" w:hAnsi="宋体" w:eastAsia="宋体" w:cs="宋体"/>
        <w:w w:val="100"/>
        <w:sz w:val="24"/>
        <w:szCs w:val="24"/>
      </w:rPr>
    </w:lvl>
    <w:lvl w:ilvl="1">
      <w:start w:val="0"/>
      <w:numFmt w:val="bullet"/>
      <w:lvlText w:val="•"/>
      <w:lvlJc w:val="left"/>
      <w:pPr>
        <w:ind w:left="1384" w:hanging="720"/>
      </w:pPr>
      <w:rPr>
        <w:rFonts w:hint="default"/>
      </w:rPr>
    </w:lvl>
    <w:lvl w:ilvl="2">
      <w:start w:val="0"/>
      <w:numFmt w:val="bullet"/>
      <w:lvlText w:val="•"/>
      <w:lvlJc w:val="left"/>
      <w:pPr>
        <w:ind w:left="1948" w:hanging="720"/>
      </w:pPr>
      <w:rPr>
        <w:rFonts w:hint="default"/>
      </w:rPr>
    </w:lvl>
    <w:lvl w:ilvl="3">
      <w:start w:val="0"/>
      <w:numFmt w:val="bullet"/>
      <w:lvlText w:val="•"/>
      <w:lvlJc w:val="left"/>
      <w:pPr>
        <w:ind w:left="2512" w:hanging="720"/>
      </w:pPr>
      <w:rPr>
        <w:rFonts w:hint="default"/>
      </w:rPr>
    </w:lvl>
    <w:lvl w:ilvl="4">
      <w:start w:val="0"/>
      <w:numFmt w:val="bullet"/>
      <w:lvlText w:val="•"/>
      <w:lvlJc w:val="left"/>
      <w:pPr>
        <w:ind w:left="3076" w:hanging="720"/>
      </w:pPr>
      <w:rPr>
        <w:rFonts w:hint="default"/>
      </w:rPr>
    </w:lvl>
    <w:lvl w:ilvl="5">
      <w:start w:val="0"/>
      <w:numFmt w:val="bullet"/>
      <w:lvlText w:val="•"/>
      <w:lvlJc w:val="left"/>
      <w:pPr>
        <w:ind w:left="3640" w:hanging="720"/>
      </w:pPr>
      <w:rPr>
        <w:rFonts w:hint="default"/>
      </w:rPr>
    </w:lvl>
    <w:lvl w:ilvl="6">
      <w:start w:val="0"/>
      <w:numFmt w:val="bullet"/>
      <w:lvlText w:val="•"/>
      <w:lvlJc w:val="left"/>
      <w:pPr>
        <w:ind w:left="4204" w:hanging="720"/>
      </w:pPr>
      <w:rPr>
        <w:rFonts w:hint="default"/>
      </w:rPr>
    </w:lvl>
    <w:lvl w:ilvl="7">
      <w:start w:val="0"/>
      <w:numFmt w:val="bullet"/>
      <w:lvlText w:val="•"/>
      <w:lvlJc w:val="left"/>
      <w:pPr>
        <w:ind w:left="4768" w:hanging="720"/>
      </w:pPr>
      <w:rPr>
        <w:rFonts w:hint="default"/>
      </w:rPr>
    </w:lvl>
    <w:lvl w:ilvl="8">
      <w:start w:val="0"/>
      <w:numFmt w:val="bullet"/>
      <w:lvlText w:val="•"/>
      <w:lvlJc w:val="left"/>
      <w:pPr>
        <w:ind w:left="5332" w:hanging="720"/>
      </w:pPr>
      <w:rPr>
        <w:rFonts w:hint="default"/>
      </w:rPr>
    </w:lvl>
  </w:abstractNum>
  <w:abstractNum w:abstractNumId="20">
    <w:multiLevelType w:val="hybridMultilevel"/>
    <w:lvl w:ilvl="0">
      <w:start w:val="1"/>
      <w:numFmt w:val="decimal"/>
      <w:lvlText w:val="（%1）"/>
      <w:lvlJc w:val="left"/>
      <w:pPr>
        <w:ind w:left="708" w:hanging="601"/>
        <w:jc w:val="left"/>
      </w:pPr>
      <w:rPr>
        <w:rFonts w:hint="default" w:ascii="宋体" w:hAnsi="宋体" w:eastAsia="宋体" w:cs="宋体"/>
        <w:w w:val="100"/>
        <w:sz w:val="22"/>
        <w:szCs w:val="22"/>
      </w:rPr>
    </w:lvl>
    <w:lvl w:ilvl="1">
      <w:start w:val="0"/>
      <w:numFmt w:val="bullet"/>
      <w:lvlText w:val="•"/>
      <w:lvlJc w:val="left"/>
      <w:pPr>
        <w:ind w:left="1217" w:hanging="601"/>
      </w:pPr>
      <w:rPr>
        <w:rFonts w:hint="default"/>
      </w:rPr>
    </w:lvl>
    <w:lvl w:ilvl="2">
      <w:start w:val="0"/>
      <w:numFmt w:val="bullet"/>
      <w:lvlText w:val="•"/>
      <w:lvlJc w:val="left"/>
      <w:pPr>
        <w:ind w:left="1734" w:hanging="601"/>
      </w:pPr>
      <w:rPr>
        <w:rFonts w:hint="default"/>
      </w:rPr>
    </w:lvl>
    <w:lvl w:ilvl="3">
      <w:start w:val="0"/>
      <w:numFmt w:val="bullet"/>
      <w:lvlText w:val="•"/>
      <w:lvlJc w:val="left"/>
      <w:pPr>
        <w:ind w:left="2251" w:hanging="601"/>
      </w:pPr>
      <w:rPr>
        <w:rFonts w:hint="default"/>
      </w:rPr>
    </w:lvl>
    <w:lvl w:ilvl="4">
      <w:start w:val="0"/>
      <w:numFmt w:val="bullet"/>
      <w:lvlText w:val="•"/>
      <w:lvlJc w:val="left"/>
      <w:pPr>
        <w:ind w:left="2768" w:hanging="601"/>
      </w:pPr>
      <w:rPr>
        <w:rFonts w:hint="default"/>
      </w:rPr>
    </w:lvl>
    <w:lvl w:ilvl="5">
      <w:start w:val="0"/>
      <w:numFmt w:val="bullet"/>
      <w:lvlText w:val="•"/>
      <w:lvlJc w:val="left"/>
      <w:pPr>
        <w:ind w:left="3285" w:hanging="601"/>
      </w:pPr>
      <w:rPr>
        <w:rFonts w:hint="default"/>
      </w:rPr>
    </w:lvl>
    <w:lvl w:ilvl="6">
      <w:start w:val="0"/>
      <w:numFmt w:val="bullet"/>
      <w:lvlText w:val="•"/>
      <w:lvlJc w:val="left"/>
      <w:pPr>
        <w:ind w:left="3802" w:hanging="601"/>
      </w:pPr>
      <w:rPr>
        <w:rFonts w:hint="default"/>
      </w:rPr>
    </w:lvl>
    <w:lvl w:ilvl="7">
      <w:start w:val="0"/>
      <w:numFmt w:val="bullet"/>
      <w:lvlText w:val="•"/>
      <w:lvlJc w:val="left"/>
      <w:pPr>
        <w:ind w:left="4319" w:hanging="601"/>
      </w:pPr>
      <w:rPr>
        <w:rFonts w:hint="default"/>
      </w:rPr>
    </w:lvl>
    <w:lvl w:ilvl="8">
      <w:start w:val="0"/>
      <w:numFmt w:val="bullet"/>
      <w:lvlText w:val="•"/>
      <w:lvlJc w:val="left"/>
      <w:pPr>
        <w:ind w:left="4836" w:hanging="601"/>
      </w:pPr>
      <w:rPr>
        <w:rFonts w:hint="default"/>
      </w:rPr>
    </w:lvl>
  </w:abstractNum>
  <w:abstractNum w:abstractNumId="19">
    <w:multiLevelType w:val="hybridMultilevel"/>
    <w:lvl w:ilvl="0">
      <w:start w:val="1"/>
      <w:numFmt w:val="decimal"/>
      <w:lvlText w:val="（%1）"/>
      <w:lvlJc w:val="left"/>
      <w:pPr>
        <w:ind w:left="708" w:hanging="601"/>
        <w:jc w:val="left"/>
      </w:pPr>
      <w:rPr>
        <w:rFonts w:hint="default" w:ascii="宋体" w:hAnsi="宋体" w:eastAsia="宋体" w:cs="宋体"/>
        <w:w w:val="100"/>
        <w:sz w:val="22"/>
        <w:szCs w:val="22"/>
      </w:rPr>
    </w:lvl>
    <w:lvl w:ilvl="1">
      <w:start w:val="0"/>
      <w:numFmt w:val="bullet"/>
      <w:lvlText w:val="•"/>
      <w:lvlJc w:val="left"/>
      <w:pPr>
        <w:ind w:left="1217" w:hanging="601"/>
      </w:pPr>
      <w:rPr>
        <w:rFonts w:hint="default"/>
      </w:rPr>
    </w:lvl>
    <w:lvl w:ilvl="2">
      <w:start w:val="0"/>
      <w:numFmt w:val="bullet"/>
      <w:lvlText w:val="•"/>
      <w:lvlJc w:val="left"/>
      <w:pPr>
        <w:ind w:left="1734" w:hanging="601"/>
      </w:pPr>
      <w:rPr>
        <w:rFonts w:hint="default"/>
      </w:rPr>
    </w:lvl>
    <w:lvl w:ilvl="3">
      <w:start w:val="0"/>
      <w:numFmt w:val="bullet"/>
      <w:lvlText w:val="•"/>
      <w:lvlJc w:val="left"/>
      <w:pPr>
        <w:ind w:left="2251" w:hanging="601"/>
      </w:pPr>
      <w:rPr>
        <w:rFonts w:hint="default"/>
      </w:rPr>
    </w:lvl>
    <w:lvl w:ilvl="4">
      <w:start w:val="0"/>
      <w:numFmt w:val="bullet"/>
      <w:lvlText w:val="•"/>
      <w:lvlJc w:val="left"/>
      <w:pPr>
        <w:ind w:left="2768" w:hanging="601"/>
      </w:pPr>
      <w:rPr>
        <w:rFonts w:hint="default"/>
      </w:rPr>
    </w:lvl>
    <w:lvl w:ilvl="5">
      <w:start w:val="0"/>
      <w:numFmt w:val="bullet"/>
      <w:lvlText w:val="•"/>
      <w:lvlJc w:val="left"/>
      <w:pPr>
        <w:ind w:left="3285" w:hanging="601"/>
      </w:pPr>
      <w:rPr>
        <w:rFonts w:hint="default"/>
      </w:rPr>
    </w:lvl>
    <w:lvl w:ilvl="6">
      <w:start w:val="0"/>
      <w:numFmt w:val="bullet"/>
      <w:lvlText w:val="•"/>
      <w:lvlJc w:val="left"/>
      <w:pPr>
        <w:ind w:left="3802" w:hanging="601"/>
      </w:pPr>
      <w:rPr>
        <w:rFonts w:hint="default"/>
      </w:rPr>
    </w:lvl>
    <w:lvl w:ilvl="7">
      <w:start w:val="0"/>
      <w:numFmt w:val="bullet"/>
      <w:lvlText w:val="•"/>
      <w:lvlJc w:val="left"/>
      <w:pPr>
        <w:ind w:left="4319" w:hanging="601"/>
      </w:pPr>
      <w:rPr>
        <w:rFonts w:hint="default"/>
      </w:rPr>
    </w:lvl>
    <w:lvl w:ilvl="8">
      <w:start w:val="0"/>
      <w:numFmt w:val="bullet"/>
      <w:lvlText w:val="•"/>
      <w:lvlJc w:val="left"/>
      <w:pPr>
        <w:ind w:left="4836" w:hanging="601"/>
      </w:pPr>
      <w:rPr>
        <w:rFonts w:hint="default"/>
      </w:rPr>
    </w:lvl>
  </w:abstractNum>
  <w:abstractNum w:abstractNumId="18">
    <w:multiLevelType w:val="hybridMultilevel"/>
    <w:lvl w:ilvl="0">
      <w:start w:val="1"/>
      <w:numFmt w:val="decimal"/>
      <w:lvlText w:val="（%1）"/>
      <w:lvlJc w:val="left"/>
      <w:pPr>
        <w:ind w:left="708" w:hanging="601"/>
        <w:jc w:val="left"/>
      </w:pPr>
      <w:rPr>
        <w:rFonts w:hint="default" w:ascii="宋体" w:hAnsi="宋体" w:eastAsia="宋体" w:cs="宋体"/>
        <w:w w:val="100"/>
        <w:sz w:val="22"/>
        <w:szCs w:val="22"/>
      </w:rPr>
    </w:lvl>
    <w:lvl w:ilvl="1">
      <w:start w:val="0"/>
      <w:numFmt w:val="bullet"/>
      <w:lvlText w:val="•"/>
      <w:lvlJc w:val="left"/>
      <w:pPr>
        <w:ind w:left="1217" w:hanging="601"/>
      </w:pPr>
      <w:rPr>
        <w:rFonts w:hint="default"/>
      </w:rPr>
    </w:lvl>
    <w:lvl w:ilvl="2">
      <w:start w:val="0"/>
      <w:numFmt w:val="bullet"/>
      <w:lvlText w:val="•"/>
      <w:lvlJc w:val="left"/>
      <w:pPr>
        <w:ind w:left="1734" w:hanging="601"/>
      </w:pPr>
      <w:rPr>
        <w:rFonts w:hint="default"/>
      </w:rPr>
    </w:lvl>
    <w:lvl w:ilvl="3">
      <w:start w:val="0"/>
      <w:numFmt w:val="bullet"/>
      <w:lvlText w:val="•"/>
      <w:lvlJc w:val="left"/>
      <w:pPr>
        <w:ind w:left="2251" w:hanging="601"/>
      </w:pPr>
      <w:rPr>
        <w:rFonts w:hint="default"/>
      </w:rPr>
    </w:lvl>
    <w:lvl w:ilvl="4">
      <w:start w:val="0"/>
      <w:numFmt w:val="bullet"/>
      <w:lvlText w:val="•"/>
      <w:lvlJc w:val="left"/>
      <w:pPr>
        <w:ind w:left="2768" w:hanging="601"/>
      </w:pPr>
      <w:rPr>
        <w:rFonts w:hint="default"/>
      </w:rPr>
    </w:lvl>
    <w:lvl w:ilvl="5">
      <w:start w:val="0"/>
      <w:numFmt w:val="bullet"/>
      <w:lvlText w:val="•"/>
      <w:lvlJc w:val="left"/>
      <w:pPr>
        <w:ind w:left="3285" w:hanging="601"/>
      </w:pPr>
      <w:rPr>
        <w:rFonts w:hint="default"/>
      </w:rPr>
    </w:lvl>
    <w:lvl w:ilvl="6">
      <w:start w:val="0"/>
      <w:numFmt w:val="bullet"/>
      <w:lvlText w:val="•"/>
      <w:lvlJc w:val="left"/>
      <w:pPr>
        <w:ind w:left="3802" w:hanging="601"/>
      </w:pPr>
      <w:rPr>
        <w:rFonts w:hint="default"/>
      </w:rPr>
    </w:lvl>
    <w:lvl w:ilvl="7">
      <w:start w:val="0"/>
      <w:numFmt w:val="bullet"/>
      <w:lvlText w:val="•"/>
      <w:lvlJc w:val="left"/>
      <w:pPr>
        <w:ind w:left="4319" w:hanging="601"/>
      </w:pPr>
      <w:rPr>
        <w:rFonts w:hint="default"/>
      </w:rPr>
    </w:lvl>
    <w:lvl w:ilvl="8">
      <w:start w:val="0"/>
      <w:numFmt w:val="bullet"/>
      <w:lvlText w:val="•"/>
      <w:lvlJc w:val="left"/>
      <w:pPr>
        <w:ind w:left="4836" w:hanging="601"/>
      </w:pPr>
      <w:rPr>
        <w:rFonts w:hint="default"/>
      </w:rPr>
    </w:lvl>
  </w:abstractNum>
  <w:abstractNum w:abstractNumId="17">
    <w:multiLevelType w:val="hybridMultilevel"/>
    <w:lvl w:ilvl="0">
      <w:start w:val="1"/>
      <w:numFmt w:val="decimal"/>
      <w:lvlText w:val="（%1）"/>
      <w:lvlJc w:val="left"/>
      <w:pPr>
        <w:ind w:left="708" w:hanging="601"/>
        <w:jc w:val="left"/>
      </w:pPr>
      <w:rPr>
        <w:rFonts w:hint="default" w:ascii="宋体" w:hAnsi="宋体" w:eastAsia="宋体" w:cs="宋体"/>
        <w:w w:val="100"/>
        <w:sz w:val="22"/>
        <w:szCs w:val="22"/>
      </w:rPr>
    </w:lvl>
    <w:lvl w:ilvl="1">
      <w:start w:val="0"/>
      <w:numFmt w:val="bullet"/>
      <w:lvlText w:val="•"/>
      <w:lvlJc w:val="left"/>
      <w:pPr>
        <w:ind w:left="1217" w:hanging="601"/>
      </w:pPr>
      <w:rPr>
        <w:rFonts w:hint="default"/>
      </w:rPr>
    </w:lvl>
    <w:lvl w:ilvl="2">
      <w:start w:val="0"/>
      <w:numFmt w:val="bullet"/>
      <w:lvlText w:val="•"/>
      <w:lvlJc w:val="left"/>
      <w:pPr>
        <w:ind w:left="1734" w:hanging="601"/>
      </w:pPr>
      <w:rPr>
        <w:rFonts w:hint="default"/>
      </w:rPr>
    </w:lvl>
    <w:lvl w:ilvl="3">
      <w:start w:val="0"/>
      <w:numFmt w:val="bullet"/>
      <w:lvlText w:val="•"/>
      <w:lvlJc w:val="left"/>
      <w:pPr>
        <w:ind w:left="2251" w:hanging="601"/>
      </w:pPr>
      <w:rPr>
        <w:rFonts w:hint="default"/>
      </w:rPr>
    </w:lvl>
    <w:lvl w:ilvl="4">
      <w:start w:val="0"/>
      <w:numFmt w:val="bullet"/>
      <w:lvlText w:val="•"/>
      <w:lvlJc w:val="left"/>
      <w:pPr>
        <w:ind w:left="2768" w:hanging="601"/>
      </w:pPr>
      <w:rPr>
        <w:rFonts w:hint="default"/>
      </w:rPr>
    </w:lvl>
    <w:lvl w:ilvl="5">
      <w:start w:val="0"/>
      <w:numFmt w:val="bullet"/>
      <w:lvlText w:val="•"/>
      <w:lvlJc w:val="left"/>
      <w:pPr>
        <w:ind w:left="3285" w:hanging="601"/>
      </w:pPr>
      <w:rPr>
        <w:rFonts w:hint="default"/>
      </w:rPr>
    </w:lvl>
    <w:lvl w:ilvl="6">
      <w:start w:val="0"/>
      <w:numFmt w:val="bullet"/>
      <w:lvlText w:val="•"/>
      <w:lvlJc w:val="left"/>
      <w:pPr>
        <w:ind w:left="3802" w:hanging="601"/>
      </w:pPr>
      <w:rPr>
        <w:rFonts w:hint="default"/>
      </w:rPr>
    </w:lvl>
    <w:lvl w:ilvl="7">
      <w:start w:val="0"/>
      <w:numFmt w:val="bullet"/>
      <w:lvlText w:val="•"/>
      <w:lvlJc w:val="left"/>
      <w:pPr>
        <w:ind w:left="4319" w:hanging="601"/>
      </w:pPr>
      <w:rPr>
        <w:rFonts w:hint="default"/>
      </w:rPr>
    </w:lvl>
    <w:lvl w:ilvl="8">
      <w:start w:val="0"/>
      <w:numFmt w:val="bullet"/>
      <w:lvlText w:val="•"/>
      <w:lvlJc w:val="left"/>
      <w:pPr>
        <w:ind w:left="4836" w:hanging="601"/>
      </w:pPr>
      <w:rPr>
        <w:rFonts w:hint="default"/>
      </w:rPr>
    </w:lvl>
  </w:abstractNum>
  <w:abstractNum w:abstractNumId="16">
    <w:multiLevelType w:val="hybridMultilevel"/>
    <w:lvl w:ilvl="0">
      <w:start w:val="1"/>
      <w:numFmt w:val="decimal"/>
      <w:lvlText w:val="（%1）"/>
      <w:lvlJc w:val="left"/>
      <w:pPr>
        <w:ind w:left="708" w:hanging="601"/>
        <w:jc w:val="left"/>
      </w:pPr>
      <w:rPr>
        <w:rFonts w:hint="default" w:ascii="宋体" w:hAnsi="宋体" w:eastAsia="宋体" w:cs="宋体"/>
        <w:w w:val="100"/>
        <w:sz w:val="22"/>
        <w:szCs w:val="22"/>
      </w:rPr>
    </w:lvl>
    <w:lvl w:ilvl="1">
      <w:start w:val="0"/>
      <w:numFmt w:val="bullet"/>
      <w:lvlText w:val="•"/>
      <w:lvlJc w:val="left"/>
      <w:pPr>
        <w:ind w:left="1217" w:hanging="601"/>
      </w:pPr>
      <w:rPr>
        <w:rFonts w:hint="default"/>
      </w:rPr>
    </w:lvl>
    <w:lvl w:ilvl="2">
      <w:start w:val="0"/>
      <w:numFmt w:val="bullet"/>
      <w:lvlText w:val="•"/>
      <w:lvlJc w:val="left"/>
      <w:pPr>
        <w:ind w:left="1734" w:hanging="601"/>
      </w:pPr>
      <w:rPr>
        <w:rFonts w:hint="default"/>
      </w:rPr>
    </w:lvl>
    <w:lvl w:ilvl="3">
      <w:start w:val="0"/>
      <w:numFmt w:val="bullet"/>
      <w:lvlText w:val="•"/>
      <w:lvlJc w:val="left"/>
      <w:pPr>
        <w:ind w:left="2251" w:hanging="601"/>
      </w:pPr>
      <w:rPr>
        <w:rFonts w:hint="default"/>
      </w:rPr>
    </w:lvl>
    <w:lvl w:ilvl="4">
      <w:start w:val="0"/>
      <w:numFmt w:val="bullet"/>
      <w:lvlText w:val="•"/>
      <w:lvlJc w:val="left"/>
      <w:pPr>
        <w:ind w:left="2768" w:hanging="601"/>
      </w:pPr>
      <w:rPr>
        <w:rFonts w:hint="default"/>
      </w:rPr>
    </w:lvl>
    <w:lvl w:ilvl="5">
      <w:start w:val="0"/>
      <w:numFmt w:val="bullet"/>
      <w:lvlText w:val="•"/>
      <w:lvlJc w:val="left"/>
      <w:pPr>
        <w:ind w:left="3285" w:hanging="601"/>
      </w:pPr>
      <w:rPr>
        <w:rFonts w:hint="default"/>
      </w:rPr>
    </w:lvl>
    <w:lvl w:ilvl="6">
      <w:start w:val="0"/>
      <w:numFmt w:val="bullet"/>
      <w:lvlText w:val="•"/>
      <w:lvlJc w:val="left"/>
      <w:pPr>
        <w:ind w:left="3802" w:hanging="601"/>
      </w:pPr>
      <w:rPr>
        <w:rFonts w:hint="default"/>
      </w:rPr>
    </w:lvl>
    <w:lvl w:ilvl="7">
      <w:start w:val="0"/>
      <w:numFmt w:val="bullet"/>
      <w:lvlText w:val="•"/>
      <w:lvlJc w:val="left"/>
      <w:pPr>
        <w:ind w:left="4319" w:hanging="601"/>
      </w:pPr>
      <w:rPr>
        <w:rFonts w:hint="default"/>
      </w:rPr>
    </w:lvl>
    <w:lvl w:ilvl="8">
      <w:start w:val="0"/>
      <w:numFmt w:val="bullet"/>
      <w:lvlText w:val="•"/>
      <w:lvlJc w:val="left"/>
      <w:pPr>
        <w:ind w:left="4836" w:hanging="601"/>
      </w:pPr>
      <w:rPr>
        <w:rFonts w:hint="default"/>
      </w:rPr>
    </w:lvl>
  </w:abstractNum>
  <w:abstractNum w:abstractNumId="15">
    <w:multiLevelType w:val="hybridMultilevel"/>
    <w:lvl w:ilvl="0">
      <w:start w:val="1"/>
      <w:numFmt w:val="decimal"/>
      <w:lvlText w:val="（%1）"/>
      <w:lvlJc w:val="left"/>
      <w:pPr>
        <w:ind w:left="708" w:hanging="601"/>
        <w:jc w:val="left"/>
      </w:pPr>
      <w:rPr>
        <w:rFonts w:hint="default" w:ascii="宋体" w:hAnsi="宋体" w:eastAsia="宋体" w:cs="宋体"/>
        <w:w w:val="100"/>
        <w:sz w:val="22"/>
        <w:szCs w:val="22"/>
      </w:rPr>
    </w:lvl>
    <w:lvl w:ilvl="1">
      <w:start w:val="0"/>
      <w:numFmt w:val="bullet"/>
      <w:lvlText w:val="•"/>
      <w:lvlJc w:val="left"/>
      <w:pPr>
        <w:ind w:left="1217" w:hanging="601"/>
      </w:pPr>
      <w:rPr>
        <w:rFonts w:hint="default"/>
      </w:rPr>
    </w:lvl>
    <w:lvl w:ilvl="2">
      <w:start w:val="0"/>
      <w:numFmt w:val="bullet"/>
      <w:lvlText w:val="•"/>
      <w:lvlJc w:val="left"/>
      <w:pPr>
        <w:ind w:left="1734" w:hanging="601"/>
      </w:pPr>
      <w:rPr>
        <w:rFonts w:hint="default"/>
      </w:rPr>
    </w:lvl>
    <w:lvl w:ilvl="3">
      <w:start w:val="0"/>
      <w:numFmt w:val="bullet"/>
      <w:lvlText w:val="•"/>
      <w:lvlJc w:val="left"/>
      <w:pPr>
        <w:ind w:left="2251" w:hanging="601"/>
      </w:pPr>
      <w:rPr>
        <w:rFonts w:hint="default"/>
      </w:rPr>
    </w:lvl>
    <w:lvl w:ilvl="4">
      <w:start w:val="0"/>
      <w:numFmt w:val="bullet"/>
      <w:lvlText w:val="•"/>
      <w:lvlJc w:val="left"/>
      <w:pPr>
        <w:ind w:left="2768" w:hanging="601"/>
      </w:pPr>
      <w:rPr>
        <w:rFonts w:hint="default"/>
      </w:rPr>
    </w:lvl>
    <w:lvl w:ilvl="5">
      <w:start w:val="0"/>
      <w:numFmt w:val="bullet"/>
      <w:lvlText w:val="•"/>
      <w:lvlJc w:val="left"/>
      <w:pPr>
        <w:ind w:left="3285" w:hanging="601"/>
      </w:pPr>
      <w:rPr>
        <w:rFonts w:hint="default"/>
      </w:rPr>
    </w:lvl>
    <w:lvl w:ilvl="6">
      <w:start w:val="0"/>
      <w:numFmt w:val="bullet"/>
      <w:lvlText w:val="•"/>
      <w:lvlJc w:val="left"/>
      <w:pPr>
        <w:ind w:left="3802" w:hanging="601"/>
      </w:pPr>
      <w:rPr>
        <w:rFonts w:hint="default"/>
      </w:rPr>
    </w:lvl>
    <w:lvl w:ilvl="7">
      <w:start w:val="0"/>
      <w:numFmt w:val="bullet"/>
      <w:lvlText w:val="•"/>
      <w:lvlJc w:val="left"/>
      <w:pPr>
        <w:ind w:left="4319" w:hanging="601"/>
      </w:pPr>
      <w:rPr>
        <w:rFonts w:hint="default"/>
      </w:rPr>
    </w:lvl>
    <w:lvl w:ilvl="8">
      <w:start w:val="0"/>
      <w:numFmt w:val="bullet"/>
      <w:lvlText w:val="•"/>
      <w:lvlJc w:val="left"/>
      <w:pPr>
        <w:ind w:left="4836" w:hanging="601"/>
      </w:pPr>
      <w:rPr>
        <w:rFonts w:hint="default"/>
      </w:rPr>
    </w:lvl>
  </w:abstractNum>
  <w:abstractNum w:abstractNumId="14">
    <w:multiLevelType w:val="hybridMultilevel"/>
    <w:lvl w:ilvl="0">
      <w:start w:val="1"/>
      <w:numFmt w:val="decimal"/>
      <w:lvlText w:val="（%1）"/>
      <w:lvlJc w:val="left"/>
      <w:pPr>
        <w:ind w:left="107" w:hanging="601"/>
        <w:jc w:val="left"/>
      </w:pPr>
      <w:rPr>
        <w:rFonts w:hint="default" w:ascii="宋体" w:hAnsi="宋体" w:eastAsia="宋体" w:cs="宋体"/>
        <w:spacing w:val="-17"/>
        <w:w w:val="100"/>
        <w:sz w:val="22"/>
        <w:szCs w:val="22"/>
      </w:rPr>
    </w:lvl>
    <w:lvl w:ilvl="1">
      <w:start w:val="0"/>
      <w:numFmt w:val="bullet"/>
      <w:lvlText w:val="•"/>
      <w:lvlJc w:val="left"/>
      <w:pPr>
        <w:ind w:left="677" w:hanging="601"/>
      </w:pPr>
      <w:rPr>
        <w:rFonts w:hint="default"/>
      </w:rPr>
    </w:lvl>
    <w:lvl w:ilvl="2">
      <w:start w:val="0"/>
      <w:numFmt w:val="bullet"/>
      <w:lvlText w:val="•"/>
      <w:lvlJc w:val="left"/>
      <w:pPr>
        <w:ind w:left="1254" w:hanging="601"/>
      </w:pPr>
      <w:rPr>
        <w:rFonts w:hint="default"/>
      </w:rPr>
    </w:lvl>
    <w:lvl w:ilvl="3">
      <w:start w:val="0"/>
      <w:numFmt w:val="bullet"/>
      <w:lvlText w:val="•"/>
      <w:lvlJc w:val="left"/>
      <w:pPr>
        <w:ind w:left="1831" w:hanging="601"/>
      </w:pPr>
      <w:rPr>
        <w:rFonts w:hint="default"/>
      </w:rPr>
    </w:lvl>
    <w:lvl w:ilvl="4">
      <w:start w:val="0"/>
      <w:numFmt w:val="bullet"/>
      <w:lvlText w:val="•"/>
      <w:lvlJc w:val="left"/>
      <w:pPr>
        <w:ind w:left="2408" w:hanging="601"/>
      </w:pPr>
      <w:rPr>
        <w:rFonts w:hint="default"/>
      </w:rPr>
    </w:lvl>
    <w:lvl w:ilvl="5">
      <w:start w:val="0"/>
      <w:numFmt w:val="bullet"/>
      <w:lvlText w:val="•"/>
      <w:lvlJc w:val="left"/>
      <w:pPr>
        <w:ind w:left="2985" w:hanging="601"/>
      </w:pPr>
      <w:rPr>
        <w:rFonts w:hint="default"/>
      </w:rPr>
    </w:lvl>
    <w:lvl w:ilvl="6">
      <w:start w:val="0"/>
      <w:numFmt w:val="bullet"/>
      <w:lvlText w:val="•"/>
      <w:lvlJc w:val="left"/>
      <w:pPr>
        <w:ind w:left="3562" w:hanging="601"/>
      </w:pPr>
      <w:rPr>
        <w:rFonts w:hint="default"/>
      </w:rPr>
    </w:lvl>
    <w:lvl w:ilvl="7">
      <w:start w:val="0"/>
      <w:numFmt w:val="bullet"/>
      <w:lvlText w:val="•"/>
      <w:lvlJc w:val="left"/>
      <w:pPr>
        <w:ind w:left="4139" w:hanging="601"/>
      </w:pPr>
      <w:rPr>
        <w:rFonts w:hint="default"/>
      </w:rPr>
    </w:lvl>
    <w:lvl w:ilvl="8">
      <w:start w:val="0"/>
      <w:numFmt w:val="bullet"/>
      <w:lvlText w:val="•"/>
      <w:lvlJc w:val="left"/>
      <w:pPr>
        <w:ind w:left="4716" w:hanging="601"/>
      </w:pPr>
      <w:rPr>
        <w:rFonts w:hint="default"/>
      </w:rPr>
    </w:lvl>
  </w:abstractNum>
  <w:abstractNum w:abstractNumId="13">
    <w:multiLevelType w:val="hybridMultilevel"/>
    <w:lvl w:ilvl="0">
      <w:start w:val="1"/>
      <w:numFmt w:val="decimal"/>
      <w:lvlText w:val="（%1）"/>
      <w:lvlJc w:val="left"/>
      <w:pPr>
        <w:ind w:left="708" w:hanging="601"/>
        <w:jc w:val="left"/>
      </w:pPr>
      <w:rPr>
        <w:rFonts w:hint="default" w:ascii="宋体" w:hAnsi="宋体" w:eastAsia="宋体" w:cs="宋体"/>
        <w:w w:val="100"/>
        <w:sz w:val="22"/>
        <w:szCs w:val="22"/>
      </w:rPr>
    </w:lvl>
    <w:lvl w:ilvl="1">
      <w:start w:val="0"/>
      <w:numFmt w:val="bullet"/>
      <w:lvlText w:val="•"/>
      <w:lvlJc w:val="left"/>
      <w:pPr>
        <w:ind w:left="1217" w:hanging="601"/>
      </w:pPr>
      <w:rPr>
        <w:rFonts w:hint="default"/>
      </w:rPr>
    </w:lvl>
    <w:lvl w:ilvl="2">
      <w:start w:val="0"/>
      <w:numFmt w:val="bullet"/>
      <w:lvlText w:val="•"/>
      <w:lvlJc w:val="left"/>
      <w:pPr>
        <w:ind w:left="1734" w:hanging="601"/>
      </w:pPr>
      <w:rPr>
        <w:rFonts w:hint="default"/>
      </w:rPr>
    </w:lvl>
    <w:lvl w:ilvl="3">
      <w:start w:val="0"/>
      <w:numFmt w:val="bullet"/>
      <w:lvlText w:val="•"/>
      <w:lvlJc w:val="left"/>
      <w:pPr>
        <w:ind w:left="2251" w:hanging="601"/>
      </w:pPr>
      <w:rPr>
        <w:rFonts w:hint="default"/>
      </w:rPr>
    </w:lvl>
    <w:lvl w:ilvl="4">
      <w:start w:val="0"/>
      <w:numFmt w:val="bullet"/>
      <w:lvlText w:val="•"/>
      <w:lvlJc w:val="left"/>
      <w:pPr>
        <w:ind w:left="2768" w:hanging="601"/>
      </w:pPr>
      <w:rPr>
        <w:rFonts w:hint="default"/>
      </w:rPr>
    </w:lvl>
    <w:lvl w:ilvl="5">
      <w:start w:val="0"/>
      <w:numFmt w:val="bullet"/>
      <w:lvlText w:val="•"/>
      <w:lvlJc w:val="left"/>
      <w:pPr>
        <w:ind w:left="3285" w:hanging="601"/>
      </w:pPr>
      <w:rPr>
        <w:rFonts w:hint="default"/>
      </w:rPr>
    </w:lvl>
    <w:lvl w:ilvl="6">
      <w:start w:val="0"/>
      <w:numFmt w:val="bullet"/>
      <w:lvlText w:val="•"/>
      <w:lvlJc w:val="left"/>
      <w:pPr>
        <w:ind w:left="3802" w:hanging="601"/>
      </w:pPr>
      <w:rPr>
        <w:rFonts w:hint="default"/>
      </w:rPr>
    </w:lvl>
    <w:lvl w:ilvl="7">
      <w:start w:val="0"/>
      <w:numFmt w:val="bullet"/>
      <w:lvlText w:val="•"/>
      <w:lvlJc w:val="left"/>
      <w:pPr>
        <w:ind w:left="4319" w:hanging="601"/>
      </w:pPr>
      <w:rPr>
        <w:rFonts w:hint="default"/>
      </w:rPr>
    </w:lvl>
    <w:lvl w:ilvl="8">
      <w:start w:val="0"/>
      <w:numFmt w:val="bullet"/>
      <w:lvlText w:val="•"/>
      <w:lvlJc w:val="left"/>
      <w:pPr>
        <w:ind w:left="4836" w:hanging="601"/>
      </w:pPr>
      <w:rPr>
        <w:rFonts w:hint="default"/>
      </w:rPr>
    </w:lvl>
  </w:abstractNum>
  <w:abstractNum w:abstractNumId="12">
    <w:multiLevelType w:val="hybridMultilevel"/>
    <w:lvl w:ilvl="0">
      <w:start w:val="1"/>
      <w:numFmt w:val="decimal"/>
      <w:lvlText w:val="（%1）"/>
      <w:lvlJc w:val="left"/>
      <w:pPr>
        <w:ind w:left="107" w:hanging="601"/>
        <w:jc w:val="left"/>
      </w:pPr>
      <w:rPr>
        <w:rFonts w:hint="default" w:ascii="宋体" w:hAnsi="宋体" w:eastAsia="宋体" w:cs="宋体"/>
        <w:spacing w:val="-17"/>
        <w:w w:val="100"/>
        <w:sz w:val="22"/>
        <w:szCs w:val="22"/>
      </w:rPr>
    </w:lvl>
    <w:lvl w:ilvl="1">
      <w:start w:val="0"/>
      <w:numFmt w:val="bullet"/>
      <w:lvlText w:val="•"/>
      <w:lvlJc w:val="left"/>
      <w:pPr>
        <w:ind w:left="677" w:hanging="601"/>
      </w:pPr>
      <w:rPr>
        <w:rFonts w:hint="default"/>
      </w:rPr>
    </w:lvl>
    <w:lvl w:ilvl="2">
      <w:start w:val="0"/>
      <w:numFmt w:val="bullet"/>
      <w:lvlText w:val="•"/>
      <w:lvlJc w:val="left"/>
      <w:pPr>
        <w:ind w:left="1254" w:hanging="601"/>
      </w:pPr>
      <w:rPr>
        <w:rFonts w:hint="default"/>
      </w:rPr>
    </w:lvl>
    <w:lvl w:ilvl="3">
      <w:start w:val="0"/>
      <w:numFmt w:val="bullet"/>
      <w:lvlText w:val="•"/>
      <w:lvlJc w:val="left"/>
      <w:pPr>
        <w:ind w:left="1831" w:hanging="601"/>
      </w:pPr>
      <w:rPr>
        <w:rFonts w:hint="default"/>
      </w:rPr>
    </w:lvl>
    <w:lvl w:ilvl="4">
      <w:start w:val="0"/>
      <w:numFmt w:val="bullet"/>
      <w:lvlText w:val="•"/>
      <w:lvlJc w:val="left"/>
      <w:pPr>
        <w:ind w:left="2408" w:hanging="601"/>
      </w:pPr>
      <w:rPr>
        <w:rFonts w:hint="default"/>
      </w:rPr>
    </w:lvl>
    <w:lvl w:ilvl="5">
      <w:start w:val="0"/>
      <w:numFmt w:val="bullet"/>
      <w:lvlText w:val="•"/>
      <w:lvlJc w:val="left"/>
      <w:pPr>
        <w:ind w:left="2985" w:hanging="601"/>
      </w:pPr>
      <w:rPr>
        <w:rFonts w:hint="default"/>
      </w:rPr>
    </w:lvl>
    <w:lvl w:ilvl="6">
      <w:start w:val="0"/>
      <w:numFmt w:val="bullet"/>
      <w:lvlText w:val="•"/>
      <w:lvlJc w:val="left"/>
      <w:pPr>
        <w:ind w:left="3562" w:hanging="601"/>
      </w:pPr>
      <w:rPr>
        <w:rFonts w:hint="default"/>
      </w:rPr>
    </w:lvl>
    <w:lvl w:ilvl="7">
      <w:start w:val="0"/>
      <w:numFmt w:val="bullet"/>
      <w:lvlText w:val="•"/>
      <w:lvlJc w:val="left"/>
      <w:pPr>
        <w:ind w:left="4139" w:hanging="601"/>
      </w:pPr>
      <w:rPr>
        <w:rFonts w:hint="default"/>
      </w:rPr>
    </w:lvl>
    <w:lvl w:ilvl="8">
      <w:start w:val="0"/>
      <w:numFmt w:val="bullet"/>
      <w:lvlText w:val="•"/>
      <w:lvlJc w:val="left"/>
      <w:pPr>
        <w:ind w:left="4716" w:hanging="601"/>
      </w:pPr>
      <w:rPr>
        <w:rFonts w:hint="default"/>
      </w:rPr>
    </w:lvl>
  </w:abstractNum>
  <w:abstractNum w:abstractNumId="11">
    <w:multiLevelType w:val="hybridMultilevel"/>
    <w:lvl w:ilvl="0">
      <w:start w:val="1"/>
      <w:numFmt w:val="decimal"/>
      <w:lvlText w:val="[%1]"/>
      <w:lvlJc w:val="left"/>
      <w:pPr>
        <w:ind w:left="1579" w:hanging="260"/>
        <w:jc w:val="left"/>
      </w:pPr>
      <w:rPr>
        <w:rFonts w:hint="default" w:ascii="Times New Roman" w:hAnsi="Times New Roman" w:eastAsia="Times New Roman" w:cs="Times New Roman"/>
        <w:spacing w:val="-2"/>
        <w:w w:val="104"/>
        <w:position w:val="8"/>
        <w:sz w:val="15"/>
        <w:szCs w:val="15"/>
      </w:rPr>
    </w:lvl>
    <w:lvl w:ilvl="1">
      <w:start w:val="0"/>
      <w:numFmt w:val="bullet"/>
      <w:lvlText w:val="•"/>
      <w:lvlJc w:val="left"/>
      <w:pPr>
        <w:ind w:left="2542" w:hanging="260"/>
      </w:pPr>
      <w:rPr>
        <w:rFonts w:hint="default"/>
      </w:rPr>
    </w:lvl>
    <w:lvl w:ilvl="2">
      <w:start w:val="0"/>
      <w:numFmt w:val="bullet"/>
      <w:lvlText w:val="•"/>
      <w:lvlJc w:val="left"/>
      <w:pPr>
        <w:ind w:left="3505" w:hanging="260"/>
      </w:pPr>
      <w:rPr>
        <w:rFonts w:hint="default"/>
      </w:rPr>
    </w:lvl>
    <w:lvl w:ilvl="3">
      <w:start w:val="0"/>
      <w:numFmt w:val="bullet"/>
      <w:lvlText w:val="•"/>
      <w:lvlJc w:val="left"/>
      <w:pPr>
        <w:ind w:left="4467" w:hanging="260"/>
      </w:pPr>
      <w:rPr>
        <w:rFonts w:hint="default"/>
      </w:rPr>
    </w:lvl>
    <w:lvl w:ilvl="4">
      <w:start w:val="0"/>
      <w:numFmt w:val="bullet"/>
      <w:lvlText w:val="•"/>
      <w:lvlJc w:val="left"/>
      <w:pPr>
        <w:ind w:left="5430" w:hanging="260"/>
      </w:pPr>
      <w:rPr>
        <w:rFonts w:hint="default"/>
      </w:rPr>
    </w:lvl>
    <w:lvl w:ilvl="5">
      <w:start w:val="0"/>
      <w:numFmt w:val="bullet"/>
      <w:lvlText w:val="•"/>
      <w:lvlJc w:val="left"/>
      <w:pPr>
        <w:ind w:left="6393" w:hanging="260"/>
      </w:pPr>
      <w:rPr>
        <w:rFonts w:hint="default"/>
      </w:rPr>
    </w:lvl>
    <w:lvl w:ilvl="6">
      <w:start w:val="0"/>
      <w:numFmt w:val="bullet"/>
      <w:lvlText w:val="•"/>
      <w:lvlJc w:val="left"/>
      <w:pPr>
        <w:ind w:left="7355" w:hanging="260"/>
      </w:pPr>
      <w:rPr>
        <w:rFonts w:hint="default"/>
      </w:rPr>
    </w:lvl>
    <w:lvl w:ilvl="7">
      <w:start w:val="0"/>
      <w:numFmt w:val="bullet"/>
      <w:lvlText w:val="•"/>
      <w:lvlJc w:val="left"/>
      <w:pPr>
        <w:ind w:left="8318" w:hanging="260"/>
      </w:pPr>
      <w:rPr>
        <w:rFonts w:hint="default"/>
      </w:rPr>
    </w:lvl>
    <w:lvl w:ilvl="8">
      <w:start w:val="0"/>
      <w:numFmt w:val="bullet"/>
      <w:lvlText w:val="•"/>
      <w:lvlJc w:val="left"/>
      <w:pPr>
        <w:ind w:left="9280" w:hanging="260"/>
      </w:pPr>
      <w:rPr>
        <w:rFonts w:hint="default"/>
      </w:rPr>
    </w:lvl>
  </w:abstractNum>
  <w:abstractNum w:abstractNumId="10">
    <w:multiLevelType w:val="hybridMultilevel"/>
    <w:lvl w:ilvl="0">
      <w:start w:val="3"/>
      <w:numFmt w:val="decimal"/>
      <w:lvlText w:val="[%1]"/>
      <w:lvlJc w:val="left"/>
      <w:pPr>
        <w:ind w:left="1557" w:hanging="238"/>
        <w:jc w:val="left"/>
      </w:pPr>
      <w:rPr>
        <w:rFonts w:hint="default" w:ascii="Times New Roman" w:hAnsi="Times New Roman" w:eastAsia="Times New Roman" w:cs="Times New Roman"/>
        <w:spacing w:val="-2"/>
        <w:w w:val="104"/>
        <w:position w:val="8"/>
        <w:sz w:val="15"/>
        <w:szCs w:val="15"/>
      </w:rPr>
    </w:lvl>
    <w:lvl w:ilvl="1">
      <w:start w:val="0"/>
      <w:numFmt w:val="bullet"/>
      <w:lvlText w:val="•"/>
      <w:lvlJc w:val="left"/>
      <w:pPr>
        <w:ind w:left="2524" w:hanging="238"/>
      </w:pPr>
      <w:rPr>
        <w:rFonts w:hint="default"/>
      </w:rPr>
    </w:lvl>
    <w:lvl w:ilvl="2">
      <w:start w:val="0"/>
      <w:numFmt w:val="bullet"/>
      <w:lvlText w:val="•"/>
      <w:lvlJc w:val="left"/>
      <w:pPr>
        <w:ind w:left="3489" w:hanging="238"/>
      </w:pPr>
      <w:rPr>
        <w:rFonts w:hint="default"/>
      </w:rPr>
    </w:lvl>
    <w:lvl w:ilvl="3">
      <w:start w:val="0"/>
      <w:numFmt w:val="bullet"/>
      <w:lvlText w:val="•"/>
      <w:lvlJc w:val="left"/>
      <w:pPr>
        <w:ind w:left="4453" w:hanging="238"/>
      </w:pPr>
      <w:rPr>
        <w:rFonts w:hint="default"/>
      </w:rPr>
    </w:lvl>
    <w:lvl w:ilvl="4">
      <w:start w:val="0"/>
      <w:numFmt w:val="bullet"/>
      <w:lvlText w:val="•"/>
      <w:lvlJc w:val="left"/>
      <w:pPr>
        <w:ind w:left="5418" w:hanging="238"/>
      </w:pPr>
      <w:rPr>
        <w:rFonts w:hint="default"/>
      </w:rPr>
    </w:lvl>
    <w:lvl w:ilvl="5">
      <w:start w:val="0"/>
      <w:numFmt w:val="bullet"/>
      <w:lvlText w:val="•"/>
      <w:lvlJc w:val="left"/>
      <w:pPr>
        <w:ind w:left="6383" w:hanging="238"/>
      </w:pPr>
      <w:rPr>
        <w:rFonts w:hint="default"/>
      </w:rPr>
    </w:lvl>
    <w:lvl w:ilvl="6">
      <w:start w:val="0"/>
      <w:numFmt w:val="bullet"/>
      <w:lvlText w:val="•"/>
      <w:lvlJc w:val="left"/>
      <w:pPr>
        <w:ind w:left="7347" w:hanging="238"/>
      </w:pPr>
      <w:rPr>
        <w:rFonts w:hint="default"/>
      </w:rPr>
    </w:lvl>
    <w:lvl w:ilvl="7">
      <w:start w:val="0"/>
      <w:numFmt w:val="bullet"/>
      <w:lvlText w:val="•"/>
      <w:lvlJc w:val="left"/>
      <w:pPr>
        <w:ind w:left="8312" w:hanging="238"/>
      </w:pPr>
      <w:rPr>
        <w:rFonts w:hint="default"/>
      </w:rPr>
    </w:lvl>
    <w:lvl w:ilvl="8">
      <w:start w:val="0"/>
      <w:numFmt w:val="bullet"/>
      <w:lvlText w:val="•"/>
      <w:lvlJc w:val="left"/>
      <w:pPr>
        <w:ind w:left="9276" w:hanging="238"/>
      </w:pPr>
      <w:rPr>
        <w:rFonts w:hint="default"/>
      </w:rPr>
    </w:lvl>
  </w:abstractNum>
  <w:abstractNum w:abstractNumId="9">
    <w:multiLevelType w:val="hybridMultilevel"/>
    <w:lvl w:ilvl="0">
      <w:start w:val="3"/>
      <w:numFmt w:val="decimal"/>
      <w:lvlText w:val="[%1]"/>
      <w:lvlJc w:val="left"/>
      <w:pPr>
        <w:ind w:left="1588" w:hanging="269"/>
        <w:jc w:val="left"/>
      </w:pPr>
      <w:rPr>
        <w:rFonts w:hint="default" w:ascii="Times New Roman" w:hAnsi="Times New Roman" w:eastAsia="Times New Roman" w:cs="Times New Roman"/>
        <w:spacing w:val="-2"/>
        <w:w w:val="104"/>
        <w:position w:val="8"/>
        <w:sz w:val="15"/>
        <w:szCs w:val="15"/>
      </w:rPr>
    </w:lvl>
    <w:lvl w:ilvl="1">
      <w:start w:val="0"/>
      <w:numFmt w:val="bullet"/>
      <w:lvlText w:val="•"/>
      <w:lvlJc w:val="left"/>
      <w:pPr>
        <w:ind w:left="2542" w:hanging="269"/>
      </w:pPr>
      <w:rPr>
        <w:rFonts w:hint="default"/>
      </w:rPr>
    </w:lvl>
    <w:lvl w:ilvl="2">
      <w:start w:val="0"/>
      <w:numFmt w:val="bullet"/>
      <w:lvlText w:val="•"/>
      <w:lvlJc w:val="left"/>
      <w:pPr>
        <w:ind w:left="3505" w:hanging="269"/>
      </w:pPr>
      <w:rPr>
        <w:rFonts w:hint="default"/>
      </w:rPr>
    </w:lvl>
    <w:lvl w:ilvl="3">
      <w:start w:val="0"/>
      <w:numFmt w:val="bullet"/>
      <w:lvlText w:val="•"/>
      <w:lvlJc w:val="left"/>
      <w:pPr>
        <w:ind w:left="4467" w:hanging="269"/>
      </w:pPr>
      <w:rPr>
        <w:rFonts w:hint="default"/>
      </w:rPr>
    </w:lvl>
    <w:lvl w:ilvl="4">
      <w:start w:val="0"/>
      <w:numFmt w:val="bullet"/>
      <w:lvlText w:val="•"/>
      <w:lvlJc w:val="left"/>
      <w:pPr>
        <w:ind w:left="5430" w:hanging="269"/>
      </w:pPr>
      <w:rPr>
        <w:rFonts w:hint="default"/>
      </w:rPr>
    </w:lvl>
    <w:lvl w:ilvl="5">
      <w:start w:val="0"/>
      <w:numFmt w:val="bullet"/>
      <w:lvlText w:val="•"/>
      <w:lvlJc w:val="left"/>
      <w:pPr>
        <w:ind w:left="6393" w:hanging="269"/>
      </w:pPr>
      <w:rPr>
        <w:rFonts w:hint="default"/>
      </w:rPr>
    </w:lvl>
    <w:lvl w:ilvl="6">
      <w:start w:val="0"/>
      <w:numFmt w:val="bullet"/>
      <w:lvlText w:val="•"/>
      <w:lvlJc w:val="left"/>
      <w:pPr>
        <w:ind w:left="7355" w:hanging="269"/>
      </w:pPr>
      <w:rPr>
        <w:rFonts w:hint="default"/>
      </w:rPr>
    </w:lvl>
    <w:lvl w:ilvl="7">
      <w:start w:val="0"/>
      <w:numFmt w:val="bullet"/>
      <w:lvlText w:val="•"/>
      <w:lvlJc w:val="left"/>
      <w:pPr>
        <w:ind w:left="8318" w:hanging="269"/>
      </w:pPr>
      <w:rPr>
        <w:rFonts w:hint="default"/>
      </w:rPr>
    </w:lvl>
    <w:lvl w:ilvl="8">
      <w:start w:val="0"/>
      <w:numFmt w:val="bullet"/>
      <w:lvlText w:val="•"/>
      <w:lvlJc w:val="left"/>
      <w:pPr>
        <w:ind w:left="9280" w:hanging="269"/>
      </w:pPr>
      <w:rPr>
        <w:rFonts w:hint="default"/>
      </w:rPr>
    </w:lvl>
  </w:abstractNum>
  <w:abstractNum w:abstractNumId="8">
    <w:multiLevelType w:val="hybridMultilevel"/>
    <w:lvl w:ilvl="0">
      <w:start w:val="4"/>
      <w:numFmt w:val="decimal"/>
      <w:lvlText w:val="[%1]"/>
      <w:lvlJc w:val="left"/>
      <w:pPr>
        <w:ind w:left="1557" w:hanging="238"/>
        <w:jc w:val="left"/>
      </w:pPr>
      <w:rPr>
        <w:rFonts w:hint="default" w:ascii="Times New Roman" w:hAnsi="Times New Roman" w:eastAsia="Times New Roman" w:cs="Times New Roman"/>
        <w:spacing w:val="-2"/>
        <w:w w:val="104"/>
        <w:position w:val="8"/>
        <w:sz w:val="15"/>
        <w:szCs w:val="15"/>
      </w:rPr>
    </w:lvl>
    <w:lvl w:ilvl="1">
      <w:start w:val="0"/>
      <w:numFmt w:val="bullet"/>
      <w:lvlText w:val="•"/>
      <w:lvlJc w:val="left"/>
      <w:pPr>
        <w:ind w:left="2524" w:hanging="238"/>
      </w:pPr>
      <w:rPr>
        <w:rFonts w:hint="default"/>
      </w:rPr>
    </w:lvl>
    <w:lvl w:ilvl="2">
      <w:start w:val="0"/>
      <w:numFmt w:val="bullet"/>
      <w:lvlText w:val="•"/>
      <w:lvlJc w:val="left"/>
      <w:pPr>
        <w:ind w:left="3489" w:hanging="238"/>
      </w:pPr>
      <w:rPr>
        <w:rFonts w:hint="default"/>
      </w:rPr>
    </w:lvl>
    <w:lvl w:ilvl="3">
      <w:start w:val="0"/>
      <w:numFmt w:val="bullet"/>
      <w:lvlText w:val="•"/>
      <w:lvlJc w:val="left"/>
      <w:pPr>
        <w:ind w:left="4453" w:hanging="238"/>
      </w:pPr>
      <w:rPr>
        <w:rFonts w:hint="default"/>
      </w:rPr>
    </w:lvl>
    <w:lvl w:ilvl="4">
      <w:start w:val="0"/>
      <w:numFmt w:val="bullet"/>
      <w:lvlText w:val="•"/>
      <w:lvlJc w:val="left"/>
      <w:pPr>
        <w:ind w:left="5418" w:hanging="238"/>
      </w:pPr>
      <w:rPr>
        <w:rFonts w:hint="default"/>
      </w:rPr>
    </w:lvl>
    <w:lvl w:ilvl="5">
      <w:start w:val="0"/>
      <w:numFmt w:val="bullet"/>
      <w:lvlText w:val="•"/>
      <w:lvlJc w:val="left"/>
      <w:pPr>
        <w:ind w:left="6383" w:hanging="238"/>
      </w:pPr>
      <w:rPr>
        <w:rFonts w:hint="default"/>
      </w:rPr>
    </w:lvl>
    <w:lvl w:ilvl="6">
      <w:start w:val="0"/>
      <w:numFmt w:val="bullet"/>
      <w:lvlText w:val="•"/>
      <w:lvlJc w:val="left"/>
      <w:pPr>
        <w:ind w:left="7347" w:hanging="238"/>
      </w:pPr>
      <w:rPr>
        <w:rFonts w:hint="default"/>
      </w:rPr>
    </w:lvl>
    <w:lvl w:ilvl="7">
      <w:start w:val="0"/>
      <w:numFmt w:val="bullet"/>
      <w:lvlText w:val="•"/>
      <w:lvlJc w:val="left"/>
      <w:pPr>
        <w:ind w:left="8312" w:hanging="238"/>
      </w:pPr>
      <w:rPr>
        <w:rFonts w:hint="default"/>
      </w:rPr>
    </w:lvl>
    <w:lvl w:ilvl="8">
      <w:start w:val="0"/>
      <w:numFmt w:val="bullet"/>
      <w:lvlText w:val="•"/>
      <w:lvlJc w:val="left"/>
      <w:pPr>
        <w:ind w:left="9276" w:hanging="238"/>
      </w:pPr>
      <w:rPr>
        <w:rFonts w:hint="default"/>
      </w:rPr>
    </w:lvl>
  </w:abstractNum>
  <w:abstractNum w:abstractNumId="7">
    <w:multiLevelType w:val="hybridMultilevel"/>
    <w:lvl w:ilvl="0">
      <w:start w:val="2"/>
      <w:numFmt w:val="decimal"/>
      <w:lvlText w:val="[%1]"/>
      <w:lvlJc w:val="left"/>
      <w:pPr>
        <w:ind w:left="1533" w:hanging="214"/>
        <w:jc w:val="left"/>
      </w:pPr>
      <w:rPr>
        <w:rFonts w:hint="default" w:ascii="Times New Roman" w:hAnsi="Times New Roman" w:eastAsia="Times New Roman" w:cs="Times New Roman"/>
        <w:spacing w:val="-2"/>
        <w:w w:val="104"/>
        <w:position w:val="8"/>
        <w:sz w:val="15"/>
        <w:szCs w:val="15"/>
      </w:rPr>
    </w:lvl>
    <w:lvl w:ilvl="1">
      <w:start w:val="0"/>
      <w:numFmt w:val="bullet"/>
      <w:lvlText w:val="•"/>
      <w:lvlJc w:val="left"/>
      <w:pPr>
        <w:ind w:left="2506" w:hanging="214"/>
      </w:pPr>
      <w:rPr>
        <w:rFonts w:hint="default"/>
      </w:rPr>
    </w:lvl>
    <w:lvl w:ilvl="2">
      <w:start w:val="0"/>
      <w:numFmt w:val="bullet"/>
      <w:lvlText w:val="•"/>
      <w:lvlJc w:val="left"/>
      <w:pPr>
        <w:ind w:left="3473" w:hanging="214"/>
      </w:pPr>
      <w:rPr>
        <w:rFonts w:hint="default"/>
      </w:rPr>
    </w:lvl>
    <w:lvl w:ilvl="3">
      <w:start w:val="0"/>
      <w:numFmt w:val="bullet"/>
      <w:lvlText w:val="•"/>
      <w:lvlJc w:val="left"/>
      <w:pPr>
        <w:ind w:left="4439" w:hanging="214"/>
      </w:pPr>
      <w:rPr>
        <w:rFonts w:hint="default"/>
      </w:rPr>
    </w:lvl>
    <w:lvl w:ilvl="4">
      <w:start w:val="0"/>
      <w:numFmt w:val="bullet"/>
      <w:lvlText w:val="•"/>
      <w:lvlJc w:val="left"/>
      <w:pPr>
        <w:ind w:left="5406" w:hanging="214"/>
      </w:pPr>
      <w:rPr>
        <w:rFonts w:hint="default"/>
      </w:rPr>
    </w:lvl>
    <w:lvl w:ilvl="5">
      <w:start w:val="0"/>
      <w:numFmt w:val="bullet"/>
      <w:lvlText w:val="•"/>
      <w:lvlJc w:val="left"/>
      <w:pPr>
        <w:ind w:left="6373" w:hanging="214"/>
      </w:pPr>
      <w:rPr>
        <w:rFonts w:hint="default"/>
      </w:rPr>
    </w:lvl>
    <w:lvl w:ilvl="6">
      <w:start w:val="0"/>
      <w:numFmt w:val="bullet"/>
      <w:lvlText w:val="•"/>
      <w:lvlJc w:val="left"/>
      <w:pPr>
        <w:ind w:left="7339" w:hanging="214"/>
      </w:pPr>
      <w:rPr>
        <w:rFonts w:hint="default"/>
      </w:rPr>
    </w:lvl>
    <w:lvl w:ilvl="7">
      <w:start w:val="0"/>
      <w:numFmt w:val="bullet"/>
      <w:lvlText w:val="•"/>
      <w:lvlJc w:val="left"/>
      <w:pPr>
        <w:ind w:left="8306" w:hanging="214"/>
      </w:pPr>
      <w:rPr>
        <w:rFonts w:hint="default"/>
      </w:rPr>
    </w:lvl>
    <w:lvl w:ilvl="8">
      <w:start w:val="0"/>
      <w:numFmt w:val="bullet"/>
      <w:lvlText w:val="•"/>
      <w:lvlJc w:val="left"/>
      <w:pPr>
        <w:ind w:left="9272" w:hanging="214"/>
      </w:pPr>
      <w:rPr>
        <w:rFonts w:hint="default"/>
      </w:rPr>
    </w:lvl>
  </w:abstractNum>
  <w:abstractNum w:abstractNumId="6">
    <w:multiLevelType w:val="hybridMultilevel"/>
    <w:lvl w:ilvl="0">
      <w:start w:val="1"/>
      <w:numFmt w:val="decimal"/>
      <w:lvlText w:val="[%1]"/>
      <w:lvlJc w:val="left"/>
      <w:pPr>
        <w:ind w:left="1557" w:hanging="238"/>
        <w:jc w:val="left"/>
      </w:pPr>
      <w:rPr>
        <w:rFonts w:hint="default" w:ascii="Times New Roman" w:hAnsi="Times New Roman" w:eastAsia="Times New Roman" w:cs="Times New Roman"/>
        <w:spacing w:val="-2"/>
        <w:w w:val="104"/>
        <w:position w:val="8"/>
        <w:sz w:val="15"/>
        <w:szCs w:val="15"/>
      </w:rPr>
    </w:lvl>
    <w:lvl w:ilvl="1">
      <w:start w:val="0"/>
      <w:numFmt w:val="bullet"/>
      <w:lvlText w:val="•"/>
      <w:lvlJc w:val="left"/>
      <w:pPr>
        <w:ind w:left="2524" w:hanging="238"/>
      </w:pPr>
      <w:rPr>
        <w:rFonts w:hint="default"/>
      </w:rPr>
    </w:lvl>
    <w:lvl w:ilvl="2">
      <w:start w:val="0"/>
      <w:numFmt w:val="bullet"/>
      <w:lvlText w:val="•"/>
      <w:lvlJc w:val="left"/>
      <w:pPr>
        <w:ind w:left="3489" w:hanging="238"/>
      </w:pPr>
      <w:rPr>
        <w:rFonts w:hint="default"/>
      </w:rPr>
    </w:lvl>
    <w:lvl w:ilvl="3">
      <w:start w:val="0"/>
      <w:numFmt w:val="bullet"/>
      <w:lvlText w:val="•"/>
      <w:lvlJc w:val="left"/>
      <w:pPr>
        <w:ind w:left="4453" w:hanging="238"/>
      </w:pPr>
      <w:rPr>
        <w:rFonts w:hint="default"/>
      </w:rPr>
    </w:lvl>
    <w:lvl w:ilvl="4">
      <w:start w:val="0"/>
      <w:numFmt w:val="bullet"/>
      <w:lvlText w:val="•"/>
      <w:lvlJc w:val="left"/>
      <w:pPr>
        <w:ind w:left="5418" w:hanging="238"/>
      </w:pPr>
      <w:rPr>
        <w:rFonts w:hint="default"/>
      </w:rPr>
    </w:lvl>
    <w:lvl w:ilvl="5">
      <w:start w:val="0"/>
      <w:numFmt w:val="bullet"/>
      <w:lvlText w:val="•"/>
      <w:lvlJc w:val="left"/>
      <w:pPr>
        <w:ind w:left="6383" w:hanging="238"/>
      </w:pPr>
      <w:rPr>
        <w:rFonts w:hint="default"/>
      </w:rPr>
    </w:lvl>
    <w:lvl w:ilvl="6">
      <w:start w:val="0"/>
      <w:numFmt w:val="bullet"/>
      <w:lvlText w:val="•"/>
      <w:lvlJc w:val="left"/>
      <w:pPr>
        <w:ind w:left="7347" w:hanging="238"/>
      </w:pPr>
      <w:rPr>
        <w:rFonts w:hint="default"/>
      </w:rPr>
    </w:lvl>
    <w:lvl w:ilvl="7">
      <w:start w:val="0"/>
      <w:numFmt w:val="bullet"/>
      <w:lvlText w:val="•"/>
      <w:lvlJc w:val="left"/>
      <w:pPr>
        <w:ind w:left="8312" w:hanging="238"/>
      </w:pPr>
      <w:rPr>
        <w:rFonts w:hint="default"/>
      </w:rPr>
    </w:lvl>
    <w:lvl w:ilvl="8">
      <w:start w:val="0"/>
      <w:numFmt w:val="bullet"/>
      <w:lvlText w:val="•"/>
      <w:lvlJc w:val="left"/>
      <w:pPr>
        <w:ind w:left="9276" w:hanging="238"/>
      </w:pPr>
      <w:rPr>
        <w:rFonts w:hint="default"/>
      </w:rPr>
    </w:lvl>
  </w:abstractNum>
  <w:abstractNum w:abstractNumId="5">
    <w:multiLevelType w:val="hybridMultilevel"/>
    <w:lvl w:ilvl="0">
      <w:start w:val="7"/>
      <w:numFmt w:val="decimal"/>
      <w:lvlText w:val="[%1]"/>
      <w:lvlJc w:val="left"/>
      <w:pPr>
        <w:ind w:left="1557" w:hanging="238"/>
        <w:jc w:val="left"/>
      </w:pPr>
      <w:rPr>
        <w:rFonts w:hint="default" w:ascii="Times New Roman" w:hAnsi="Times New Roman" w:eastAsia="Times New Roman" w:cs="Times New Roman"/>
        <w:spacing w:val="-2"/>
        <w:w w:val="104"/>
        <w:position w:val="8"/>
        <w:sz w:val="15"/>
        <w:szCs w:val="15"/>
      </w:rPr>
    </w:lvl>
    <w:lvl w:ilvl="1">
      <w:start w:val="0"/>
      <w:numFmt w:val="bullet"/>
      <w:lvlText w:val="•"/>
      <w:lvlJc w:val="left"/>
      <w:pPr>
        <w:ind w:left="2524" w:hanging="238"/>
      </w:pPr>
      <w:rPr>
        <w:rFonts w:hint="default"/>
      </w:rPr>
    </w:lvl>
    <w:lvl w:ilvl="2">
      <w:start w:val="0"/>
      <w:numFmt w:val="bullet"/>
      <w:lvlText w:val="•"/>
      <w:lvlJc w:val="left"/>
      <w:pPr>
        <w:ind w:left="3489" w:hanging="238"/>
      </w:pPr>
      <w:rPr>
        <w:rFonts w:hint="default"/>
      </w:rPr>
    </w:lvl>
    <w:lvl w:ilvl="3">
      <w:start w:val="0"/>
      <w:numFmt w:val="bullet"/>
      <w:lvlText w:val="•"/>
      <w:lvlJc w:val="left"/>
      <w:pPr>
        <w:ind w:left="4453" w:hanging="238"/>
      </w:pPr>
      <w:rPr>
        <w:rFonts w:hint="default"/>
      </w:rPr>
    </w:lvl>
    <w:lvl w:ilvl="4">
      <w:start w:val="0"/>
      <w:numFmt w:val="bullet"/>
      <w:lvlText w:val="•"/>
      <w:lvlJc w:val="left"/>
      <w:pPr>
        <w:ind w:left="5418" w:hanging="238"/>
      </w:pPr>
      <w:rPr>
        <w:rFonts w:hint="default"/>
      </w:rPr>
    </w:lvl>
    <w:lvl w:ilvl="5">
      <w:start w:val="0"/>
      <w:numFmt w:val="bullet"/>
      <w:lvlText w:val="•"/>
      <w:lvlJc w:val="left"/>
      <w:pPr>
        <w:ind w:left="6383" w:hanging="238"/>
      </w:pPr>
      <w:rPr>
        <w:rFonts w:hint="default"/>
      </w:rPr>
    </w:lvl>
    <w:lvl w:ilvl="6">
      <w:start w:val="0"/>
      <w:numFmt w:val="bullet"/>
      <w:lvlText w:val="•"/>
      <w:lvlJc w:val="left"/>
      <w:pPr>
        <w:ind w:left="7347" w:hanging="238"/>
      </w:pPr>
      <w:rPr>
        <w:rFonts w:hint="default"/>
      </w:rPr>
    </w:lvl>
    <w:lvl w:ilvl="7">
      <w:start w:val="0"/>
      <w:numFmt w:val="bullet"/>
      <w:lvlText w:val="•"/>
      <w:lvlJc w:val="left"/>
      <w:pPr>
        <w:ind w:left="8312" w:hanging="238"/>
      </w:pPr>
      <w:rPr>
        <w:rFonts w:hint="default"/>
      </w:rPr>
    </w:lvl>
    <w:lvl w:ilvl="8">
      <w:start w:val="0"/>
      <w:numFmt w:val="bullet"/>
      <w:lvlText w:val="•"/>
      <w:lvlJc w:val="left"/>
      <w:pPr>
        <w:ind w:left="9276" w:hanging="238"/>
      </w:pPr>
      <w:rPr>
        <w:rFonts w:hint="default"/>
      </w:rPr>
    </w:lvl>
  </w:abstractNum>
  <w:abstractNum w:abstractNumId="4">
    <w:multiLevelType w:val="hybridMultilevel"/>
    <w:lvl w:ilvl="0">
      <w:start w:val="4"/>
      <w:numFmt w:val="decimal"/>
      <w:lvlText w:val="[%1]"/>
      <w:lvlJc w:val="left"/>
      <w:pPr>
        <w:ind w:left="1557" w:hanging="238"/>
        <w:jc w:val="left"/>
      </w:pPr>
      <w:rPr>
        <w:rFonts w:hint="default" w:ascii="Times New Roman" w:hAnsi="Times New Roman" w:eastAsia="Times New Roman" w:cs="Times New Roman"/>
        <w:spacing w:val="-2"/>
        <w:w w:val="104"/>
        <w:position w:val="8"/>
        <w:sz w:val="15"/>
        <w:szCs w:val="15"/>
      </w:rPr>
    </w:lvl>
    <w:lvl w:ilvl="1">
      <w:start w:val="0"/>
      <w:numFmt w:val="bullet"/>
      <w:lvlText w:val="•"/>
      <w:lvlJc w:val="left"/>
      <w:pPr>
        <w:ind w:left="2524" w:hanging="238"/>
      </w:pPr>
      <w:rPr>
        <w:rFonts w:hint="default"/>
      </w:rPr>
    </w:lvl>
    <w:lvl w:ilvl="2">
      <w:start w:val="0"/>
      <w:numFmt w:val="bullet"/>
      <w:lvlText w:val="•"/>
      <w:lvlJc w:val="left"/>
      <w:pPr>
        <w:ind w:left="3489" w:hanging="238"/>
      </w:pPr>
      <w:rPr>
        <w:rFonts w:hint="default"/>
      </w:rPr>
    </w:lvl>
    <w:lvl w:ilvl="3">
      <w:start w:val="0"/>
      <w:numFmt w:val="bullet"/>
      <w:lvlText w:val="•"/>
      <w:lvlJc w:val="left"/>
      <w:pPr>
        <w:ind w:left="4453" w:hanging="238"/>
      </w:pPr>
      <w:rPr>
        <w:rFonts w:hint="default"/>
      </w:rPr>
    </w:lvl>
    <w:lvl w:ilvl="4">
      <w:start w:val="0"/>
      <w:numFmt w:val="bullet"/>
      <w:lvlText w:val="•"/>
      <w:lvlJc w:val="left"/>
      <w:pPr>
        <w:ind w:left="5418" w:hanging="238"/>
      </w:pPr>
      <w:rPr>
        <w:rFonts w:hint="default"/>
      </w:rPr>
    </w:lvl>
    <w:lvl w:ilvl="5">
      <w:start w:val="0"/>
      <w:numFmt w:val="bullet"/>
      <w:lvlText w:val="•"/>
      <w:lvlJc w:val="left"/>
      <w:pPr>
        <w:ind w:left="6383" w:hanging="238"/>
      </w:pPr>
      <w:rPr>
        <w:rFonts w:hint="default"/>
      </w:rPr>
    </w:lvl>
    <w:lvl w:ilvl="6">
      <w:start w:val="0"/>
      <w:numFmt w:val="bullet"/>
      <w:lvlText w:val="•"/>
      <w:lvlJc w:val="left"/>
      <w:pPr>
        <w:ind w:left="7347" w:hanging="238"/>
      </w:pPr>
      <w:rPr>
        <w:rFonts w:hint="default"/>
      </w:rPr>
    </w:lvl>
    <w:lvl w:ilvl="7">
      <w:start w:val="0"/>
      <w:numFmt w:val="bullet"/>
      <w:lvlText w:val="•"/>
      <w:lvlJc w:val="left"/>
      <w:pPr>
        <w:ind w:left="8312" w:hanging="238"/>
      </w:pPr>
      <w:rPr>
        <w:rFonts w:hint="default"/>
      </w:rPr>
    </w:lvl>
    <w:lvl w:ilvl="8">
      <w:start w:val="0"/>
      <w:numFmt w:val="bullet"/>
      <w:lvlText w:val="•"/>
      <w:lvlJc w:val="left"/>
      <w:pPr>
        <w:ind w:left="9276" w:hanging="238"/>
      </w:pPr>
      <w:rPr>
        <w:rFonts w:hint="default"/>
      </w:rPr>
    </w:lvl>
  </w:abstractNum>
  <w:abstractNum w:abstractNumId="3">
    <w:multiLevelType w:val="hybridMultilevel"/>
    <w:lvl w:ilvl="0">
      <w:start w:val="2"/>
      <w:numFmt w:val="decimal"/>
      <w:lvlText w:val="（%1）"/>
      <w:lvlJc w:val="left"/>
      <w:pPr>
        <w:ind w:left="2401" w:hanging="601"/>
        <w:jc w:val="left"/>
      </w:pPr>
      <w:rPr>
        <w:rFonts w:hint="default" w:ascii="宋体" w:hAnsi="宋体" w:eastAsia="宋体" w:cs="宋体"/>
        <w:spacing w:val="-2"/>
        <w:w w:val="100"/>
        <w:sz w:val="22"/>
        <w:szCs w:val="22"/>
      </w:rPr>
    </w:lvl>
    <w:lvl w:ilvl="1">
      <w:start w:val="0"/>
      <w:numFmt w:val="bullet"/>
      <w:lvlText w:val="•"/>
      <w:lvlJc w:val="left"/>
      <w:pPr>
        <w:ind w:left="3280" w:hanging="601"/>
      </w:pPr>
      <w:rPr>
        <w:rFonts w:hint="default"/>
      </w:rPr>
    </w:lvl>
    <w:lvl w:ilvl="2">
      <w:start w:val="0"/>
      <w:numFmt w:val="bullet"/>
      <w:lvlText w:val="•"/>
      <w:lvlJc w:val="left"/>
      <w:pPr>
        <w:ind w:left="4161" w:hanging="601"/>
      </w:pPr>
      <w:rPr>
        <w:rFonts w:hint="default"/>
      </w:rPr>
    </w:lvl>
    <w:lvl w:ilvl="3">
      <w:start w:val="0"/>
      <w:numFmt w:val="bullet"/>
      <w:lvlText w:val="•"/>
      <w:lvlJc w:val="left"/>
      <w:pPr>
        <w:ind w:left="5041" w:hanging="601"/>
      </w:pPr>
      <w:rPr>
        <w:rFonts w:hint="default"/>
      </w:rPr>
    </w:lvl>
    <w:lvl w:ilvl="4">
      <w:start w:val="0"/>
      <w:numFmt w:val="bullet"/>
      <w:lvlText w:val="•"/>
      <w:lvlJc w:val="left"/>
      <w:pPr>
        <w:ind w:left="5922" w:hanging="601"/>
      </w:pPr>
      <w:rPr>
        <w:rFonts w:hint="default"/>
      </w:rPr>
    </w:lvl>
    <w:lvl w:ilvl="5">
      <w:start w:val="0"/>
      <w:numFmt w:val="bullet"/>
      <w:lvlText w:val="•"/>
      <w:lvlJc w:val="left"/>
      <w:pPr>
        <w:ind w:left="6803" w:hanging="601"/>
      </w:pPr>
      <w:rPr>
        <w:rFonts w:hint="default"/>
      </w:rPr>
    </w:lvl>
    <w:lvl w:ilvl="6">
      <w:start w:val="0"/>
      <w:numFmt w:val="bullet"/>
      <w:lvlText w:val="•"/>
      <w:lvlJc w:val="left"/>
      <w:pPr>
        <w:ind w:left="7683" w:hanging="601"/>
      </w:pPr>
      <w:rPr>
        <w:rFonts w:hint="default"/>
      </w:rPr>
    </w:lvl>
    <w:lvl w:ilvl="7">
      <w:start w:val="0"/>
      <w:numFmt w:val="bullet"/>
      <w:lvlText w:val="•"/>
      <w:lvlJc w:val="left"/>
      <w:pPr>
        <w:ind w:left="8564" w:hanging="601"/>
      </w:pPr>
      <w:rPr>
        <w:rFonts w:hint="default"/>
      </w:rPr>
    </w:lvl>
    <w:lvl w:ilvl="8">
      <w:start w:val="0"/>
      <w:numFmt w:val="bullet"/>
      <w:lvlText w:val="•"/>
      <w:lvlJc w:val="left"/>
      <w:pPr>
        <w:ind w:left="9444" w:hanging="601"/>
      </w:pPr>
      <w:rPr>
        <w:rFonts w:hint="default"/>
      </w:rPr>
    </w:lvl>
  </w:abstractNum>
  <w:abstractNum w:abstractNumId="2">
    <w:multiLevelType w:val="hybridMultilevel"/>
    <w:lvl w:ilvl="0">
      <w:start w:val="1"/>
      <w:numFmt w:val="decimal"/>
      <w:lvlText w:val="%1"/>
      <w:lvlJc w:val="left"/>
      <w:pPr>
        <w:ind w:left="1809" w:hanging="490"/>
        <w:jc w:val="left"/>
      </w:pPr>
      <w:rPr>
        <w:rFonts w:hint="default"/>
      </w:rPr>
    </w:lvl>
    <w:lvl w:ilvl="1">
      <w:start w:val="2"/>
      <w:numFmt w:val="decimal"/>
      <w:lvlText w:val="%1.%2"/>
      <w:lvlJc w:val="left"/>
      <w:pPr>
        <w:ind w:left="1809" w:hanging="490"/>
        <w:jc w:val="left"/>
      </w:pPr>
      <w:rPr>
        <w:rFonts w:hint="default" w:ascii="Times New Roman" w:hAnsi="Times New Roman" w:eastAsia="Times New Roman" w:cs="Times New Roman"/>
        <w:b/>
        <w:bCs/>
        <w:spacing w:val="-1"/>
        <w:w w:val="100"/>
        <w:sz w:val="28"/>
        <w:szCs w:val="28"/>
      </w:rPr>
    </w:lvl>
    <w:lvl w:ilvl="2">
      <w:start w:val="1"/>
      <w:numFmt w:val="decimal"/>
      <w:lvlText w:val="%1.%2.%3"/>
      <w:lvlJc w:val="left"/>
      <w:pPr>
        <w:ind w:left="1920" w:hanging="600"/>
        <w:jc w:val="left"/>
      </w:pPr>
      <w:rPr>
        <w:rFonts w:hint="default" w:ascii="Times New Roman" w:hAnsi="Times New Roman" w:eastAsia="Times New Roman" w:cs="Times New Roman"/>
        <w:w w:val="100"/>
        <w:sz w:val="24"/>
        <w:szCs w:val="24"/>
      </w:rPr>
    </w:lvl>
    <w:lvl w:ilvl="3">
      <w:start w:val="1"/>
      <w:numFmt w:val="decimal"/>
      <w:lvlText w:val="%1.%2.%3.%4"/>
      <w:lvlJc w:val="left"/>
      <w:pPr>
        <w:ind w:left="2100" w:hanging="780"/>
        <w:jc w:val="left"/>
      </w:pPr>
      <w:rPr>
        <w:rFonts w:hint="default" w:ascii="Times New Roman" w:hAnsi="Times New Roman" w:eastAsia="Times New Roman" w:cs="Times New Roman"/>
        <w:w w:val="100"/>
        <w:sz w:val="24"/>
        <w:szCs w:val="24"/>
      </w:rPr>
    </w:lvl>
    <w:lvl w:ilvl="4">
      <w:start w:val="1"/>
      <w:numFmt w:val="decimal"/>
      <w:lvlText w:val="%1.%2.%3.%4.%5"/>
      <w:lvlJc w:val="left"/>
      <w:pPr>
        <w:ind w:left="2280" w:hanging="960"/>
        <w:jc w:val="left"/>
      </w:pPr>
      <w:rPr>
        <w:rFonts w:hint="default" w:ascii="Times New Roman" w:hAnsi="Times New Roman" w:eastAsia="Times New Roman" w:cs="Times New Roman"/>
        <w:w w:val="100"/>
        <w:sz w:val="24"/>
        <w:szCs w:val="24"/>
      </w:rPr>
    </w:lvl>
    <w:lvl w:ilvl="5">
      <w:start w:val="1"/>
      <w:numFmt w:val="decimal"/>
      <w:lvlText w:val="%1.%2.%3.%4.%5.%6"/>
      <w:lvlJc w:val="left"/>
      <w:pPr>
        <w:ind w:left="2460" w:hanging="1140"/>
        <w:jc w:val="left"/>
      </w:pPr>
      <w:rPr>
        <w:rFonts w:hint="default" w:ascii="Times New Roman" w:hAnsi="Times New Roman" w:eastAsia="Times New Roman" w:cs="Times New Roman"/>
        <w:w w:val="100"/>
        <w:sz w:val="24"/>
        <w:szCs w:val="24"/>
      </w:rPr>
    </w:lvl>
    <w:lvl w:ilvl="6">
      <w:start w:val="0"/>
      <w:numFmt w:val="bullet"/>
      <w:lvlText w:val="•"/>
      <w:lvlJc w:val="left"/>
      <w:pPr>
        <w:ind w:left="2460" w:hanging="1140"/>
      </w:pPr>
      <w:rPr>
        <w:rFonts w:hint="default"/>
      </w:rPr>
    </w:lvl>
    <w:lvl w:ilvl="7">
      <w:start w:val="0"/>
      <w:numFmt w:val="bullet"/>
      <w:lvlText w:val="•"/>
      <w:lvlJc w:val="left"/>
      <w:pPr>
        <w:ind w:left="4646" w:hanging="1140"/>
      </w:pPr>
      <w:rPr>
        <w:rFonts w:hint="default"/>
      </w:rPr>
    </w:lvl>
    <w:lvl w:ilvl="8">
      <w:start w:val="0"/>
      <w:numFmt w:val="bullet"/>
      <w:lvlText w:val="•"/>
      <w:lvlJc w:val="left"/>
      <w:pPr>
        <w:ind w:left="6833" w:hanging="1140"/>
      </w:pPr>
      <w:rPr>
        <w:rFonts w:hint="default"/>
      </w:rPr>
    </w:lvl>
  </w:abstractNum>
  <w:abstractNum w:abstractNumId="1">
    <w:multiLevelType w:val="hybridMultilevel"/>
    <w:lvl w:ilvl="0">
      <w:start w:val="1"/>
      <w:numFmt w:val="decimal"/>
      <w:lvlText w:val="%1"/>
      <w:lvlJc w:val="left"/>
      <w:pPr>
        <w:ind w:left="1620" w:hanging="300"/>
        <w:jc w:val="left"/>
      </w:pPr>
      <w:rPr>
        <w:rFonts w:hint="default" w:ascii="Times New Roman" w:hAnsi="Times New Roman" w:eastAsia="Times New Roman" w:cs="Times New Roman"/>
        <w:b/>
        <w:bCs/>
        <w:w w:val="100"/>
        <w:sz w:val="30"/>
        <w:szCs w:val="30"/>
      </w:rPr>
    </w:lvl>
    <w:lvl w:ilvl="1">
      <w:start w:val="1"/>
      <w:numFmt w:val="decimal"/>
      <w:lvlText w:val="%1.%2"/>
      <w:lvlJc w:val="left"/>
      <w:pPr>
        <w:ind w:left="1809" w:hanging="490"/>
        <w:jc w:val="left"/>
      </w:pPr>
      <w:rPr>
        <w:rFonts w:hint="default"/>
        <w:spacing w:val="-1"/>
        <w:w w:val="100"/>
      </w:rPr>
    </w:lvl>
    <w:lvl w:ilvl="2">
      <w:start w:val="1"/>
      <w:numFmt w:val="decimal"/>
      <w:lvlText w:val="%1.%2.%3"/>
      <w:lvlJc w:val="left"/>
      <w:pPr>
        <w:ind w:left="1920" w:hanging="490"/>
        <w:jc w:val="left"/>
      </w:pPr>
      <w:rPr>
        <w:rFonts w:hint="default" w:ascii="Times New Roman" w:hAnsi="Times New Roman" w:eastAsia="Times New Roman" w:cs="Times New Roman"/>
        <w:w w:val="100"/>
        <w:sz w:val="24"/>
        <w:szCs w:val="24"/>
      </w:rPr>
    </w:lvl>
    <w:lvl w:ilvl="3">
      <w:start w:val="1"/>
      <w:numFmt w:val="decimal"/>
      <w:lvlText w:val="%1.%2.%3.%4"/>
      <w:lvlJc w:val="left"/>
      <w:pPr>
        <w:ind w:left="2100" w:hanging="490"/>
        <w:jc w:val="left"/>
      </w:pPr>
      <w:rPr>
        <w:rFonts w:hint="default" w:ascii="Times New Roman" w:hAnsi="Times New Roman" w:eastAsia="Times New Roman" w:cs="Times New Roman"/>
        <w:w w:val="100"/>
        <w:sz w:val="24"/>
        <w:szCs w:val="24"/>
      </w:rPr>
    </w:lvl>
    <w:lvl w:ilvl="4">
      <w:start w:val="0"/>
      <w:numFmt w:val="bullet"/>
      <w:lvlText w:val=""/>
      <w:lvlJc w:val="left"/>
      <w:pPr>
        <w:ind w:left="1320" w:hanging="420"/>
      </w:pPr>
      <w:rPr>
        <w:rFonts w:hint="default" w:ascii="Wingdings" w:hAnsi="Wingdings" w:eastAsia="Wingdings" w:cs="Wingdings"/>
        <w:w w:val="100"/>
        <w:sz w:val="24"/>
        <w:szCs w:val="24"/>
      </w:rPr>
    </w:lvl>
    <w:lvl w:ilvl="5">
      <w:start w:val="0"/>
      <w:numFmt w:val="bullet"/>
      <w:lvlText w:val="•"/>
      <w:lvlJc w:val="left"/>
      <w:pPr>
        <w:ind w:left="3617" w:hanging="420"/>
      </w:pPr>
      <w:rPr>
        <w:rFonts w:hint="default"/>
      </w:rPr>
    </w:lvl>
    <w:lvl w:ilvl="6">
      <w:start w:val="0"/>
      <w:numFmt w:val="bullet"/>
      <w:lvlText w:val="•"/>
      <w:lvlJc w:val="left"/>
      <w:pPr>
        <w:ind w:left="5135" w:hanging="420"/>
      </w:pPr>
      <w:rPr>
        <w:rFonts w:hint="default"/>
      </w:rPr>
    </w:lvl>
    <w:lvl w:ilvl="7">
      <w:start w:val="0"/>
      <w:numFmt w:val="bullet"/>
      <w:lvlText w:val="•"/>
      <w:lvlJc w:val="left"/>
      <w:pPr>
        <w:ind w:left="6653" w:hanging="420"/>
      </w:pPr>
      <w:rPr>
        <w:rFonts w:hint="default"/>
      </w:rPr>
    </w:lvl>
    <w:lvl w:ilvl="8">
      <w:start w:val="0"/>
      <w:numFmt w:val="bullet"/>
      <w:lvlText w:val="•"/>
      <w:lvlJc w:val="left"/>
      <w:pPr>
        <w:ind w:left="8170" w:hanging="420"/>
      </w:pPr>
      <w:rPr>
        <w:rFonts w:hint="default"/>
      </w:rPr>
    </w:lvl>
  </w:abstractNum>
  <w:abstractNum w:abstractNumId="0">
    <w:multiLevelType w:val="hybridMultilevel"/>
    <w:lvl w:ilvl="0">
      <w:start w:val="1"/>
      <w:numFmt w:val="decimal"/>
      <w:lvlText w:val="%1"/>
      <w:lvlJc w:val="left"/>
      <w:pPr>
        <w:ind w:left="1560" w:hanging="240"/>
        <w:jc w:val="left"/>
      </w:pPr>
      <w:rPr>
        <w:rFonts w:hint="default" w:ascii="Times New Roman" w:hAnsi="Times New Roman" w:eastAsia="Times New Roman" w:cs="Times New Roman"/>
        <w:w w:val="100"/>
        <w:sz w:val="24"/>
        <w:szCs w:val="24"/>
      </w:rPr>
    </w:lvl>
    <w:lvl w:ilvl="1">
      <w:start w:val="1"/>
      <w:numFmt w:val="decimal"/>
      <w:lvlText w:val="%1.%2"/>
      <w:lvlJc w:val="left"/>
      <w:pPr>
        <w:ind w:left="2160" w:hanging="420"/>
        <w:jc w:val="left"/>
      </w:pPr>
      <w:rPr>
        <w:rFonts w:hint="default" w:ascii="Times New Roman" w:hAnsi="Times New Roman" w:eastAsia="Times New Roman" w:cs="Times New Roman"/>
        <w:w w:val="100"/>
        <w:sz w:val="24"/>
        <w:szCs w:val="24"/>
      </w:rPr>
    </w:lvl>
    <w:lvl w:ilvl="2">
      <w:start w:val="1"/>
      <w:numFmt w:val="decimal"/>
      <w:lvlText w:val="%1.%2.%3"/>
      <w:lvlJc w:val="left"/>
      <w:pPr>
        <w:ind w:left="2760" w:hanging="600"/>
        <w:jc w:val="left"/>
      </w:pPr>
      <w:rPr>
        <w:rFonts w:hint="default" w:ascii="Times New Roman" w:hAnsi="Times New Roman" w:eastAsia="Times New Roman" w:cs="Times New Roman"/>
        <w:w w:val="100"/>
        <w:sz w:val="24"/>
        <w:szCs w:val="24"/>
      </w:rPr>
    </w:lvl>
    <w:lvl w:ilvl="3">
      <w:start w:val="0"/>
      <w:numFmt w:val="bullet"/>
      <w:lvlText w:val="•"/>
      <w:lvlJc w:val="left"/>
      <w:pPr>
        <w:ind w:left="3815" w:hanging="600"/>
      </w:pPr>
      <w:rPr>
        <w:rFonts w:hint="default"/>
      </w:rPr>
    </w:lvl>
    <w:lvl w:ilvl="4">
      <w:start w:val="0"/>
      <w:numFmt w:val="bullet"/>
      <w:lvlText w:val="•"/>
      <w:lvlJc w:val="left"/>
      <w:pPr>
        <w:ind w:left="4871" w:hanging="600"/>
      </w:pPr>
      <w:rPr>
        <w:rFonts w:hint="default"/>
      </w:rPr>
    </w:lvl>
    <w:lvl w:ilvl="5">
      <w:start w:val="0"/>
      <w:numFmt w:val="bullet"/>
      <w:lvlText w:val="•"/>
      <w:lvlJc w:val="left"/>
      <w:pPr>
        <w:ind w:left="5927" w:hanging="600"/>
      </w:pPr>
      <w:rPr>
        <w:rFonts w:hint="default"/>
      </w:rPr>
    </w:lvl>
    <w:lvl w:ilvl="6">
      <w:start w:val="0"/>
      <w:numFmt w:val="bullet"/>
      <w:lvlText w:val="•"/>
      <w:lvlJc w:val="left"/>
      <w:pPr>
        <w:ind w:left="6983" w:hanging="600"/>
      </w:pPr>
      <w:rPr>
        <w:rFonts w:hint="default"/>
      </w:rPr>
    </w:lvl>
    <w:lvl w:ilvl="7">
      <w:start w:val="0"/>
      <w:numFmt w:val="bullet"/>
      <w:lvlText w:val="•"/>
      <w:lvlJc w:val="left"/>
      <w:pPr>
        <w:ind w:left="8038" w:hanging="600"/>
      </w:pPr>
      <w:rPr>
        <w:rFonts w:hint="default"/>
      </w:rPr>
    </w:lvl>
    <w:lvl w:ilvl="8">
      <w:start w:val="0"/>
      <w:numFmt w:val="bullet"/>
      <w:lvlText w:val="•"/>
      <w:lvlJc w:val="left"/>
      <w:pPr>
        <w:ind w:left="9094" w:hanging="600"/>
      </w:pPr>
      <w:rPr>
        <w:rFonts w:hint="default"/>
      </w:rPr>
    </w:lvl>
  </w:abstractNum>
  <w:num w:numId="57">
    <w:abstractNumId w:val="56"/>
  </w:num>
  <w:num w:numId="56">
    <w:abstractNumId w:val="55"/>
  </w:num>
  <w:num w:numId="55">
    <w:abstractNumId w:val="54"/>
  </w:num>
  <w:num w:numId="54">
    <w:abstractNumId w:val="53"/>
  </w:num>
  <w:num w:numId="53">
    <w:abstractNumId w:val="52"/>
  </w:num>
  <w:num w:numId="52">
    <w:abstractNumId w:val="51"/>
  </w:num>
  <w:num w:numId="51">
    <w:abstractNumId w:val="50"/>
  </w:num>
  <w:num w:numId="50">
    <w:abstractNumId w:val="49"/>
  </w:num>
  <w:num w:numId="49">
    <w:abstractNumId w:val="48"/>
  </w:num>
  <w:num w:numId="48">
    <w:abstractNumId w:val="47"/>
  </w:num>
  <w:num w:numId="47">
    <w:abstractNumId w:val="46"/>
  </w:num>
  <w:num w:numId="46">
    <w:abstractNumId w:val="45"/>
  </w:num>
  <w:num w:numId="45">
    <w:abstractNumId w:val="44"/>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宋体" w:hAnsi="宋体" w:eastAsia="宋体" w:cs="宋体"/>
    </w:rPr>
  </w:style>
  <w:style w:styleId="TOC1" w:type="paragraph">
    <w:name w:val="TOC 1"/>
    <w:basedOn w:val="Normal"/>
    <w:uiPriority w:val="1"/>
    <w:qFormat/>
    <w:pPr>
      <w:spacing w:before="160"/>
      <w:ind w:left="1560"/>
    </w:pPr>
    <w:rPr>
      <w:rFonts w:ascii="宋体" w:hAnsi="宋体" w:eastAsia="宋体" w:cs="宋体"/>
      <w:sz w:val="24"/>
      <w:szCs w:val="24"/>
    </w:rPr>
  </w:style>
  <w:style w:styleId="TOC2" w:type="paragraph">
    <w:name w:val="TOC 2"/>
    <w:basedOn w:val="Normal"/>
    <w:uiPriority w:val="1"/>
    <w:qFormat/>
    <w:pPr>
      <w:spacing w:before="160"/>
      <w:ind w:left="2160" w:hanging="421"/>
    </w:pPr>
    <w:rPr>
      <w:rFonts w:ascii="宋体" w:hAnsi="宋体" w:eastAsia="宋体" w:cs="宋体"/>
      <w:sz w:val="24"/>
      <w:szCs w:val="24"/>
    </w:rPr>
  </w:style>
  <w:style w:styleId="TOC3" w:type="paragraph">
    <w:name w:val="TOC 3"/>
    <w:basedOn w:val="Normal"/>
    <w:uiPriority w:val="1"/>
    <w:qFormat/>
    <w:pPr>
      <w:spacing w:before="161"/>
      <w:ind w:left="2160" w:hanging="420"/>
    </w:pPr>
    <w:rPr>
      <w:rFonts w:ascii="宋体" w:hAnsi="宋体" w:eastAsia="宋体" w:cs="宋体"/>
      <w:sz w:val="24"/>
      <w:szCs w:val="24"/>
    </w:rPr>
  </w:style>
  <w:style w:styleId="TOC4" w:type="paragraph">
    <w:name w:val="TOC 4"/>
    <w:basedOn w:val="Normal"/>
    <w:uiPriority w:val="1"/>
    <w:qFormat/>
    <w:pPr>
      <w:spacing w:before="161"/>
      <w:ind w:left="2760" w:hanging="600"/>
    </w:pPr>
    <w:rPr>
      <w:rFonts w:ascii="宋体" w:hAnsi="宋体" w:eastAsia="宋体" w:cs="宋体"/>
      <w:sz w:val="24"/>
      <w:szCs w:val="24"/>
    </w:rPr>
  </w:style>
  <w:style w:styleId="BodyText" w:type="paragraph">
    <w:name w:val="Body Text"/>
    <w:basedOn w:val="Normal"/>
    <w:uiPriority w:val="1"/>
    <w:qFormat/>
    <w:pPr/>
    <w:rPr>
      <w:rFonts w:ascii="宋体" w:hAnsi="宋体" w:eastAsia="宋体" w:cs="宋体"/>
      <w:sz w:val="24"/>
      <w:szCs w:val="24"/>
    </w:rPr>
  </w:style>
  <w:style w:styleId="Heading1" w:type="paragraph">
    <w:name w:val="Heading 1"/>
    <w:basedOn w:val="Normal"/>
    <w:uiPriority w:val="1"/>
    <w:qFormat/>
    <w:pPr>
      <w:outlineLvl w:val="1"/>
    </w:pPr>
    <w:rPr>
      <w:rFonts w:ascii="Microsoft JhengHei" w:hAnsi="Microsoft JhengHei" w:eastAsia="Microsoft JhengHei" w:cs="Microsoft JhengHei"/>
      <w:b/>
      <w:bCs/>
      <w:sz w:val="30"/>
      <w:szCs w:val="30"/>
    </w:rPr>
  </w:style>
  <w:style w:styleId="Heading2" w:type="paragraph">
    <w:name w:val="Heading 2"/>
    <w:basedOn w:val="Normal"/>
    <w:uiPriority w:val="1"/>
    <w:qFormat/>
    <w:pPr>
      <w:ind w:left="1809" w:hanging="490"/>
      <w:outlineLvl w:val="2"/>
    </w:pPr>
    <w:rPr>
      <w:rFonts w:ascii="Microsoft JhengHei" w:hAnsi="Microsoft JhengHei" w:eastAsia="Microsoft JhengHei" w:cs="Microsoft JhengHei"/>
      <w:b/>
      <w:bCs/>
      <w:sz w:val="28"/>
      <w:szCs w:val="28"/>
    </w:rPr>
  </w:style>
  <w:style w:styleId="Heading3" w:type="paragraph">
    <w:name w:val="Heading 3"/>
    <w:basedOn w:val="Normal"/>
    <w:uiPriority w:val="1"/>
    <w:qFormat/>
    <w:pPr>
      <w:spacing w:line="313" w:lineRule="exact"/>
      <w:ind w:left="109"/>
      <w:outlineLvl w:val="3"/>
    </w:pPr>
    <w:rPr>
      <w:rFonts w:ascii="Microsoft JhengHei" w:hAnsi="Microsoft JhengHei" w:eastAsia="Microsoft JhengHei" w:cs="Microsoft JhengHei"/>
      <w:b/>
      <w:bCs/>
      <w:sz w:val="24"/>
      <w:szCs w:val="24"/>
    </w:rPr>
  </w:style>
  <w:style w:styleId="ListParagraph" w:type="paragraph">
    <w:name w:val="List Paragraph"/>
    <w:basedOn w:val="Normal"/>
    <w:uiPriority w:val="1"/>
    <w:qFormat/>
    <w:pPr>
      <w:ind w:left="2760" w:hanging="600"/>
    </w:pPr>
    <w:rPr>
      <w:rFonts w:ascii="宋体" w:hAnsi="宋体" w:eastAsia="宋体" w:cs="宋体"/>
    </w:rPr>
  </w:style>
  <w:style w:styleId="TableParagraph" w:type="paragraph">
    <w:name w:val="Table Paragraph"/>
    <w:basedOn w:val="Normal"/>
    <w:uiPriority w:val="1"/>
    <w:qFormat/>
    <w:pPr/>
    <w:rPr>
      <w:rFonts w:ascii="宋体" w:hAnsi="宋体" w:eastAsia="宋体" w:cs="宋体"/>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footer" Target="footer1.xml"/><Relationship Id="rId10" Type="http://schemas.openxmlformats.org/officeDocument/2006/relationships/footer" Target="footer2.xml"/><Relationship Id="rId11" Type="http://schemas.openxmlformats.org/officeDocument/2006/relationships/header" Target="header1.xml"/><Relationship Id="rId12" Type="http://schemas.openxmlformats.org/officeDocument/2006/relationships/footer" Target="footer3.xml"/><Relationship Id="rId13" Type="http://schemas.openxmlformats.org/officeDocument/2006/relationships/header" Target="header2.xml"/><Relationship Id="rId14" Type="http://schemas.openxmlformats.org/officeDocument/2006/relationships/footer" Target="footer4.xml"/><Relationship Id="rId15" Type="http://schemas.openxmlformats.org/officeDocument/2006/relationships/hyperlink" Target="http://www.gov.cn/zhengce/content/2014-0" TargetMode="External"/><Relationship Id="rId16" Type="http://schemas.openxmlformats.org/officeDocument/2006/relationships/hyperlink" Target="http://www.moe.edu.cn/publicfiles/business" TargetMode="External"/><Relationship Id="rId17" Type="http://schemas.openxmlformats.org/officeDocument/2006/relationships/hyperlink" Target="http://www.zjjyb.cn/jyb/qygc/8276.html" TargetMode="External"/><Relationship Id="rId18" Type="http://schemas.openxmlformats.org/officeDocument/2006/relationships/hyperlink" Target="http://www.eric.ed.gov/contentdelivery/servlet/ERICServlet?accno=ED048480" TargetMode="External"/><Relationship Id="rId19" Type="http://schemas.openxmlformats.org/officeDocument/2006/relationships/hyperlink" Target="http://ritter.tea.state.tx.us/rules/tac/chapter127/ch127b.html.2015-6-10" TargetMode="External"/><Relationship Id="rId20" Type="http://schemas.openxmlformats.org/officeDocument/2006/relationships/hyperlink" Target="http://xueshu.baidu.com/usercenter/data/journal?cmd=jump&amp;wd=journaluri%3A(f79b6bd1df29857c)%20%E3%80%8ATechniques%20Connecting%20Education%20&amp;%20Careers%E3%80%8B&amp;tn=SE_baiduxueshu_c1gjeupa&amp;ie=utf-8&amp;sc_f_para=sc_hilight%3Dpublish&amp;sort=sc_cited" TargetMode="External"/><Relationship Id="rId21" Type="http://schemas.openxmlformats.org/officeDocument/2006/relationships/hyperlink" Target="http://xueshu.baidu.com/s?wd=journaluri%3A(65098b3bd35ae3f)%20%E3%80%8A%E5%85%A8%E7%90%83%E6%95%99%E8%82%B2%E5%B1%95%E6%9C%9B%E3%80%8B&amp;tn=SE_baiduxueshu_c1gjeupa&amp;ie=utf-8&amp;sc_f_para=sc_hilight%3Dpublish&amp;sort=sc_cited" TargetMode="External"/><Relationship Id="rId22" Type="http://schemas.openxmlformats.org/officeDocument/2006/relationships/hyperlink" Target="http://www.p21.org/storage/documents/P21_framework_0515.pdf" TargetMode="External"/><Relationship Id="rId23" Type="http://schemas.openxmlformats.org/officeDocument/2006/relationships/hyperlink" Target="http://www.moe.gov.sg/education" TargetMode="External"/><Relationship Id="rId24" Type="http://schemas.openxmlformats.org/officeDocument/2006/relationships/hyperlink" Target="http://www.oecd.org/education/skills-beyond-school/definitionandselectionofcompetenciesdeseco.htm" TargetMode="External"/><Relationship Id="rId25" Type="http://schemas.openxmlformats.org/officeDocument/2006/relationships/image" Target="media/image5.jpeg"/><Relationship Id="rId26" Type="http://schemas.openxmlformats.org/officeDocument/2006/relationships/hyperlink" Target="http://eur-lex.europa.eu/LexUriServ/LexUriServ.do?uri=OJ%3AL%3A" TargetMode="External"/><Relationship Id="rId27" Type="http://schemas.openxmlformats.org/officeDocument/2006/relationships/hyperlink" Target="http://www.tandfonline.com/doi/pdf/10.1080/" TargetMode="External"/><Relationship Id="rId28" Type="http://schemas.openxmlformats.org/officeDocument/2006/relationships/hyperlink" Target="http://unesdoc.unesco.org/images/0013/001390/139018e.pdf" TargetMode="External"/><Relationship Id="rId29" Type="http://schemas.openxmlformats.org/officeDocument/2006/relationships/image" Target="media/image6.png"/><Relationship Id="rId30" Type="http://schemas.openxmlformats.org/officeDocument/2006/relationships/hyperlink" Target="http://career-dev-guidelines.org/career_dev/wp-conte" TargetMode="External"/><Relationship Id="rId31" Type="http://schemas.openxmlformats.org/officeDocument/2006/relationships/hyperlink" Target="http://www.edu.gov.on.ca.2016-3-4/" TargetMode="External"/><Relationship Id="rId32" Type="http://schemas.openxmlformats.org/officeDocument/2006/relationships/hyperlink" Target="http://nzcur/" TargetMode="External"/><Relationship Id="rId33" Type="http://schemas.openxmlformats.org/officeDocument/2006/relationships/header" Target="header3.xml"/><Relationship Id="rId34" Type="http://schemas.openxmlformats.org/officeDocument/2006/relationships/footer" Target="footer5.xml"/><Relationship Id="rId35" Type="http://schemas.openxmlformats.org/officeDocument/2006/relationships/header" Target="header4.xml"/><Relationship Id="rId36" Type="http://schemas.openxmlformats.org/officeDocument/2006/relationships/footer" Target="footer6.xml"/><Relationship Id="rId37" Type="http://schemas.openxmlformats.org/officeDocument/2006/relationships/hyperlink" Target="http://www.oecd-ilibrary.org/deliver/8716021ec009.pdf?ite" TargetMode="External"/><Relationship Id="rId38" Type="http://schemas.openxmlformats.org/officeDocument/2006/relationships/image" Target="media/image7.jpeg"/><Relationship Id="rId39" Type="http://schemas.openxmlformats.org/officeDocument/2006/relationships/hyperlink" Target="http://www.careeronestop.org/competencymodel/" TargetMode="External"/><Relationship Id="rId40" Type="http://schemas.openxmlformats.org/officeDocument/2006/relationships/image" Target="media/image8.jpeg"/><Relationship Id="rId41" Type="http://schemas.openxmlformats.org/officeDocument/2006/relationships/hyperlink" Target="http://nzcu/" TargetMode="External"/><Relationship Id="rId42" Type="http://schemas.openxmlformats.org/officeDocument/2006/relationships/hyperlink" Target="http://www.careers.govt.nz.2016-5-8/" TargetMode="External"/><Relationship Id="rId43" Type="http://schemas.openxmlformats.org/officeDocument/2006/relationships/hyperlink" Target="http://www.blueprint.edu.au/" TargetMode="External"/><Relationship Id="rId44" Type="http://schemas.openxmlformats.org/officeDocument/2006/relationships/image" Target="media/image9.jpeg"/><Relationship Id="rId45" Type="http://schemas.openxmlformats.org/officeDocument/2006/relationships/hyperlink" Target="http://www.innovation.gov.au/" TargetMode="External"/><Relationship Id="rId46" Type="http://schemas.openxmlformats.org/officeDocument/2006/relationships/hyperlink" Target="http://nzcurriculum.tki.org.nz/Curriculum-resources/Career-education.2016-5-8" TargetMode="External"/><Relationship Id="rId47" Type="http://schemas.openxmlformats.org/officeDocument/2006/relationships/header" Target="header5.xml"/><Relationship Id="rId48" Type="http://schemas.openxmlformats.org/officeDocument/2006/relationships/footer" Target="footer7.xml"/><Relationship Id="rId49" Type="http://schemas.openxmlformats.org/officeDocument/2006/relationships/header" Target="header6.xml"/><Relationship Id="rId50" Type="http://schemas.openxmlformats.org/officeDocument/2006/relationships/footer" Target="footer8.xml"/><Relationship Id="rId51" Type="http://schemas.openxmlformats.org/officeDocument/2006/relationships/hyperlink" Target="http://www.edu.gov.on.ca/eng/curriculum/secondary/guidance1112currb.pdf.2007-1-4" TargetMode="External"/><Relationship Id="rId52" Type="http://schemas.openxmlformats.org/officeDocument/2006/relationships/image" Target="media/image10.jpeg"/><Relationship Id="rId53" Type="http://schemas.openxmlformats.org/officeDocument/2006/relationships/image" Target="media/image11.jpeg"/><Relationship Id="rId54" Type="http://schemas.openxmlformats.org/officeDocument/2006/relationships/hyperlink" Target="http://www.edu.gov.on.ca/eng/document/policy/cps/CreatingPathwaysSuccess.pdf" TargetMode="External"/><Relationship Id="rId55" Type="http://schemas.openxmlformats.org/officeDocument/2006/relationships/image" Target="media/image12.jpeg"/><Relationship Id="rId56" Type="http://schemas.openxmlformats.org/officeDocument/2006/relationships/hyperlink" Target="http://ritter.tea.st/" TargetMode="External"/><Relationship Id="rId57" Type="http://schemas.openxmlformats.org/officeDocument/2006/relationships/hyperlink" Target="http://ritter.tea.s/" TargetMode="External"/><Relationship Id="rId58" Type="http://schemas.openxmlformats.org/officeDocument/2006/relationships/hyperlink" Target="http://www.det.nsw.edu.au/vetinschools/documents/careerdevelop" TargetMode="External"/><Relationship Id="rId59" Type="http://schemas.openxmlformats.org/officeDocument/2006/relationships/hyperlink" Target="http://lifework.ca/lifework/Media/lifework%25" TargetMode="External"/><Relationship Id="rId60" Type="http://schemas.openxmlformats.org/officeDocument/2006/relationships/hyperlink" Target="https://www.verywell.com/kendra-cherry-psychology-expert-2794702" TargetMode="External"/><Relationship Id="rId61" Type="http://schemas.openxmlformats.org/officeDocument/2006/relationships/hyperlink" Target="http://www.verywell.com/experiential-learning-2795154.201" TargetMode="External"/><Relationship Id="rId62" Type="http://schemas.openxmlformats.org/officeDocument/2006/relationships/hyperlink" Target="http://xueshu.baidu.com/s?wd=author%3A(Chiko%2C%20Carl%20H)%20&amp;tn=SE_baiduxueshu_c1gjeupa&amp;ie=utf-8&amp;sc_f_para=sc_hilight%3Dperson" TargetMode="External"/><Relationship Id="rId63" Type="http://schemas.openxmlformats.org/officeDocument/2006/relationships/hyperlink" Target="http://xueshu.baidu.com/s?wd=author%3A(Marks%2C%20Stephen%20E)%20&amp;tn=SE_baiduxueshu_c1gjeupa&amp;ie=utf-8&amp;sc_f_para=sc_hilight%3Dperson" TargetMode="External"/><Relationship Id="rId64" Type="http://schemas.openxmlformats.org/officeDocument/2006/relationships/hyperlink" Target="http://cjc-rcc.ucalgary.ca/cjc/i" TargetMode="External"/><Relationship Id="rId65" Type="http://schemas.openxmlformats.org/officeDocument/2006/relationships/hyperlink" Target="http://go.huanqiu.com/northamerican/2011-06/1749398.html.20" TargetMode="External"/><Relationship Id="rId66" Type="http://schemas.openxmlformats.org/officeDocument/2006/relationships/hyperlink" Target="http://www.edu.gov.on.ca/eng/document/curricul/secondary/coop/cooped.pdf.2017-2-14" TargetMode="External"/><Relationship Id="rId67" Type="http://schemas.openxmlformats.org/officeDocument/2006/relationships/hyperlink" Target="http://www.tdsb.on.ca/highschool/yourschoo" TargetMode="External"/><Relationship Id="rId68" Type="http://schemas.openxmlformats.org/officeDocument/2006/relationships/header" Target="header7.xml"/><Relationship Id="rId69" Type="http://schemas.openxmlformats.org/officeDocument/2006/relationships/footer" Target="footer9.xml"/><Relationship Id="rId70" Type="http://schemas.openxmlformats.org/officeDocument/2006/relationships/hyperlink" Target="http://www.edu.gov/" TargetMode="External"/><Relationship Id="rId71" Type="http://schemas.openxmlformats.org/officeDocument/2006/relationships/header" Target="header8.xml"/><Relationship Id="rId72" Type="http://schemas.openxmlformats.org/officeDocument/2006/relationships/footer" Target="footer10.xml"/><Relationship Id="rId73" Type="http://schemas.openxmlformats.org/officeDocument/2006/relationships/hyperlink" Target="http://www.pdfdrive.com/career-technical-education-framework-for-california" TargetMode="External"/><Relationship Id="rId74" Type="http://schemas.openxmlformats.org/officeDocument/2006/relationships/hyperlink" Target="http://blog.sina.com.cn/s/blog_502e7a6d0102v5m5.html.2017" TargetMode="External"/><Relationship Id="rId75" Type="http://schemas.openxmlformats.org/officeDocument/2006/relationships/hyperlink" Target="http://www.edu.gov.on.ca/eng/document/policy/cps/CreatingPathwaysSuccess.pd" TargetMode="External"/><Relationship Id="rId76" Type="http://schemas.openxmlformats.org/officeDocument/2006/relationships/hyperlink" Target="http://www.parklandsacademy.co.uk/careers" TargetMode="External"/><Relationship Id="rId77" Type="http://schemas.openxmlformats.org/officeDocument/2006/relationships/image" Target="media/image13.jpeg"/><Relationship Id="rId78" Type="http://schemas.openxmlformats.org/officeDocument/2006/relationships/image" Target="media/image14.jpeg"/><Relationship Id="rId79" Type="http://schemas.openxmlformats.org/officeDocument/2006/relationships/image" Target="media/image15.jpeg"/><Relationship Id="rId80" Type="http://schemas.openxmlformats.org/officeDocument/2006/relationships/image" Target="media/image16.jpeg"/><Relationship Id="rId81" Type="http://schemas.openxmlformats.org/officeDocument/2006/relationships/header" Target="header9.xml"/><Relationship Id="rId82" Type="http://schemas.openxmlformats.org/officeDocument/2006/relationships/footer" Target="footer11.xml"/><Relationship Id="rId83" Type="http://schemas.openxmlformats.org/officeDocument/2006/relationships/header" Target="header10.xml"/><Relationship Id="rId84" Type="http://schemas.openxmlformats.org/officeDocument/2006/relationships/footer" Target="footer12.xml"/><Relationship Id="rId85" Type="http://schemas.openxmlformats.org/officeDocument/2006/relationships/image" Target="media/image17.jpeg"/><Relationship Id="rId86" Type="http://schemas.openxmlformats.org/officeDocument/2006/relationships/hyperlink" Target="http://e.chengdu.cn/ht" TargetMode="External"/><Relationship Id="rId87" Type="http://schemas.openxmlformats.org/officeDocument/2006/relationships/image" Target="media/image18.jpeg"/><Relationship Id="rId88" Type="http://schemas.openxmlformats.org/officeDocument/2006/relationships/image" Target="media/image19.jpeg"/><Relationship Id="rId89" Type="http://schemas.openxmlformats.org/officeDocument/2006/relationships/header" Target="header11.xml"/><Relationship Id="rId90" Type="http://schemas.openxmlformats.org/officeDocument/2006/relationships/footer" Target="footer13.xml"/><Relationship Id="rId91" Type="http://schemas.openxmlformats.org/officeDocument/2006/relationships/header" Target="header12.xml"/><Relationship Id="rId92" Type="http://schemas.openxmlformats.org/officeDocument/2006/relationships/footer" Target="footer14.xml"/><Relationship Id="rId93" Type="http://schemas.openxmlformats.org/officeDocument/2006/relationships/image" Target="media/image20.jpeg"/><Relationship Id="rId94" Type="http://schemas.openxmlformats.org/officeDocument/2006/relationships/hyperlink" Target="http://www.hzlcyh.com/putongAction!getArticle.action?aid=1077&amp;lefttype=KCJS.2016-3-5" TargetMode="External"/><Relationship Id="rId95" Type="http://schemas.openxmlformats.org/officeDocument/2006/relationships/hyperlink" Target="http://wenku.baidu.com/link?url=DLtGJ4bf0H_ZrHAHyruSvmQrUKfw_Iw" TargetMode="External"/><Relationship Id="rId96" Type="http://schemas.openxmlformats.org/officeDocument/2006/relationships/hyperlink" Target="http://www.nbedu.gov.cn/zwg" TargetMode="External"/><Relationship Id="rId97" Type="http://schemas.openxmlformats.org/officeDocument/2006/relationships/hyperlink" Target="http://www.sjzez.com/s" TargetMode="External"/><Relationship Id="rId98" Type="http://schemas.openxmlformats.org/officeDocument/2006/relationships/hyperlink" Target="http://www.hzqs.n/" TargetMode="External"/><Relationship Id="rId99" Type="http://schemas.openxmlformats.org/officeDocument/2006/relationships/hyperlink" Target="http://wenku.baidu.com/link?url" TargetMode="External"/><Relationship Id="rId100" Type="http://schemas.openxmlformats.org/officeDocument/2006/relationships/image" Target="media/image21.jpeg"/><Relationship Id="rId101" Type="http://schemas.openxmlformats.org/officeDocument/2006/relationships/hyperlink" Target="http://www.businessballs.com/kolblearningstyles.htm.2" TargetMode="External"/><Relationship Id="rId102" Type="http://schemas.openxmlformats.org/officeDocument/2006/relationships/header" Target="header13.xml"/><Relationship Id="rId103" Type="http://schemas.openxmlformats.org/officeDocument/2006/relationships/footer" Target="footer15.xml"/><Relationship Id="rId104" Type="http://schemas.openxmlformats.org/officeDocument/2006/relationships/header" Target="header14.xml"/><Relationship Id="rId105" Type="http://schemas.openxmlformats.org/officeDocument/2006/relationships/footer" Target="footer16.xml"/><Relationship Id="rId106" Type="http://schemas.openxmlformats.org/officeDocument/2006/relationships/hyperlink" Target="http://baike.baidu.com/subview/66855/16721696.htm" TargetMode="External"/><Relationship Id="rId107" Type="http://schemas.openxmlformats.org/officeDocument/2006/relationships/hyperlink" Target="http://wenku.baidu.com/view/75eae8e2b0717fd5360cdc5d.html.2017-1-3" TargetMode="External"/><Relationship Id="rId108" Type="http://schemas.openxmlformats.org/officeDocument/2006/relationships/hyperlink" Target="http://www.gov.uk/govern" TargetMode="External"/><Relationship Id="rId109" Type="http://schemas.openxmlformats.org/officeDocument/2006/relationships/header" Target="header15.xml"/><Relationship Id="rId110" Type="http://schemas.openxmlformats.org/officeDocument/2006/relationships/footer" Target="footer17.xml"/><Relationship Id="rId111" Type="http://schemas.openxmlformats.org/officeDocument/2006/relationships/header" Target="header16.xml"/><Relationship Id="rId112" Type="http://schemas.openxmlformats.org/officeDocument/2006/relationships/footer" Target="footer18.xml"/><Relationship Id="rId113" Type="http://schemas.openxmlformats.org/officeDocument/2006/relationships/image" Target="media/image22.png"/><Relationship Id="rId114" Type="http://schemas.openxmlformats.org/officeDocument/2006/relationships/image" Target="media/image23.jpeg"/><Relationship Id="rId115" Type="http://schemas.openxmlformats.org/officeDocument/2006/relationships/hyperlink" Target="http://www.moe.gov.sg/education/education-system/21st-century-competencies.2016-5-18" TargetMode="External"/><Relationship Id="rId116" Type="http://schemas.openxmlformats.org/officeDocument/2006/relationships/hyperlink" Target="http://career-dev-guidelines.org/career_dev/wp-content/uploads/2015/06/Core-C" TargetMode="External"/><Relationship Id="rId117" Type="http://schemas.openxmlformats.org/officeDocument/2006/relationships/hyperlink" Target="http://nzcurriculum.tki.org.nz/Curriculum-resources/Career-educati" TargetMode="External"/><Relationship Id="rId118" Type="http://schemas.openxmlformats.org/officeDocument/2006/relationships/hyperlink" Target="http://www.oecd.org/dataoecd/47/61/35070367.pdf.2016-5-18" TargetMode="External"/><Relationship Id="rId119" Type="http://schemas.openxmlformats.org/officeDocument/2006/relationships/hyperlink" Target="http://www.innovation.gov.au/csfw.2016-11-9" TargetMode="External"/><Relationship Id="rId120" Type="http://schemas.openxmlformats.org/officeDocument/2006/relationships/hyperlink" Target="http://cjc-rcc.ucalgary.ca/cjc/index.php/rcc/article/view/1961/1808.2017-2-9" TargetMode="External"/><Relationship Id="rId121"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http://www.cnki.net/"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5.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6.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7.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8.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9.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10.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1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1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13.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14.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15.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16.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17.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_rels/footer18.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CNKI</dc:creator>
  <dcterms:created xsi:type="dcterms:W3CDTF">2022-01-05T07:58:49Z</dcterms:created>
  <dcterms:modified xsi:type="dcterms:W3CDTF">2022-01-05T07:58:49Z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2021-05-08T00:00:00Z</vt:filetime>
  </property>
  <property fmtid="{D5CDD505-2E9C-101B-9397-08002B2CF9AE}" pid="3" name="Creator">
    <vt:lpwstr>ReaderEx_DIS 2.3.0 Build 3983</vt:lpwstr>
  </property>
  <property fmtid="{D5CDD505-2E9C-101B-9397-08002B2CF9AE}" pid="4" name="LastSaved">
    <vt:filetime>2021-05-08T00:00:00Z</vt:filetime>
  </property>
</Properties>
</file>