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600" w:firstLineChars="5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专业成长“研究态”，教育生活沁芬芳</w:t>
      </w:r>
    </w:p>
    <w:p>
      <w:pPr>
        <w:ind w:firstLine="1400" w:firstLineChars="500"/>
        <w:rPr>
          <w:rFonts w:hint="default"/>
          <w:sz w:val="24"/>
          <w:szCs w:val="24"/>
          <w:lang w:val="en-US" w:eastAsia="zh-CN"/>
        </w:rPr>
      </w:pPr>
      <w:r>
        <w:rPr>
          <w:rFonts w:hint="eastAsia"/>
          <w:sz w:val="28"/>
          <w:szCs w:val="28"/>
          <w:lang w:val="en-US" w:eastAsia="zh-CN"/>
        </w:rPr>
        <w:t xml:space="preserve"> </w:t>
      </w:r>
      <w:r>
        <w:rPr>
          <w:rFonts w:hint="eastAsia"/>
          <w:sz w:val="24"/>
          <w:szCs w:val="24"/>
          <w:lang w:val="en-US" w:eastAsia="zh-CN"/>
        </w:rPr>
        <w:t>——陈亚兰特级班主任成长营2020年度工作总结暨2021年度工作思路</w:t>
      </w:r>
    </w:p>
    <w:p>
      <w:pPr>
        <w:numPr>
          <w:ilvl w:val="0"/>
          <w:numId w:val="1"/>
        </w:numPr>
        <w:spacing w:line="360" w:lineRule="auto"/>
        <w:rPr>
          <w:rFonts w:hint="eastAsia"/>
          <w:sz w:val="24"/>
          <w:szCs w:val="24"/>
          <w:lang w:val="en-US" w:eastAsia="zh-CN"/>
        </w:rPr>
      </w:pPr>
      <w:r>
        <w:rPr>
          <w:rFonts w:hint="eastAsia"/>
          <w:b/>
          <w:bCs/>
          <w:sz w:val="24"/>
          <w:szCs w:val="24"/>
          <w:lang w:val="en-US" w:eastAsia="zh-CN"/>
        </w:rPr>
        <w:t>营员成长概览</w:t>
      </w:r>
    </w:p>
    <w:p>
      <w:pPr>
        <w:widowControl w:val="0"/>
        <w:numPr>
          <w:ilvl w:val="0"/>
          <w:numId w:val="0"/>
        </w:numPr>
        <w:spacing w:line="360" w:lineRule="auto"/>
        <w:ind w:firstLine="480" w:firstLineChars="200"/>
        <w:jc w:val="both"/>
        <w:rPr>
          <w:rFonts w:hint="eastAsia"/>
          <w:sz w:val="24"/>
          <w:szCs w:val="24"/>
          <w:lang w:val="en-US" w:eastAsia="zh-CN"/>
        </w:rPr>
      </w:pPr>
      <w:r>
        <w:rPr>
          <w:rFonts w:hint="eastAsia"/>
          <w:sz w:val="24"/>
          <w:szCs w:val="24"/>
          <w:lang w:val="en-US" w:eastAsia="zh-CN"/>
        </w:rPr>
        <w:t>陈亚兰特级班主任成长营共有营员13人，本成长营的定位是培养我区特级班主任。结合3年的运行时限，在招募时，充分考虑了担任班主任的年限及班主任专业基础。担任班主任二十年以上，7人；担任班主任十五年至十九年，4人，十三至十五年2人，总的来说，班主任工作的经验都非常丰富，更值得骄傲的是，所有营员对班主任工作自始至终充满热爱与激情。</w:t>
      </w:r>
    </w:p>
    <w:p>
      <w:pPr>
        <w:widowControl w:val="0"/>
        <w:numPr>
          <w:ilvl w:val="0"/>
          <w:numId w:val="0"/>
        </w:numPr>
        <w:spacing w:line="360" w:lineRule="auto"/>
        <w:ind w:firstLine="480" w:firstLineChars="200"/>
        <w:jc w:val="both"/>
        <w:rPr>
          <w:rFonts w:hint="default"/>
          <w:sz w:val="28"/>
          <w:szCs w:val="28"/>
          <w:lang w:val="en-US" w:eastAsia="zh-CN"/>
        </w:rPr>
      </w:pPr>
      <w:r>
        <w:rPr>
          <w:rFonts w:hint="eastAsia"/>
          <w:sz w:val="24"/>
          <w:szCs w:val="24"/>
          <w:lang w:val="en-US" w:eastAsia="zh-CN"/>
        </w:rPr>
        <w:t>一年以来，我们以“聚是一团火，散是满天星”为合作初心，共学互学，合作共研，将班主任工作这项“花”的事业，做出了“果”的芳香。无论是班主任的专业称号，还是研究的课题、作的讲座、发表的论文或是获得的荣誉，都有了较大的提升。虽然成长的步履有些匆匆，但回望来时路，我们也充满温暖与希望。</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7"/>
        <w:gridCol w:w="1153"/>
        <w:gridCol w:w="987"/>
        <w:gridCol w:w="2770"/>
        <w:gridCol w:w="1700"/>
        <w:gridCol w:w="3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59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专业称号</w:t>
            </w:r>
          </w:p>
        </w:tc>
        <w:tc>
          <w:tcPr>
            <w:tcW w:w="1153"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2020.1</w:t>
            </w:r>
          </w:p>
        </w:tc>
        <w:tc>
          <w:tcPr>
            <w:tcW w:w="98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2021.1</w:t>
            </w:r>
          </w:p>
        </w:tc>
        <w:tc>
          <w:tcPr>
            <w:tcW w:w="277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新申报课题数</w:t>
            </w:r>
          </w:p>
        </w:tc>
        <w:tc>
          <w:tcPr>
            <w:tcW w:w="170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3个</w:t>
            </w:r>
          </w:p>
        </w:tc>
        <w:tc>
          <w:tcPr>
            <w:tcW w:w="389" w:type="dxa"/>
          </w:tcPr>
          <w:p>
            <w:pPr>
              <w:spacing w:line="360" w:lineRule="auto"/>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59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市特级班主任</w:t>
            </w:r>
          </w:p>
        </w:tc>
        <w:tc>
          <w:tcPr>
            <w:tcW w:w="1153"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1人</w:t>
            </w:r>
          </w:p>
        </w:tc>
        <w:tc>
          <w:tcPr>
            <w:tcW w:w="98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1人</w:t>
            </w:r>
          </w:p>
        </w:tc>
        <w:tc>
          <w:tcPr>
            <w:tcW w:w="277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省市区各类讲座数</w:t>
            </w:r>
          </w:p>
        </w:tc>
        <w:tc>
          <w:tcPr>
            <w:tcW w:w="170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19次</w:t>
            </w:r>
          </w:p>
        </w:tc>
        <w:tc>
          <w:tcPr>
            <w:tcW w:w="389" w:type="dxa"/>
          </w:tcPr>
          <w:p>
            <w:pPr>
              <w:spacing w:line="360" w:lineRule="auto"/>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259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市高级班主任</w:t>
            </w:r>
          </w:p>
        </w:tc>
        <w:tc>
          <w:tcPr>
            <w:tcW w:w="1153"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3人</w:t>
            </w:r>
          </w:p>
        </w:tc>
        <w:tc>
          <w:tcPr>
            <w:tcW w:w="98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color w:val="C00000"/>
                <w:sz w:val="24"/>
                <w:szCs w:val="24"/>
                <w:vertAlign w:val="baseline"/>
                <w:lang w:val="en-US" w:eastAsia="zh-CN"/>
              </w:rPr>
              <w:t>5</w:t>
            </w:r>
            <w:r>
              <w:rPr>
                <w:rFonts w:hint="eastAsia"/>
                <w:sz w:val="24"/>
                <w:szCs w:val="24"/>
                <w:vertAlign w:val="baseline"/>
                <w:lang w:val="en-US" w:eastAsia="zh-CN"/>
              </w:rPr>
              <w:t>人</w:t>
            </w:r>
          </w:p>
        </w:tc>
        <w:tc>
          <w:tcPr>
            <w:tcW w:w="277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发表论文</w:t>
            </w:r>
          </w:p>
        </w:tc>
        <w:tc>
          <w:tcPr>
            <w:tcW w:w="170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12篇</w:t>
            </w:r>
          </w:p>
        </w:tc>
        <w:tc>
          <w:tcPr>
            <w:tcW w:w="389" w:type="dxa"/>
          </w:tcPr>
          <w:p>
            <w:pPr>
              <w:spacing w:line="360" w:lineRule="auto"/>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59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市骨干班主任</w:t>
            </w:r>
          </w:p>
        </w:tc>
        <w:tc>
          <w:tcPr>
            <w:tcW w:w="1153"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2人</w:t>
            </w:r>
          </w:p>
        </w:tc>
        <w:tc>
          <w:tcPr>
            <w:tcW w:w="98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1人</w:t>
            </w:r>
          </w:p>
        </w:tc>
        <w:tc>
          <w:tcPr>
            <w:tcW w:w="277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班队公开课、研究课</w:t>
            </w:r>
          </w:p>
        </w:tc>
        <w:tc>
          <w:tcPr>
            <w:tcW w:w="170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12节</w:t>
            </w:r>
          </w:p>
        </w:tc>
        <w:tc>
          <w:tcPr>
            <w:tcW w:w="389" w:type="dxa"/>
          </w:tcPr>
          <w:p>
            <w:pPr>
              <w:spacing w:line="360" w:lineRule="auto"/>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59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区特级班主任</w:t>
            </w:r>
          </w:p>
        </w:tc>
        <w:tc>
          <w:tcPr>
            <w:tcW w:w="1153"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1人</w:t>
            </w:r>
          </w:p>
        </w:tc>
        <w:tc>
          <w:tcPr>
            <w:tcW w:w="98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color w:val="C00000"/>
                <w:sz w:val="24"/>
                <w:szCs w:val="24"/>
                <w:vertAlign w:val="baseline"/>
                <w:lang w:val="en-US" w:eastAsia="zh-CN"/>
              </w:rPr>
              <w:t>2</w:t>
            </w:r>
            <w:r>
              <w:rPr>
                <w:rFonts w:hint="eastAsia"/>
                <w:sz w:val="24"/>
                <w:szCs w:val="24"/>
                <w:vertAlign w:val="baseline"/>
                <w:lang w:val="en-US" w:eastAsia="zh-CN"/>
              </w:rPr>
              <w:t>人</w:t>
            </w:r>
          </w:p>
        </w:tc>
        <w:tc>
          <w:tcPr>
            <w:tcW w:w="277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阅读书籍</w:t>
            </w:r>
          </w:p>
        </w:tc>
        <w:tc>
          <w:tcPr>
            <w:tcW w:w="170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100本以上</w:t>
            </w:r>
          </w:p>
        </w:tc>
        <w:tc>
          <w:tcPr>
            <w:tcW w:w="389" w:type="dxa"/>
          </w:tcPr>
          <w:p>
            <w:pPr>
              <w:spacing w:line="360" w:lineRule="auto"/>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59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区高级班主任</w:t>
            </w:r>
          </w:p>
        </w:tc>
        <w:tc>
          <w:tcPr>
            <w:tcW w:w="1153"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1人</w:t>
            </w:r>
          </w:p>
        </w:tc>
        <w:tc>
          <w:tcPr>
            <w:tcW w:w="98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color w:val="C00000"/>
                <w:sz w:val="24"/>
                <w:szCs w:val="24"/>
                <w:vertAlign w:val="baseline"/>
                <w:lang w:val="en-US" w:eastAsia="zh-CN"/>
              </w:rPr>
              <w:t>2</w:t>
            </w:r>
            <w:r>
              <w:rPr>
                <w:rFonts w:hint="eastAsia"/>
                <w:sz w:val="24"/>
                <w:szCs w:val="24"/>
                <w:vertAlign w:val="baseline"/>
                <w:lang w:val="en-US" w:eastAsia="zh-CN"/>
              </w:rPr>
              <w:t>人</w:t>
            </w:r>
          </w:p>
        </w:tc>
        <w:tc>
          <w:tcPr>
            <w:tcW w:w="277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撰写案例随笔</w:t>
            </w:r>
          </w:p>
        </w:tc>
        <w:tc>
          <w:tcPr>
            <w:tcW w:w="170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120篇以上</w:t>
            </w:r>
          </w:p>
        </w:tc>
        <w:tc>
          <w:tcPr>
            <w:tcW w:w="389" w:type="dxa"/>
          </w:tcPr>
          <w:p>
            <w:pPr>
              <w:spacing w:line="360" w:lineRule="auto"/>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259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cstheme="minorBidi"/>
                <w:kern w:val="2"/>
                <w:sz w:val="24"/>
                <w:szCs w:val="24"/>
                <w:vertAlign w:val="baseline"/>
                <w:lang w:val="en-US" w:eastAsia="zh-CN" w:bidi="ar-SA"/>
              </w:rPr>
              <w:t>常州市区优秀辅导员</w:t>
            </w:r>
          </w:p>
        </w:tc>
        <w:tc>
          <w:tcPr>
            <w:tcW w:w="1153"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sz w:val="24"/>
                <w:szCs w:val="24"/>
                <w:vertAlign w:val="baseline"/>
                <w:lang w:val="en-US" w:eastAsia="zh-CN"/>
              </w:rPr>
              <w:t>3人</w:t>
            </w:r>
          </w:p>
        </w:tc>
        <w:tc>
          <w:tcPr>
            <w:tcW w:w="98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cstheme="minorBidi"/>
                <w:color w:val="C00000"/>
                <w:kern w:val="2"/>
                <w:sz w:val="24"/>
                <w:szCs w:val="24"/>
                <w:vertAlign w:val="baseline"/>
                <w:lang w:val="en-US" w:eastAsia="zh-CN" w:bidi="ar-SA"/>
              </w:rPr>
              <w:t>5</w:t>
            </w:r>
            <w:r>
              <w:rPr>
                <w:rFonts w:hint="eastAsia" w:cstheme="minorBidi"/>
                <w:kern w:val="2"/>
                <w:sz w:val="24"/>
                <w:szCs w:val="24"/>
                <w:vertAlign w:val="baseline"/>
                <w:lang w:val="en-US" w:eastAsia="zh-CN" w:bidi="ar-SA"/>
              </w:rPr>
              <w:t>人</w:t>
            </w:r>
          </w:p>
        </w:tc>
        <w:tc>
          <w:tcPr>
            <w:tcW w:w="277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各项荣誉</w:t>
            </w:r>
          </w:p>
        </w:tc>
        <w:tc>
          <w:tcPr>
            <w:tcW w:w="170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42项</w:t>
            </w:r>
          </w:p>
        </w:tc>
        <w:tc>
          <w:tcPr>
            <w:tcW w:w="389" w:type="dxa"/>
          </w:tcPr>
          <w:p>
            <w:pPr>
              <w:spacing w:line="360" w:lineRule="auto"/>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2597"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常州市区优秀班主任、优秀辅导员</w:t>
            </w:r>
          </w:p>
        </w:tc>
        <w:tc>
          <w:tcPr>
            <w:tcW w:w="1153"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5人</w:t>
            </w:r>
          </w:p>
        </w:tc>
        <w:tc>
          <w:tcPr>
            <w:tcW w:w="987" w:type="dxa"/>
          </w:tcPr>
          <w:p>
            <w:pPr>
              <w:spacing w:line="360" w:lineRule="auto"/>
              <w:rPr>
                <w:rFonts w:hint="default" w:asciiTheme="minorHAnsi" w:hAnsiTheme="minorHAnsi" w:eastAsiaTheme="minorEastAsia" w:cstheme="minorBidi"/>
                <w:kern w:val="2"/>
                <w:sz w:val="24"/>
                <w:szCs w:val="24"/>
                <w:vertAlign w:val="baseline"/>
                <w:lang w:val="en-US" w:eastAsia="zh-CN" w:bidi="ar-SA"/>
              </w:rPr>
            </w:pPr>
            <w:r>
              <w:rPr>
                <w:rFonts w:hint="eastAsia" w:cstheme="minorBidi"/>
                <w:color w:val="C00000"/>
                <w:kern w:val="2"/>
                <w:sz w:val="24"/>
                <w:szCs w:val="24"/>
                <w:vertAlign w:val="baseline"/>
                <w:lang w:val="en-US" w:eastAsia="zh-CN" w:bidi="ar-SA"/>
              </w:rPr>
              <w:t>9</w:t>
            </w:r>
            <w:r>
              <w:rPr>
                <w:rFonts w:hint="eastAsia" w:cstheme="minorBidi"/>
                <w:kern w:val="2"/>
                <w:sz w:val="24"/>
                <w:szCs w:val="24"/>
                <w:vertAlign w:val="baseline"/>
                <w:lang w:val="en-US" w:eastAsia="zh-CN" w:bidi="ar-SA"/>
              </w:rPr>
              <w:t>人</w:t>
            </w:r>
          </w:p>
        </w:tc>
        <w:tc>
          <w:tcPr>
            <w:tcW w:w="277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各类竞赛获奖</w:t>
            </w:r>
          </w:p>
        </w:tc>
        <w:tc>
          <w:tcPr>
            <w:tcW w:w="1700" w:type="dxa"/>
          </w:tcPr>
          <w:p>
            <w:pPr>
              <w:spacing w:line="360" w:lineRule="auto"/>
              <w:rPr>
                <w:rFonts w:hint="default"/>
                <w:sz w:val="24"/>
                <w:szCs w:val="24"/>
                <w:vertAlign w:val="baseline"/>
                <w:lang w:val="en-US" w:eastAsia="zh-CN"/>
              </w:rPr>
            </w:pPr>
            <w:r>
              <w:rPr>
                <w:rFonts w:hint="eastAsia"/>
                <w:sz w:val="24"/>
                <w:szCs w:val="24"/>
                <w:vertAlign w:val="baseline"/>
                <w:lang w:val="en-US" w:eastAsia="zh-CN"/>
              </w:rPr>
              <w:t>8项</w:t>
            </w:r>
          </w:p>
        </w:tc>
        <w:tc>
          <w:tcPr>
            <w:tcW w:w="389" w:type="dxa"/>
          </w:tcPr>
          <w:p>
            <w:pPr>
              <w:spacing w:line="360" w:lineRule="auto"/>
              <w:rPr>
                <w:rFonts w:hint="default"/>
                <w:sz w:val="24"/>
                <w:szCs w:val="24"/>
                <w:vertAlign w:val="baseline"/>
                <w:lang w:val="en-US" w:eastAsia="zh-CN"/>
              </w:rPr>
            </w:pPr>
          </w:p>
        </w:tc>
      </w:tr>
    </w:tbl>
    <w:p>
      <w:pPr>
        <w:numPr>
          <w:ilvl w:val="0"/>
          <w:numId w:val="0"/>
        </w:numPr>
        <w:spacing w:line="360" w:lineRule="auto"/>
        <w:ind w:leftChars="0"/>
        <w:rPr>
          <w:rFonts w:hint="eastAsia"/>
          <w:b/>
          <w:bCs/>
          <w:sz w:val="24"/>
          <w:szCs w:val="24"/>
          <w:lang w:val="en-US" w:eastAsia="zh-CN"/>
        </w:rPr>
      </w:pPr>
    </w:p>
    <w:p>
      <w:pPr>
        <w:numPr>
          <w:ilvl w:val="0"/>
          <w:numId w:val="1"/>
        </w:numPr>
        <w:spacing w:line="360" w:lineRule="auto"/>
        <w:ind w:left="0" w:leftChars="0" w:firstLine="0" w:firstLineChars="0"/>
        <w:rPr>
          <w:rFonts w:hint="eastAsia"/>
          <w:b/>
          <w:bCs/>
          <w:sz w:val="24"/>
          <w:szCs w:val="24"/>
          <w:lang w:val="en-US" w:eastAsia="zh-CN"/>
        </w:rPr>
      </w:pPr>
      <w:r>
        <w:rPr>
          <w:rFonts w:hint="eastAsia"/>
          <w:b/>
          <w:bCs/>
          <w:sz w:val="24"/>
          <w:szCs w:val="24"/>
          <w:lang w:val="en-US" w:eastAsia="zh-CN"/>
        </w:rPr>
        <w:t>回眸成长之路</w:t>
      </w:r>
    </w:p>
    <w:p>
      <w:pPr>
        <w:numPr>
          <w:ilvl w:val="0"/>
          <w:numId w:val="2"/>
        </w:numPr>
        <w:spacing w:line="360" w:lineRule="auto"/>
        <w:ind w:left="120" w:leftChars="0" w:firstLine="0" w:firstLineChars="0"/>
        <w:rPr>
          <w:rFonts w:hint="eastAsia"/>
          <w:sz w:val="24"/>
          <w:szCs w:val="24"/>
          <w:lang w:val="en-US" w:eastAsia="zh-CN"/>
        </w:rPr>
      </w:pPr>
      <w:r>
        <w:rPr>
          <w:rFonts w:hint="eastAsia"/>
          <w:sz w:val="24"/>
          <w:szCs w:val="24"/>
          <w:lang w:val="en-US" w:eastAsia="zh-CN"/>
        </w:rPr>
        <w:t>在规划中成长</w:t>
      </w:r>
    </w:p>
    <w:p>
      <w:pPr>
        <w:numPr>
          <w:ilvl w:val="0"/>
          <w:numId w:val="0"/>
        </w:numPr>
        <w:spacing w:line="360" w:lineRule="auto"/>
        <w:ind w:left="120" w:leftChars="0"/>
        <w:rPr>
          <w:rFonts w:hint="default"/>
          <w:sz w:val="24"/>
          <w:szCs w:val="24"/>
          <w:lang w:val="en-US" w:eastAsia="zh-CN"/>
        </w:rPr>
      </w:pPr>
      <w:r>
        <w:rPr>
          <w:rFonts w:hint="eastAsia"/>
          <w:sz w:val="24"/>
          <w:szCs w:val="24"/>
          <w:lang w:val="en-US" w:eastAsia="zh-CN"/>
        </w:rPr>
        <w:t xml:space="preserve">     在开营仪式上，我们就这一年度成长营运营的基本制度进行了规划。我们分工明确，从活动通知、活动记录、报道撰写、公众号发布、案例点评，都责任到人；我们有研究序列，从自主申报，到研究安排，有条不紊，各司其职，使成长营走上了成长的正轨。</w:t>
      </w:r>
    </w:p>
    <w:p>
      <w:pPr>
        <w:numPr>
          <w:ilvl w:val="0"/>
          <w:numId w:val="0"/>
        </w:numPr>
        <w:spacing w:line="360" w:lineRule="auto"/>
        <w:ind w:left="120" w:leftChars="0" w:firstLine="480" w:firstLineChars="200"/>
        <w:rPr>
          <w:rFonts w:hint="default"/>
          <w:sz w:val="24"/>
          <w:szCs w:val="24"/>
          <w:lang w:val="en-US" w:eastAsia="zh-CN"/>
        </w:rPr>
      </w:pPr>
      <w:r>
        <w:rPr>
          <w:rFonts w:hint="eastAsia"/>
          <w:sz w:val="24"/>
          <w:szCs w:val="24"/>
          <w:lang w:val="en-US" w:eastAsia="zh-CN"/>
        </w:rPr>
        <w:t>在第一次开营仪式后，我们就根据成长营研究的方向，制定了专业成长的三年发展规划，确立了自己的目标，梳理了已有条件和未达条件，并确立了分步实施的措施。上半年区组织的领衔人工作阶段汇报中，在蒋处和何处的帮助下，解决了发展条件中“研究课”与“讲座”难的困难。凭借这份规划，每个营员都开足马力，全力以赴。</w:t>
      </w:r>
    </w:p>
    <w:p>
      <w:pPr>
        <w:numPr>
          <w:ilvl w:val="0"/>
          <w:numId w:val="2"/>
        </w:numPr>
        <w:spacing w:line="360" w:lineRule="auto"/>
        <w:ind w:left="120" w:leftChars="0" w:firstLine="0" w:firstLineChars="0"/>
        <w:rPr>
          <w:rFonts w:hint="eastAsia"/>
          <w:sz w:val="24"/>
          <w:szCs w:val="24"/>
          <w:lang w:val="en-US" w:eastAsia="zh-CN"/>
        </w:rPr>
      </w:pPr>
      <w:r>
        <w:rPr>
          <w:rFonts w:hint="eastAsia"/>
          <w:sz w:val="24"/>
          <w:szCs w:val="24"/>
          <w:lang w:val="en-US" w:eastAsia="zh-CN"/>
        </w:rPr>
        <w:t>在书香中成长</w:t>
      </w:r>
    </w:p>
    <w:p>
      <w:pPr>
        <w:bidi w:val="0"/>
        <w:spacing w:line="360" w:lineRule="auto"/>
        <w:ind w:firstLine="435"/>
        <w:rPr>
          <w:rFonts w:hint="eastAsia"/>
          <w:sz w:val="24"/>
          <w:szCs w:val="24"/>
          <w:lang w:val="en-US" w:eastAsia="zh-CN"/>
        </w:rPr>
      </w:pPr>
      <w:r>
        <w:rPr>
          <w:rFonts w:hint="eastAsia"/>
          <w:sz w:val="24"/>
          <w:szCs w:val="24"/>
          <w:lang w:val="en-US" w:eastAsia="zh-CN"/>
        </w:rPr>
        <w:t>书香，一方面，来自书籍。苏霍姆林斯基曾指出“读书，读书，再读书，要把毒素当作第一精神需要，当作饥饿者的食物。”也有人说“教师是职业读书人”。教师阅读，能完善专业知识，生成专业智慧，构建专业精神。</w:t>
      </w:r>
    </w:p>
    <w:p>
      <w:pPr>
        <w:numPr>
          <w:numId w:val="0"/>
        </w:numPr>
        <w:bidi w:val="0"/>
        <w:spacing w:line="360" w:lineRule="auto"/>
        <w:rPr>
          <w:rFonts w:hint="eastAsia"/>
          <w:sz w:val="24"/>
          <w:szCs w:val="24"/>
          <w:lang w:val="en-US" w:eastAsia="zh-CN"/>
        </w:rPr>
      </w:pPr>
      <w:r>
        <w:rPr>
          <w:rFonts w:hint="eastAsia"/>
          <w:sz w:val="24"/>
          <w:szCs w:val="24"/>
          <w:lang w:val="en-US" w:eastAsia="zh-CN"/>
        </w:rPr>
        <w:t>1.共议开书单。我们确立了每月的阅读书目，既有共读书目，也有自读书目。一年来，我们共读了《把整个心灵献给孩子》《小学班级建设》《小学班队活动育人价值开发与实践转化》《家校合作指导手册》《儿童立场》《重建学生日常班级生活》等专业书籍，并通多“听书”“夜读”等方式，完成了每月至少一本书的任务。</w:t>
      </w:r>
    </w:p>
    <w:p>
      <w:pPr>
        <w:numPr>
          <w:numId w:val="0"/>
        </w:numPr>
        <w:bidi w:val="0"/>
        <w:spacing w:line="360" w:lineRule="auto"/>
        <w:rPr>
          <w:rFonts w:hint="default"/>
          <w:sz w:val="24"/>
          <w:szCs w:val="24"/>
          <w:lang w:val="en-US" w:eastAsia="zh-CN"/>
        </w:rPr>
      </w:pPr>
      <w:r>
        <w:rPr>
          <w:rFonts w:hint="eastAsia"/>
          <w:sz w:val="24"/>
          <w:szCs w:val="24"/>
          <w:lang w:val="en-US" w:eastAsia="zh-CN"/>
        </w:rPr>
        <w:t>2.共读勤交流。成员们积极撰写读后感，在每次成长营活动时，都会请营员介绍自己的阅读心得，实现交流分享，共读互促的效果。</w:t>
      </w:r>
    </w:p>
    <w:p>
      <w:pPr>
        <w:numPr>
          <w:numId w:val="0"/>
        </w:numPr>
        <w:bidi w:val="0"/>
        <w:spacing w:line="360" w:lineRule="auto"/>
        <w:rPr>
          <w:rFonts w:hint="default"/>
          <w:sz w:val="24"/>
          <w:szCs w:val="24"/>
          <w:lang w:val="en-US" w:eastAsia="zh-CN"/>
        </w:rPr>
      </w:pPr>
      <w:r>
        <w:rPr>
          <w:rFonts w:hint="eastAsia"/>
          <w:sz w:val="24"/>
          <w:szCs w:val="24"/>
          <w:lang w:val="en-US" w:eastAsia="zh-CN"/>
        </w:rPr>
        <w:t>3.共享有保障。定期报销买书费用，并使书本在成长营流通。</w:t>
      </w:r>
    </w:p>
    <w:p>
      <w:pPr>
        <w:numPr>
          <w:ilvl w:val="0"/>
          <w:numId w:val="0"/>
        </w:numPr>
        <w:bidi w:val="0"/>
        <w:spacing w:line="360" w:lineRule="auto"/>
        <w:rPr>
          <w:rFonts w:hint="eastAsia"/>
          <w:sz w:val="24"/>
          <w:szCs w:val="24"/>
          <w:lang w:val="en-US" w:eastAsia="zh-CN"/>
        </w:rPr>
      </w:pPr>
      <w:r>
        <w:rPr>
          <w:rFonts w:hint="eastAsia"/>
          <w:sz w:val="24"/>
          <w:szCs w:val="24"/>
          <w:lang w:val="en-US" w:eastAsia="zh-CN"/>
        </w:rPr>
        <w:t>有书可读，有交流平台，有读书氛围，使成长营营员们养成终身学习的意识和习惯。</w:t>
      </w:r>
    </w:p>
    <w:p>
      <w:pPr>
        <w:numPr>
          <w:ilvl w:val="0"/>
          <w:numId w:val="0"/>
        </w:numPr>
        <w:bidi w:val="0"/>
        <w:spacing w:line="360" w:lineRule="auto"/>
        <w:ind w:firstLine="480" w:firstLineChars="200"/>
        <w:rPr>
          <w:rFonts w:hint="default"/>
          <w:sz w:val="24"/>
          <w:szCs w:val="24"/>
          <w:lang w:val="en-US" w:eastAsia="zh-CN"/>
        </w:rPr>
      </w:pPr>
      <w:bookmarkStart w:id="0" w:name="_GoBack"/>
      <w:bookmarkEnd w:id="0"/>
      <w:r>
        <w:rPr>
          <w:rFonts w:hint="eastAsia"/>
          <w:sz w:val="24"/>
          <w:szCs w:val="24"/>
          <w:lang w:val="en-US" w:eastAsia="zh-CN"/>
        </w:rPr>
        <w:t>另一方面，每一位名师、名家都是一本本生动的书。我们还定期开展云学习，走进名师名家，学习专题研究与汇报，集百家所长，长个人之智。</w:t>
      </w:r>
    </w:p>
    <w:p>
      <w:pPr>
        <w:numPr>
          <w:ilvl w:val="0"/>
          <w:numId w:val="0"/>
        </w:numPr>
        <w:spacing w:line="360" w:lineRule="auto"/>
        <w:rPr>
          <w:rFonts w:hint="default"/>
          <w:sz w:val="24"/>
          <w:szCs w:val="24"/>
          <w:lang w:val="en-US" w:eastAsia="zh-CN"/>
        </w:rPr>
      </w:pPr>
      <w:r>
        <w:rPr>
          <w:rFonts w:hint="eastAsia"/>
          <w:sz w:val="24"/>
          <w:szCs w:val="24"/>
          <w:lang w:val="en-US" w:eastAsia="zh-CN"/>
        </w:rPr>
        <w:t>（三）在研究中成长</w:t>
      </w:r>
    </w:p>
    <w:p>
      <w:pPr>
        <w:numPr>
          <w:ilvl w:val="0"/>
          <w:numId w:val="0"/>
        </w:numPr>
        <w:spacing w:line="360" w:lineRule="auto"/>
        <w:rPr>
          <w:rFonts w:hint="eastAsia"/>
          <w:sz w:val="24"/>
          <w:szCs w:val="24"/>
          <w:lang w:val="en-US" w:eastAsia="zh-CN"/>
        </w:rPr>
      </w:pPr>
      <w:r>
        <w:rPr>
          <w:rFonts w:hint="eastAsia"/>
          <w:sz w:val="24"/>
          <w:szCs w:val="24"/>
          <w:lang w:val="en-US" w:eastAsia="zh-CN"/>
        </w:rPr>
        <w:t>1.项目引领，积极实践。 教育科学研究是促进教师专业成长和发展的有效途径。我们以“综合融通理念下的学生发展研究”为项目，制定了“和文化理念下的班级建设与学科整合的研究”“基于小学生发展需要的岗位建设与学科整合的研究”等三个课题。并围绕课题开展了多次活动实践研究。疫情中，我们将学科指导与家庭生活指导进行了融合；五一劳动节，我们将学科元素与劳动教育进行了融合；在区班主任成长营培训会会上，我们将学科关键能力与学习汇报进行了整合；9月开学初，我们将学科能力与班级文化建设进行了整合、与岗位建设进行了整合；区少先队队课展示中，我们将学科元素与时代精神的追寻进行了整合，元旦，我们将节日文化与班级生活做了融通与综合。</w:t>
      </w:r>
    </w:p>
    <w:p>
      <w:pPr>
        <w:numPr>
          <w:ilvl w:val="0"/>
          <w:numId w:val="0"/>
        </w:numPr>
        <w:spacing w:line="360" w:lineRule="auto"/>
        <w:rPr>
          <w:rFonts w:hint="default"/>
          <w:sz w:val="24"/>
          <w:szCs w:val="24"/>
          <w:lang w:val="en-US" w:eastAsia="zh-CN"/>
        </w:rPr>
      </w:pPr>
      <w:r>
        <w:rPr>
          <w:rFonts w:hint="eastAsia"/>
          <w:sz w:val="24"/>
          <w:szCs w:val="24"/>
          <w:lang w:val="en-US" w:eastAsia="zh-CN"/>
        </w:rPr>
        <w:t>2.课题研究、专家指导。在天宁教师发展中心的袁文娟主任、新北教师发展中心的薛辉校长悉心指导下，形成了课题初稿。经过朱志平博士工作站三位专家的指导，我们对研究方向逐渐清晰，研究路径也逐渐鲜明。我将所学、所思制作成PPT，给大家进行了分享，大家积极探讨，对课题做了细心的修改，并形成了今年研究的计划。</w:t>
      </w:r>
    </w:p>
    <w:p>
      <w:pPr>
        <w:numPr>
          <w:ilvl w:val="0"/>
          <w:numId w:val="0"/>
        </w:numPr>
        <w:spacing w:line="360" w:lineRule="auto"/>
        <w:ind w:left="120" w:leftChars="0"/>
        <w:rPr>
          <w:rFonts w:hint="default"/>
          <w:sz w:val="24"/>
          <w:szCs w:val="24"/>
          <w:lang w:val="en-US" w:eastAsia="zh-CN"/>
        </w:rPr>
      </w:pPr>
      <w:r>
        <w:rPr>
          <w:rFonts w:hint="eastAsia"/>
          <w:sz w:val="24"/>
          <w:szCs w:val="24"/>
          <w:lang w:val="en-US" w:eastAsia="zh-CN"/>
        </w:rPr>
        <w:t>（四）在反思中成长</w:t>
      </w:r>
    </w:p>
    <w:p>
      <w:pPr>
        <w:numPr>
          <w:ilvl w:val="0"/>
          <w:numId w:val="0"/>
        </w:numPr>
        <w:spacing w:line="360" w:lineRule="auto"/>
        <w:rPr>
          <w:rFonts w:hint="eastAsia"/>
          <w:sz w:val="24"/>
          <w:szCs w:val="24"/>
          <w:lang w:val="en-US" w:eastAsia="zh-CN"/>
        </w:rPr>
      </w:pPr>
      <w:r>
        <w:rPr>
          <w:rFonts w:hint="eastAsia"/>
          <w:sz w:val="24"/>
          <w:szCs w:val="24"/>
          <w:lang w:val="en-US" w:eastAsia="zh-CN"/>
        </w:rPr>
        <w:t>1.在活动中寻找亮点。叶澜教授说过，一个教师写一辈子教案不可能成为名师，如果一个教师写三年教学反思就有可能成为名师。我们互相激励、互相督促，坚持每月写随笔、写案例、写反思、写故事。并尝试向杂志社投稿，《班主任之友》杂志就一下发表了两位成员的投稿，给了大家很大的信心。</w:t>
      </w:r>
    </w:p>
    <w:p>
      <w:pPr>
        <w:numPr>
          <w:ilvl w:val="0"/>
          <w:numId w:val="0"/>
        </w:numPr>
        <w:spacing w:line="360" w:lineRule="auto"/>
        <w:rPr>
          <w:rFonts w:hint="default"/>
          <w:sz w:val="24"/>
          <w:szCs w:val="24"/>
          <w:lang w:val="en-US" w:eastAsia="zh-CN"/>
        </w:rPr>
      </w:pPr>
      <w:r>
        <w:rPr>
          <w:rFonts w:hint="eastAsia"/>
          <w:sz w:val="24"/>
          <w:szCs w:val="24"/>
          <w:lang w:val="en-US" w:eastAsia="zh-CN"/>
        </w:rPr>
        <w:t>2.在成长中捕捉节点。以活动组织与实践为契机，放大过程中的成长点。新桥实验小学的谢纪老师，就《游遍常州》为主题，组织了一些列小队活动，有了新奇的活动，使学生的成长发生了转变，自己也通过实践，对班主任工作更加热爱。</w:t>
      </w:r>
    </w:p>
    <w:p>
      <w:pPr>
        <w:numPr>
          <w:ilvl w:val="0"/>
          <w:numId w:val="1"/>
        </w:numPr>
        <w:spacing w:line="360" w:lineRule="auto"/>
        <w:ind w:left="0" w:leftChars="0" w:firstLine="0" w:firstLineChars="0"/>
        <w:rPr>
          <w:rFonts w:hint="eastAsia"/>
          <w:b/>
          <w:bCs/>
          <w:sz w:val="24"/>
          <w:szCs w:val="24"/>
          <w:lang w:val="en-US" w:eastAsia="zh-CN"/>
        </w:rPr>
      </w:pPr>
      <w:r>
        <w:rPr>
          <w:rFonts w:hint="eastAsia"/>
          <w:b/>
          <w:bCs/>
          <w:sz w:val="24"/>
          <w:szCs w:val="24"/>
          <w:lang w:val="en-US" w:eastAsia="zh-CN"/>
        </w:rPr>
        <w:t>站在新的起点</w:t>
      </w:r>
    </w:p>
    <w:p>
      <w:pPr>
        <w:numPr>
          <w:ilvl w:val="0"/>
          <w:numId w:val="3"/>
        </w:numPr>
        <w:spacing w:line="360" w:lineRule="auto"/>
        <w:ind w:leftChars="0"/>
        <w:rPr>
          <w:rFonts w:hint="eastAsia"/>
          <w:b/>
          <w:bCs/>
          <w:sz w:val="24"/>
          <w:szCs w:val="24"/>
          <w:lang w:val="en-US" w:eastAsia="zh-CN"/>
        </w:rPr>
      </w:pPr>
      <w:r>
        <w:rPr>
          <w:rFonts w:hint="eastAsia"/>
          <w:b/>
          <w:bCs/>
          <w:sz w:val="24"/>
          <w:szCs w:val="24"/>
          <w:lang w:val="en-US" w:eastAsia="zh-CN"/>
        </w:rPr>
        <w:t>设计背景</w:t>
      </w:r>
    </w:p>
    <w:p>
      <w:pPr>
        <w:numPr>
          <w:ilvl w:val="0"/>
          <w:numId w:val="4"/>
        </w:numPr>
        <w:spacing w:line="360" w:lineRule="auto"/>
        <w:rPr>
          <w:rFonts w:hint="eastAsia"/>
          <w:sz w:val="24"/>
          <w:szCs w:val="24"/>
          <w:lang w:val="en-US" w:eastAsia="zh-CN"/>
        </w:rPr>
      </w:pPr>
      <w:r>
        <w:rPr>
          <w:rFonts w:hint="eastAsia"/>
          <w:sz w:val="24"/>
          <w:szCs w:val="24"/>
          <w:lang w:val="en-US" w:eastAsia="zh-CN"/>
        </w:rPr>
        <w:t>明确目标：区教育局成立成长营的初衷是为了培养名班主任，提升班主任队伍的专业化水平。</w:t>
      </w:r>
    </w:p>
    <w:p>
      <w:pPr>
        <w:numPr>
          <w:ilvl w:val="0"/>
          <w:numId w:val="4"/>
        </w:numPr>
        <w:spacing w:line="360" w:lineRule="auto"/>
        <w:rPr>
          <w:rFonts w:hint="default"/>
          <w:sz w:val="24"/>
          <w:szCs w:val="24"/>
          <w:lang w:val="en-US" w:eastAsia="zh-CN"/>
        </w:rPr>
      </w:pPr>
      <w:r>
        <w:rPr>
          <w:rFonts w:hint="eastAsia"/>
          <w:sz w:val="24"/>
          <w:szCs w:val="24"/>
          <w:lang w:val="en-US" w:eastAsia="zh-CN"/>
        </w:rPr>
        <w:t>明确成长营价值：在成长个人的同时，滋养所在学校，辐射全区，引领多学赋能。</w:t>
      </w:r>
    </w:p>
    <w:p>
      <w:pPr>
        <w:numPr>
          <w:ilvl w:val="0"/>
          <w:numId w:val="3"/>
        </w:numPr>
        <w:spacing w:line="360" w:lineRule="auto"/>
        <w:ind w:leftChars="0"/>
        <w:rPr>
          <w:rFonts w:hint="eastAsia"/>
          <w:b/>
          <w:bCs/>
          <w:sz w:val="24"/>
          <w:szCs w:val="24"/>
          <w:lang w:val="en-US" w:eastAsia="zh-CN"/>
        </w:rPr>
      </w:pPr>
      <w:r>
        <w:rPr>
          <w:rFonts w:hint="eastAsia"/>
          <w:b/>
          <w:bCs/>
          <w:sz w:val="24"/>
          <w:szCs w:val="24"/>
          <w:lang w:val="en-US" w:eastAsia="zh-CN"/>
        </w:rPr>
        <w:t>行动策略。</w:t>
      </w:r>
    </w:p>
    <w:p>
      <w:pPr>
        <w:numPr>
          <w:ilvl w:val="0"/>
          <w:numId w:val="0"/>
        </w:numPr>
        <w:spacing w:line="360" w:lineRule="auto"/>
        <w:rPr>
          <w:rFonts w:hint="eastAsia"/>
          <w:b/>
          <w:bCs/>
          <w:sz w:val="24"/>
          <w:szCs w:val="24"/>
          <w:lang w:val="en-US" w:eastAsia="zh-CN"/>
        </w:rPr>
      </w:pPr>
      <w:r>
        <w:rPr>
          <w:rFonts w:hint="eastAsia"/>
          <w:b/>
          <w:bCs/>
          <w:sz w:val="24"/>
          <w:szCs w:val="24"/>
          <w:lang w:val="en-US" w:eastAsia="zh-CN"/>
        </w:rPr>
        <w:t>1.更新教育理念，终身学习</w:t>
      </w:r>
    </w:p>
    <w:p>
      <w:pPr>
        <w:numPr>
          <w:ilvl w:val="0"/>
          <w:numId w:val="0"/>
        </w:numPr>
        <w:spacing w:line="360" w:lineRule="auto"/>
        <w:rPr>
          <w:rFonts w:hint="eastAsia"/>
          <w:sz w:val="24"/>
          <w:szCs w:val="24"/>
          <w:lang w:val="en-US" w:eastAsia="zh-CN"/>
        </w:rPr>
      </w:pPr>
      <w:r>
        <w:rPr>
          <w:rFonts w:hint="eastAsia"/>
          <w:sz w:val="24"/>
          <w:szCs w:val="24"/>
          <w:lang w:val="en-US" w:eastAsia="zh-CN"/>
        </w:rPr>
        <w:t xml:space="preserve">     教育理念是人们教育言行的指南，它能将人的智慧与经历集中于理念所指向的方向。只有先进的教育理念，才能有效推进教育教学改革。同时，教育理念在某种程度上，也是一种创意或新的教育观点，不论是寻求理念的过程，还是理念确立后的行动都能引导人们破旧立新，追求更真更善更美的结论，追求更高的价值和更有效的手段。“问渠哪得清如许，为有源头活水来”，在终身学习的时代背景下，我们更需要广泛涉猎，不断更新理念，丰富理论水平，寻根溯源，不仅要知道教什么，还要知道为什么教。</w:t>
      </w:r>
    </w:p>
    <w:p>
      <w:pPr>
        <w:numPr>
          <w:ilvl w:val="0"/>
          <w:numId w:val="5"/>
        </w:numPr>
        <w:spacing w:line="360" w:lineRule="auto"/>
        <w:rPr>
          <w:rFonts w:hint="eastAsia"/>
          <w:sz w:val="24"/>
          <w:szCs w:val="24"/>
          <w:lang w:val="en-US" w:eastAsia="zh-CN"/>
        </w:rPr>
      </w:pPr>
      <w:r>
        <w:rPr>
          <w:rFonts w:hint="eastAsia"/>
          <w:sz w:val="24"/>
          <w:szCs w:val="24"/>
          <w:lang w:val="en-US" w:eastAsia="zh-CN"/>
        </w:rPr>
        <w:t>书单接龙，开启1+1+1+2行动，即每月读一本专著，一本杂志《班主任之友》或《班主任》，结合自己的实践写一篇读后感，每次活动请两位老师作主题式即兴演讲。</w:t>
      </w:r>
    </w:p>
    <w:p>
      <w:pPr>
        <w:numPr>
          <w:ilvl w:val="0"/>
          <w:numId w:val="5"/>
        </w:numPr>
        <w:spacing w:line="360" w:lineRule="auto"/>
        <w:rPr>
          <w:rFonts w:hint="default"/>
          <w:sz w:val="24"/>
          <w:szCs w:val="24"/>
          <w:lang w:val="en-US" w:eastAsia="zh-CN"/>
        </w:rPr>
      </w:pPr>
      <w:r>
        <w:rPr>
          <w:rFonts w:hint="eastAsia"/>
          <w:sz w:val="24"/>
          <w:szCs w:val="24"/>
          <w:lang w:val="en-US" w:eastAsia="zh-CN"/>
        </w:rPr>
        <w:t>岗位轮换，定期推荐好书、好电影、好的学习讲座给大家共同学习。</w:t>
      </w:r>
    </w:p>
    <w:p>
      <w:pPr>
        <w:numPr>
          <w:ilvl w:val="0"/>
          <w:numId w:val="5"/>
        </w:numPr>
        <w:spacing w:line="360" w:lineRule="auto"/>
        <w:rPr>
          <w:rFonts w:hint="default"/>
          <w:sz w:val="24"/>
          <w:szCs w:val="24"/>
          <w:lang w:val="en-US" w:eastAsia="zh-CN"/>
        </w:rPr>
      </w:pPr>
      <w:r>
        <w:rPr>
          <w:rFonts w:hint="eastAsia"/>
          <w:sz w:val="24"/>
          <w:szCs w:val="24"/>
          <w:lang w:val="en-US" w:eastAsia="zh-CN"/>
        </w:rPr>
        <w:t>宣传互动，利用微信公众号和网站，发布营员精彩的读后感和随笔。</w:t>
      </w:r>
    </w:p>
    <w:p>
      <w:pPr>
        <w:numPr>
          <w:ilvl w:val="0"/>
          <w:numId w:val="0"/>
        </w:numPr>
        <w:spacing w:line="360" w:lineRule="auto"/>
        <w:rPr>
          <w:rFonts w:hint="eastAsia"/>
          <w:b/>
          <w:bCs/>
          <w:sz w:val="24"/>
          <w:szCs w:val="24"/>
          <w:lang w:val="en-US" w:eastAsia="zh-CN"/>
        </w:rPr>
      </w:pPr>
      <w:r>
        <w:rPr>
          <w:rFonts w:hint="eastAsia"/>
          <w:b/>
          <w:bCs/>
          <w:sz w:val="24"/>
          <w:szCs w:val="24"/>
          <w:lang w:val="en-US" w:eastAsia="zh-CN"/>
        </w:rPr>
        <w:t>2.聚焦研究重点，推陈出新</w:t>
      </w:r>
    </w:p>
    <w:p>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一个人走得快，一群人走得远。</w:t>
      </w:r>
    </w:p>
    <w:p>
      <w:pPr>
        <w:numPr>
          <w:ilvl w:val="0"/>
          <w:numId w:val="6"/>
        </w:numPr>
        <w:spacing w:line="360" w:lineRule="auto"/>
        <w:ind w:firstLine="480" w:firstLineChars="200"/>
        <w:rPr>
          <w:rFonts w:hint="eastAsia"/>
          <w:sz w:val="24"/>
          <w:szCs w:val="24"/>
          <w:lang w:val="en-US" w:eastAsia="zh-CN"/>
        </w:rPr>
      </w:pPr>
      <w:r>
        <w:rPr>
          <w:rFonts w:hint="eastAsia"/>
          <w:sz w:val="24"/>
          <w:szCs w:val="24"/>
          <w:lang w:val="en-US" w:eastAsia="zh-CN"/>
        </w:rPr>
        <w:t>听说读写做聚焦重点。在新的一年里，我们将继续围绕“综合融通理念下的学生发展研究”这个方向，研读近几年国务院、教育部颁发的教育文件，以及修改和完善好三个课题，确定课题下自己个性化的研究点。</w:t>
      </w:r>
    </w:p>
    <w:p>
      <w:pPr>
        <w:numPr>
          <w:ilvl w:val="0"/>
          <w:numId w:val="6"/>
        </w:numPr>
        <w:spacing w:line="360" w:lineRule="auto"/>
        <w:ind w:firstLine="480" w:firstLineChars="200"/>
        <w:rPr>
          <w:rFonts w:hint="eastAsia"/>
          <w:sz w:val="24"/>
          <w:szCs w:val="24"/>
          <w:lang w:val="en-US" w:eastAsia="zh-CN"/>
        </w:rPr>
      </w:pPr>
      <w:r>
        <w:rPr>
          <w:rFonts w:hint="eastAsia"/>
          <w:sz w:val="24"/>
          <w:szCs w:val="24"/>
          <w:lang w:val="en-US" w:eastAsia="zh-CN"/>
        </w:rPr>
        <w:t>借力专家资源高效研究。在专家的指导下，着力围绕自己的选择的研究小点，一方面进行专题阅读，铸“最强大脑”，同时扎扎实实开展行动研究。</w:t>
      </w:r>
    </w:p>
    <w:p>
      <w:pPr>
        <w:numPr>
          <w:ilvl w:val="0"/>
          <w:numId w:val="6"/>
        </w:numPr>
        <w:spacing w:line="360" w:lineRule="auto"/>
        <w:ind w:firstLine="480" w:firstLineChars="200"/>
        <w:rPr>
          <w:rFonts w:hint="eastAsia"/>
          <w:sz w:val="24"/>
          <w:szCs w:val="24"/>
          <w:lang w:val="en-US" w:eastAsia="zh-CN"/>
        </w:rPr>
      </w:pPr>
      <w:r>
        <w:rPr>
          <w:rFonts w:hint="eastAsia"/>
          <w:sz w:val="24"/>
          <w:szCs w:val="24"/>
          <w:lang w:val="en-US" w:eastAsia="zh-CN"/>
        </w:rPr>
        <w:t>选定杂志多产出勤投稿。借助《班主任之友》《班主任》等杂志，勤奋投稿，以“发表成果”为任务驱动，定期开展阶段汇报。</w:t>
      </w:r>
    </w:p>
    <w:p>
      <w:pPr>
        <w:numPr>
          <w:ilvl w:val="0"/>
          <w:numId w:val="0"/>
        </w:numPr>
        <w:spacing w:line="360" w:lineRule="auto"/>
        <w:ind w:leftChars="0"/>
        <w:rPr>
          <w:rFonts w:hint="default"/>
          <w:b/>
          <w:bCs/>
          <w:sz w:val="24"/>
          <w:szCs w:val="24"/>
          <w:lang w:val="en-US" w:eastAsia="zh-CN"/>
        </w:rPr>
      </w:pPr>
      <w:r>
        <w:rPr>
          <w:rFonts w:hint="eastAsia"/>
          <w:b/>
          <w:bCs/>
          <w:sz w:val="24"/>
          <w:szCs w:val="24"/>
          <w:lang w:val="en-US" w:eastAsia="zh-CN"/>
        </w:rPr>
        <w:t>3.打造名师亮点，形成特色</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 xml:space="preserve"> （1）提炼、强化治班特色。每一位“老班”都有自己的治班特色。第十三次活动中，我们已经初步在班主任日常工作领域中结合各营员的特色专场选定内容，在新的一年中，我们将进一步借助成长营和专家力量，指导老班们挖掘自己的长板，加快速度形成自己的个性化特色。在此基础上，借助多个平台，扩大老班的影响力，把“长板”做精做美的同时，形成特色班主任培训课程。</w:t>
      </w:r>
    </w:p>
    <w:p>
      <w:pPr>
        <w:numPr>
          <w:ilvl w:val="0"/>
          <w:numId w:val="0"/>
        </w:numPr>
        <w:spacing w:line="360" w:lineRule="auto"/>
        <w:ind w:leftChars="0"/>
        <w:rPr>
          <w:rFonts w:hint="default"/>
          <w:sz w:val="24"/>
          <w:szCs w:val="24"/>
          <w:lang w:val="en-US" w:eastAsia="zh-CN"/>
        </w:rPr>
      </w:pPr>
      <w:r>
        <w:rPr>
          <w:rFonts w:hint="eastAsia"/>
          <w:sz w:val="24"/>
          <w:szCs w:val="24"/>
          <w:lang w:val="en-US" w:eastAsia="zh-CN"/>
        </w:rPr>
        <w:t>（2）加强区域间成长营、工作坊交流。与常州市德育名师工作室、天宁区名班主任工作坊以及省级以上工作室进行交流互学，打开眼界。</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（3）以赛促学，以赛促研。借助班主任基本功、区动感中队、优秀班集体的评比，促进专业素养的进一步提升。</w:t>
      </w:r>
    </w:p>
    <w:p>
      <w:pPr>
        <w:numPr>
          <w:ilvl w:val="0"/>
          <w:numId w:val="0"/>
        </w:numPr>
        <w:spacing w:line="360" w:lineRule="auto"/>
        <w:ind w:leftChars="0"/>
        <w:rPr>
          <w:rFonts w:hint="default"/>
          <w:b/>
          <w:bCs/>
          <w:sz w:val="24"/>
          <w:szCs w:val="24"/>
          <w:lang w:val="en-US" w:eastAsia="zh-CN"/>
        </w:rPr>
      </w:pPr>
      <w:r>
        <w:rPr>
          <w:rFonts w:hint="eastAsia"/>
          <w:b/>
          <w:bCs/>
          <w:sz w:val="24"/>
          <w:szCs w:val="24"/>
          <w:lang w:val="en-US" w:eastAsia="zh-CN"/>
        </w:rPr>
        <w:t>4.</w:t>
      </w:r>
      <w:r>
        <w:rPr>
          <w:rFonts w:hint="default"/>
          <w:b/>
          <w:bCs/>
          <w:sz w:val="24"/>
          <w:szCs w:val="24"/>
          <w:lang w:val="en-US" w:eastAsia="zh-CN"/>
        </w:rPr>
        <w:t>搭建成长支点，辐射历练</w:t>
      </w:r>
    </w:p>
    <w:p>
      <w:pPr>
        <w:numPr>
          <w:ilvl w:val="0"/>
          <w:numId w:val="0"/>
        </w:numPr>
        <w:spacing w:line="360" w:lineRule="auto"/>
        <w:ind w:leftChars="0" w:firstLine="480"/>
        <w:rPr>
          <w:rFonts w:hint="eastAsia"/>
          <w:sz w:val="24"/>
          <w:szCs w:val="24"/>
          <w:lang w:val="en-US" w:eastAsia="zh-CN"/>
        </w:rPr>
      </w:pPr>
      <w:r>
        <w:rPr>
          <w:rFonts w:hint="eastAsia"/>
          <w:sz w:val="24"/>
          <w:szCs w:val="24"/>
          <w:lang w:val="en-US" w:eastAsia="zh-CN"/>
        </w:rPr>
        <w:t>通多读——研——做——说，一体化的内化与表达，在辐射历练的过程中发现自我的价值，提升内动力和内定力。</w:t>
      </w:r>
    </w:p>
    <w:p>
      <w:pPr>
        <w:numPr>
          <w:ilvl w:val="0"/>
          <w:numId w:val="0"/>
        </w:numPr>
        <w:spacing w:line="360" w:lineRule="auto"/>
        <w:rPr>
          <w:rFonts w:hint="default"/>
          <w:sz w:val="24"/>
          <w:szCs w:val="24"/>
          <w:lang w:val="en-US" w:eastAsia="zh-CN"/>
        </w:rPr>
      </w:pPr>
      <w:r>
        <w:rPr>
          <w:rFonts w:hint="eastAsia"/>
          <w:sz w:val="24"/>
          <w:szCs w:val="24"/>
          <w:lang w:val="en-US" w:eastAsia="zh-CN"/>
        </w:rPr>
        <w:t>（1）</w:t>
      </w:r>
      <w:r>
        <w:rPr>
          <w:rFonts w:hint="default"/>
          <w:sz w:val="24"/>
          <w:szCs w:val="24"/>
          <w:lang w:val="en-US" w:eastAsia="zh-CN"/>
        </w:rPr>
        <w:t>用好新教师培训平台</w:t>
      </w:r>
      <w:r>
        <w:rPr>
          <w:rFonts w:hint="eastAsia"/>
          <w:sz w:val="24"/>
          <w:szCs w:val="24"/>
          <w:lang w:val="en-US" w:eastAsia="zh-CN"/>
        </w:rPr>
        <w:t>。心有多大，舞台就有多大。我们都来自一线，大家的经验更能指导新教师快速成长。</w:t>
      </w:r>
    </w:p>
    <w:p>
      <w:pPr>
        <w:numPr>
          <w:ilvl w:val="0"/>
          <w:numId w:val="0"/>
        </w:numPr>
        <w:spacing w:line="360" w:lineRule="auto"/>
        <w:ind w:leftChars="0"/>
        <w:rPr>
          <w:rFonts w:hint="default"/>
          <w:sz w:val="24"/>
          <w:szCs w:val="24"/>
          <w:lang w:val="en-US" w:eastAsia="zh-CN"/>
        </w:rPr>
      </w:pPr>
      <w:r>
        <w:rPr>
          <w:rFonts w:hint="eastAsia"/>
          <w:sz w:val="24"/>
          <w:szCs w:val="24"/>
          <w:lang w:val="en-US" w:eastAsia="zh-CN"/>
        </w:rPr>
        <w:t>（</w:t>
      </w:r>
      <w:r>
        <w:rPr>
          <w:rFonts w:hint="default"/>
          <w:sz w:val="24"/>
          <w:szCs w:val="24"/>
          <w:lang w:val="en-US" w:eastAsia="zh-CN"/>
        </w:rPr>
        <w:t>2</w:t>
      </w:r>
      <w:r>
        <w:rPr>
          <w:rFonts w:hint="eastAsia"/>
          <w:sz w:val="24"/>
          <w:szCs w:val="24"/>
          <w:lang w:val="en-US" w:eastAsia="zh-CN"/>
        </w:rPr>
        <w:t>）</w:t>
      </w:r>
      <w:r>
        <w:rPr>
          <w:rFonts w:hint="default"/>
          <w:sz w:val="24"/>
          <w:szCs w:val="24"/>
          <w:lang w:val="en-US" w:eastAsia="zh-CN"/>
        </w:rPr>
        <w:t>推进校际工作经验交流</w:t>
      </w:r>
      <w:r>
        <w:rPr>
          <w:rFonts w:hint="eastAsia"/>
          <w:sz w:val="24"/>
          <w:szCs w:val="24"/>
          <w:lang w:val="en-US" w:eastAsia="zh-CN"/>
        </w:rPr>
        <w:t>。充分利用好区内资源，校际联动。</w:t>
      </w:r>
    </w:p>
    <w:p>
      <w:pPr>
        <w:numPr>
          <w:ilvl w:val="0"/>
          <w:numId w:val="0"/>
        </w:numPr>
        <w:spacing w:line="360" w:lineRule="auto"/>
        <w:ind w:leftChars="0"/>
        <w:rPr>
          <w:rFonts w:hint="default"/>
          <w:sz w:val="24"/>
          <w:szCs w:val="24"/>
          <w:lang w:val="en-US" w:eastAsia="zh-CN"/>
        </w:rPr>
      </w:pPr>
      <w:r>
        <w:rPr>
          <w:rFonts w:hint="eastAsia"/>
          <w:sz w:val="24"/>
          <w:szCs w:val="24"/>
          <w:lang w:val="en-US" w:eastAsia="zh-CN"/>
        </w:rPr>
        <w:t>（</w:t>
      </w:r>
      <w:r>
        <w:rPr>
          <w:rFonts w:hint="default"/>
          <w:sz w:val="24"/>
          <w:szCs w:val="24"/>
          <w:lang w:val="en-US" w:eastAsia="zh-CN"/>
        </w:rPr>
        <w:t>3</w:t>
      </w:r>
      <w:r>
        <w:rPr>
          <w:rFonts w:hint="eastAsia"/>
          <w:sz w:val="24"/>
          <w:szCs w:val="24"/>
          <w:lang w:val="en-US" w:eastAsia="zh-CN"/>
        </w:rPr>
        <w:t>）</w:t>
      </w:r>
      <w:r>
        <w:rPr>
          <w:rFonts w:hint="default"/>
          <w:sz w:val="24"/>
          <w:szCs w:val="24"/>
          <w:lang w:val="en-US" w:eastAsia="zh-CN"/>
        </w:rPr>
        <w:t>利用cctalk、公众号等平台，推进线上辐射</w:t>
      </w:r>
      <w:r>
        <w:rPr>
          <w:rFonts w:hint="eastAsia"/>
          <w:sz w:val="24"/>
          <w:szCs w:val="24"/>
          <w:lang w:val="en-US" w:eastAsia="zh-CN"/>
        </w:rPr>
        <w:t>。</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四、创新之处与困难</w:t>
      </w:r>
    </w:p>
    <w:p>
      <w:pPr>
        <w:numPr>
          <w:ilvl w:val="0"/>
          <w:numId w:val="0"/>
        </w:numPr>
        <w:spacing w:line="360" w:lineRule="auto"/>
        <w:ind w:leftChars="0"/>
        <w:rPr>
          <w:rFonts w:hint="eastAsia"/>
          <w:sz w:val="24"/>
          <w:szCs w:val="24"/>
          <w:lang w:val="en-US" w:eastAsia="zh-CN"/>
        </w:rPr>
      </w:pPr>
      <w:r>
        <w:rPr>
          <w:rFonts w:hint="eastAsia"/>
          <w:sz w:val="24"/>
          <w:szCs w:val="24"/>
          <w:lang w:val="en-US" w:eastAsia="zh-CN"/>
        </w:rPr>
        <w:t xml:space="preserve">   1.创新不显著。如果一定要有，那就是学习方式多样，研究始终围绕选定课题。</w:t>
      </w:r>
    </w:p>
    <w:p>
      <w:pPr>
        <w:numPr>
          <w:ilvl w:val="0"/>
          <w:numId w:val="0"/>
        </w:numPr>
        <w:spacing w:line="360" w:lineRule="auto"/>
        <w:ind w:leftChars="0"/>
        <w:rPr>
          <w:rFonts w:hint="default"/>
          <w:sz w:val="24"/>
          <w:szCs w:val="24"/>
          <w:lang w:val="en-US" w:eastAsia="zh-CN"/>
        </w:rPr>
      </w:pPr>
      <w:r>
        <w:rPr>
          <w:rFonts w:hint="eastAsia"/>
          <w:sz w:val="24"/>
          <w:szCs w:val="24"/>
          <w:lang w:val="en-US" w:eastAsia="zh-CN"/>
        </w:rPr>
        <w:t>2.实际困难不少。一是在名班主任评选中，缺少市级班集体荣誉、市级班队公开课、市级德育工作室经历。二是由于年龄受限，参加班主任基本功比赛的几率较小。三是成员的成果发意识还不强，论文发表还是比较有限。</w:t>
      </w:r>
    </w:p>
    <w:p>
      <w:pPr>
        <w:numPr>
          <w:ilvl w:val="0"/>
          <w:numId w:val="0"/>
        </w:numPr>
        <w:spacing w:line="360" w:lineRule="auto"/>
        <w:ind w:leftChars="0"/>
        <w:rPr>
          <w:rFonts w:hint="default"/>
          <w:sz w:val="24"/>
          <w:szCs w:val="24"/>
          <w:lang w:val="en-US" w:eastAsia="zh-CN"/>
        </w:rPr>
      </w:pPr>
      <w:r>
        <w:rPr>
          <w:rFonts w:hint="eastAsia"/>
          <w:sz w:val="24"/>
          <w:szCs w:val="24"/>
          <w:lang w:val="en-US" w:eastAsia="zh-CN"/>
        </w:rPr>
        <w:t xml:space="preserve">     过去的一年，我们做着最小的主任，但享受着研究和实践带来的“研”路芬芳；新的一年，我们仍将砥砺前行，聚焦品牌的创建，班主任工作智慧的创造，共谱老班们专业成长的“幸福歌”。</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BDED66"/>
    <w:multiLevelType w:val="singleLevel"/>
    <w:tmpl w:val="A7BDED66"/>
    <w:lvl w:ilvl="0" w:tentative="0">
      <w:start w:val="1"/>
      <w:numFmt w:val="decimal"/>
      <w:suff w:val="nothing"/>
      <w:lvlText w:val="（%1）"/>
      <w:lvlJc w:val="left"/>
    </w:lvl>
  </w:abstractNum>
  <w:abstractNum w:abstractNumId="1">
    <w:nsid w:val="ACF7416B"/>
    <w:multiLevelType w:val="singleLevel"/>
    <w:tmpl w:val="ACF7416B"/>
    <w:lvl w:ilvl="0" w:tentative="0">
      <w:start w:val="1"/>
      <w:numFmt w:val="chineseCounting"/>
      <w:suff w:val="nothing"/>
      <w:lvlText w:val="（%1）"/>
      <w:lvlJc w:val="left"/>
      <w:rPr>
        <w:rFonts w:hint="eastAsia"/>
      </w:rPr>
    </w:lvl>
  </w:abstractNum>
  <w:abstractNum w:abstractNumId="2">
    <w:nsid w:val="FA2C474D"/>
    <w:multiLevelType w:val="singleLevel"/>
    <w:tmpl w:val="FA2C474D"/>
    <w:lvl w:ilvl="0" w:tentative="0">
      <w:start w:val="1"/>
      <w:numFmt w:val="chineseCounting"/>
      <w:suff w:val="nothing"/>
      <w:lvlText w:val="（%1）"/>
      <w:lvlJc w:val="left"/>
      <w:pPr>
        <w:ind w:left="120" w:leftChars="0" w:firstLine="0" w:firstLineChars="0"/>
      </w:pPr>
      <w:rPr>
        <w:rFonts w:hint="eastAsia"/>
      </w:rPr>
    </w:lvl>
  </w:abstractNum>
  <w:abstractNum w:abstractNumId="3">
    <w:nsid w:val="18FACC11"/>
    <w:multiLevelType w:val="singleLevel"/>
    <w:tmpl w:val="18FACC11"/>
    <w:lvl w:ilvl="0" w:tentative="0">
      <w:start w:val="1"/>
      <w:numFmt w:val="decimal"/>
      <w:suff w:val="nothing"/>
      <w:lvlText w:val="（%1）"/>
      <w:lvlJc w:val="left"/>
    </w:lvl>
  </w:abstractNum>
  <w:abstractNum w:abstractNumId="4">
    <w:nsid w:val="1CF9C57E"/>
    <w:multiLevelType w:val="singleLevel"/>
    <w:tmpl w:val="1CF9C57E"/>
    <w:lvl w:ilvl="0" w:tentative="0">
      <w:start w:val="1"/>
      <w:numFmt w:val="decimal"/>
      <w:lvlText w:val="%1."/>
      <w:lvlJc w:val="left"/>
      <w:pPr>
        <w:tabs>
          <w:tab w:val="left" w:pos="312"/>
        </w:tabs>
      </w:pPr>
    </w:lvl>
  </w:abstractNum>
  <w:abstractNum w:abstractNumId="5">
    <w:nsid w:val="458D58F6"/>
    <w:multiLevelType w:val="singleLevel"/>
    <w:tmpl w:val="458D58F6"/>
    <w:lvl w:ilvl="0" w:tentative="0">
      <w:start w:val="1"/>
      <w:numFmt w:val="chineseCounting"/>
      <w:suff w:val="nothing"/>
      <w:lvlText w:val="%1、"/>
      <w:lvlJc w:val="left"/>
      <w:rPr>
        <w:rFonts w:hint="eastAsia"/>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8D7179"/>
    <w:rsid w:val="0E3E0ABB"/>
    <w:rsid w:val="0EA269D3"/>
    <w:rsid w:val="10F17D73"/>
    <w:rsid w:val="2BB63944"/>
    <w:rsid w:val="2D4D7D75"/>
    <w:rsid w:val="2FED3A81"/>
    <w:rsid w:val="308F67EF"/>
    <w:rsid w:val="31F65A62"/>
    <w:rsid w:val="35931B9F"/>
    <w:rsid w:val="3CCB3B60"/>
    <w:rsid w:val="3F8D7179"/>
    <w:rsid w:val="44AC5E47"/>
    <w:rsid w:val="44C52AD0"/>
    <w:rsid w:val="49724E09"/>
    <w:rsid w:val="5525411D"/>
    <w:rsid w:val="5666047F"/>
    <w:rsid w:val="596C362C"/>
    <w:rsid w:val="59D973F5"/>
    <w:rsid w:val="59FA3C57"/>
    <w:rsid w:val="5ED92454"/>
    <w:rsid w:val="5F957C63"/>
    <w:rsid w:val="61126926"/>
    <w:rsid w:val="631D05C2"/>
    <w:rsid w:val="6D3A05CE"/>
    <w:rsid w:val="7AF06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2021-01-16T04:24:00Z</dcterms:created>
  <dc:creator>陈蓦</dc:creator>
  <cp:lastModifiedBy>陈蓦</cp:lastModifiedBy>
  <dcterms:modified xsi:type="dcterms:W3CDTF">2021-02-22T23:49:08Z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